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center"/>
        <w:textAlignment w:val="auto"/>
        <w:outlineLvl w:val="9"/>
        <w:rPr>
          <w:rFonts w:hint="eastAsia" w:ascii="宋体" w:hAnsi="宋体" w:cs="宋体"/>
          <w:b/>
          <w:color w:val="auto"/>
          <w:sz w:val="52"/>
          <w:szCs w:val="52"/>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center"/>
        <w:textAlignment w:val="auto"/>
        <w:outlineLvl w:val="9"/>
        <w:rPr>
          <w:rFonts w:hint="eastAsia" w:ascii="宋体" w:hAnsi="宋体" w:cs="宋体"/>
          <w:b/>
          <w:color w:val="auto"/>
          <w:sz w:val="52"/>
          <w:szCs w:val="52"/>
        </w:rPr>
      </w:pPr>
    </w:p>
    <w:p>
      <w:pPr>
        <w:pStyle w:val="53"/>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丰都县镇街移民安置区综合应急能力提升项目可研代</w:t>
      </w:r>
      <w:r>
        <w:rPr>
          <w:rFonts w:hint="eastAsia" w:ascii="微软雅黑" w:hAnsi="微软雅黑" w:eastAsia="微软雅黑" w:cs="微软雅黑"/>
        </w:rPr>
        <w:t>初步设计</w:t>
      </w:r>
      <w:r>
        <w:rPr>
          <w:rFonts w:hint="eastAsia" w:ascii="微软雅黑" w:hAnsi="微软雅黑" w:eastAsia="微软雅黑" w:cs="微软雅黑"/>
          <w:lang w:val="en-US" w:eastAsia="zh-CN"/>
        </w:rPr>
        <w:t>及概算方案</w:t>
      </w:r>
    </w:p>
    <w:p>
      <w:pPr>
        <w:spacing w:line="360" w:lineRule="auto"/>
        <w:jc w:val="center"/>
        <w:rPr>
          <w:rFonts w:ascii="隶书" w:eastAsia="隶书"/>
          <w:b/>
          <w:color w:val="auto"/>
          <w:sz w:val="52"/>
          <w:szCs w:val="52"/>
        </w:rPr>
      </w:pPr>
    </w:p>
    <w:p>
      <w:pPr>
        <w:pStyle w:val="27"/>
      </w:pPr>
    </w:p>
    <w:p>
      <w:pPr>
        <w:spacing w:line="360" w:lineRule="auto"/>
        <w:jc w:val="center"/>
        <w:rPr>
          <w:rFonts w:ascii="隶书" w:eastAsia="隶书"/>
          <w:b/>
          <w:color w:val="auto"/>
          <w:sz w:val="52"/>
          <w:szCs w:val="52"/>
        </w:rPr>
      </w:pPr>
    </w:p>
    <w:p>
      <w:pPr>
        <w:pStyle w:val="55"/>
        <w:adjustRightInd w:val="0"/>
        <w:jc w:val="both"/>
        <w:textAlignment w:val="baseline"/>
        <w:rPr>
          <w:rFonts w:hint="eastAsia" w:ascii="宋体" w:hAnsi="宋体" w:eastAsia="宋体" w:cs="宋体"/>
          <w:color w:val="auto"/>
          <w:sz w:val="32"/>
          <w:szCs w:val="32"/>
          <w:lang w:val="en-US" w:eastAsia="zh-CN"/>
        </w:rPr>
      </w:pPr>
    </w:p>
    <w:p>
      <w:pPr>
        <w:pStyle w:val="55"/>
        <w:adjustRightInd w:val="0"/>
        <w:jc w:val="both"/>
        <w:textAlignment w:val="baseline"/>
        <w:rPr>
          <w:rFonts w:hint="eastAsia" w:ascii="宋体" w:hAnsi="宋体" w:eastAsia="宋体" w:cs="宋体"/>
          <w:color w:val="auto"/>
          <w:sz w:val="32"/>
          <w:szCs w:val="32"/>
          <w:lang w:val="en-US" w:eastAsia="zh-CN"/>
        </w:rPr>
      </w:pPr>
    </w:p>
    <w:p>
      <w:pPr>
        <w:pStyle w:val="55"/>
        <w:adjustRightInd w:val="0"/>
        <w:jc w:val="both"/>
        <w:textAlignment w:val="baseline"/>
        <w:rPr>
          <w:rFonts w:hint="eastAsia" w:ascii="宋体" w:hAnsi="宋体" w:eastAsia="宋体" w:cs="宋体"/>
          <w:color w:val="auto"/>
          <w:sz w:val="32"/>
          <w:szCs w:val="32"/>
          <w:lang w:val="en-US" w:eastAsia="zh-CN"/>
        </w:rPr>
      </w:pPr>
    </w:p>
    <w:p>
      <w:pPr>
        <w:pStyle w:val="55"/>
        <w:adjustRightInd w:val="0"/>
        <w:jc w:val="both"/>
        <w:textAlignment w:val="baseline"/>
        <w:rPr>
          <w:rFonts w:hint="eastAsia" w:ascii="宋体" w:hAnsi="宋体" w:eastAsia="宋体" w:cs="宋体"/>
          <w:color w:val="auto"/>
          <w:sz w:val="32"/>
          <w:szCs w:val="32"/>
          <w:lang w:val="en-US" w:eastAsia="zh-CN"/>
        </w:rPr>
      </w:pPr>
    </w:p>
    <w:p>
      <w:pPr>
        <w:pStyle w:val="55"/>
        <w:adjustRightInd w:val="0"/>
        <w:jc w:val="both"/>
        <w:textAlignment w:val="baseline"/>
        <w:rPr>
          <w:rFonts w:hint="eastAsia" w:ascii="宋体" w:hAnsi="宋体" w:eastAsia="宋体" w:cs="宋体"/>
          <w:color w:val="auto"/>
          <w:sz w:val="32"/>
          <w:szCs w:val="32"/>
          <w:lang w:val="en-US" w:eastAsia="zh-CN"/>
        </w:rPr>
      </w:pPr>
    </w:p>
    <w:p>
      <w:pPr>
        <w:pStyle w:val="55"/>
        <w:adjustRightInd w:val="0"/>
        <w:jc w:val="both"/>
        <w:textAlignment w:val="baseline"/>
        <w:rPr>
          <w:rFonts w:hint="eastAsia" w:ascii="宋体" w:hAnsi="宋体" w:eastAsia="宋体" w:cs="宋体"/>
          <w:color w:val="auto"/>
          <w:sz w:val="32"/>
          <w:szCs w:val="32"/>
          <w:lang w:val="en-US" w:eastAsia="zh-CN"/>
        </w:rPr>
      </w:pPr>
    </w:p>
    <w:p>
      <w:pPr>
        <w:pStyle w:val="55"/>
        <w:adjustRightInd w:val="0"/>
        <w:jc w:val="both"/>
        <w:textAlignment w:val="baseline"/>
        <w:rPr>
          <w:rFonts w:hint="eastAsia" w:ascii="宋体" w:hAnsi="宋体" w:eastAsia="宋体" w:cs="宋体"/>
          <w:color w:val="auto"/>
          <w:sz w:val="32"/>
          <w:szCs w:val="32"/>
          <w:lang w:val="en-US" w:eastAsia="zh-CN"/>
        </w:rPr>
      </w:pPr>
    </w:p>
    <w:p>
      <w:pPr>
        <w:pStyle w:val="55"/>
        <w:adjustRightInd w:val="0"/>
        <w:jc w:val="center"/>
        <w:textAlignment w:val="baseline"/>
        <w:rPr>
          <w:rFonts w:hint="eastAsia" w:ascii="宋体" w:hAnsi="宋体" w:eastAsia="宋体" w:cs="宋体"/>
          <w:color w:val="auto"/>
          <w:sz w:val="32"/>
          <w:szCs w:val="32"/>
          <w:lang w:val="en-US" w:eastAsia="zh-CN"/>
        </w:rPr>
      </w:pPr>
      <w:r>
        <w:rPr>
          <w:rFonts w:hint="eastAsia" w:ascii="宋体" w:hAnsi="宋体" w:eastAsia="宋体" w:cs="宋体"/>
          <w:color w:val="auto"/>
          <w:sz w:val="32"/>
          <w:szCs w:val="32"/>
          <w:lang w:val="en-US" w:eastAsia="zh-CN"/>
        </w:rPr>
        <w:t>重庆信科设计有限公司</w:t>
      </w:r>
    </w:p>
    <w:p>
      <w:pPr>
        <w:pStyle w:val="55"/>
        <w:adjustRightInd w:val="0"/>
        <w:jc w:val="center"/>
        <w:textAlignment w:val="baseline"/>
        <w:rPr>
          <w:rFonts w:hint="eastAsia" w:ascii="宋体" w:hAnsi="宋体" w:eastAsia="宋体" w:cs="宋体"/>
          <w:color w:val="auto"/>
          <w:sz w:val="32"/>
          <w:szCs w:val="32"/>
          <w:lang w:val="en-US" w:eastAsia="zh-CN"/>
        </w:rPr>
      </w:pPr>
      <w:r>
        <w:rPr>
          <w:rFonts w:hint="eastAsia" w:ascii="宋体" w:hAnsi="宋体" w:eastAsia="宋体" w:cs="宋体"/>
          <w:color w:val="auto"/>
          <w:sz w:val="32"/>
          <w:szCs w:val="32"/>
          <w:lang w:val="en-US" w:eastAsia="zh-CN"/>
        </w:rPr>
        <w:t>二</w:t>
      </w:r>
      <w:r>
        <w:rPr>
          <w:rFonts w:hint="eastAsia" w:eastAsia="宋体"/>
          <w:sz w:val="32"/>
          <w:szCs w:val="32"/>
          <w:lang w:val="en-US" w:eastAsia="zh-CN"/>
        </w:rPr>
        <w:t>〇</w:t>
      </w:r>
      <w:r>
        <w:rPr>
          <w:rFonts w:hint="eastAsia" w:ascii="宋体" w:hAnsi="宋体" w:eastAsia="宋体" w:cs="宋体"/>
          <w:color w:val="auto"/>
          <w:sz w:val="32"/>
          <w:szCs w:val="32"/>
          <w:lang w:val="en-US" w:eastAsia="zh-CN"/>
        </w:rPr>
        <w:t>二三年六月</w:t>
      </w:r>
    </w:p>
    <w:p>
      <w:pPr>
        <w:pStyle w:val="55"/>
        <w:adjustRightInd w:val="0"/>
        <w:jc w:val="both"/>
        <w:textAlignment w:val="baseline"/>
        <w:rPr>
          <w:rFonts w:hint="default" w:ascii="宋体" w:hAnsi="宋体" w:eastAsia="宋体" w:cs="宋体"/>
          <w:color w:val="FF0000"/>
          <w:sz w:val="24"/>
          <w:szCs w:val="24"/>
          <w:lang w:val="en-US" w:eastAsia="zh-CN"/>
        </w:rPr>
      </w:pPr>
    </w:p>
    <w:p>
      <w:pPr>
        <w:keepNext w:val="0"/>
        <w:keepLines w:val="0"/>
        <w:pageBreakBefore/>
        <w:widowControl w:val="0"/>
        <w:kinsoku/>
        <w:wordWrap/>
        <w:overflowPunct/>
        <w:topLinePunct w:val="0"/>
        <w:autoSpaceDE/>
        <w:autoSpaceDN/>
        <w:bidi w:val="0"/>
        <w:adjustRightInd w:val="0"/>
        <w:snapToGrid/>
        <w:spacing w:line="360" w:lineRule="auto"/>
        <w:jc w:val="center"/>
        <w:textAlignment w:val="auto"/>
        <w:outlineLvl w:val="9"/>
        <w:rPr>
          <w:rFonts w:hint="eastAsia" w:ascii="宋体" w:hAnsi="宋体" w:cs="宋体"/>
          <w:b/>
          <w:color w:val="auto"/>
          <w:sz w:val="52"/>
          <w:szCs w:val="52"/>
        </w:rPr>
        <w:sectPr>
          <w:headerReference r:id="rId5" w:type="default"/>
          <w:footerReference r:id="rId6" w:type="default"/>
          <w:pgSz w:w="11849" w:h="16781"/>
          <w:pgMar w:top="1440" w:right="1797" w:bottom="1440" w:left="1797" w:header="850" w:footer="992" w:gutter="0"/>
          <w:pgNumType w:fmt="upperRoman" w:start="1"/>
          <w:cols w:space="0" w:num="1"/>
          <w:rtlGutter w:val="0"/>
          <w:docGrid w:type="lines" w:linePitch="397" w:charSpace="0"/>
        </w:sectPr>
      </w:pPr>
    </w:p>
    <w:p>
      <w:pPr>
        <w:bidi w:val="0"/>
        <w:rPr>
          <w:rFonts w:hint="eastAsia"/>
        </w:rPr>
      </w:pPr>
    </w:p>
    <w:p>
      <w:pPr>
        <w:adjustRightInd w:val="0"/>
        <w:snapToGrid/>
        <w:spacing w:line="360" w:lineRule="auto"/>
        <w:jc w:val="center"/>
        <w:rPr>
          <w:rFonts w:hint="eastAsia" w:ascii="宋体" w:hAnsi="宋体" w:cs="宋体"/>
          <w:b/>
          <w:color w:val="auto"/>
          <w:sz w:val="52"/>
          <w:szCs w:val="52"/>
        </w:rPr>
      </w:pPr>
    </w:p>
    <w:p>
      <w:pPr>
        <w:pStyle w:val="53"/>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丰都县镇街移民安置区综合应急能力提升项目可研代</w:t>
      </w:r>
      <w:r>
        <w:rPr>
          <w:rFonts w:hint="eastAsia" w:ascii="微软雅黑" w:hAnsi="微软雅黑" w:eastAsia="微软雅黑" w:cs="微软雅黑"/>
        </w:rPr>
        <w:t>初步设计</w:t>
      </w:r>
      <w:r>
        <w:rPr>
          <w:rFonts w:hint="eastAsia" w:ascii="微软雅黑" w:hAnsi="微软雅黑" w:eastAsia="微软雅黑" w:cs="微软雅黑"/>
          <w:lang w:val="en-US" w:eastAsia="zh-CN"/>
        </w:rPr>
        <w:t>及概算方案</w:t>
      </w:r>
    </w:p>
    <w:p>
      <w:pPr>
        <w:spacing w:line="360" w:lineRule="auto"/>
        <w:jc w:val="center"/>
        <w:rPr>
          <w:rFonts w:ascii="隶书" w:eastAsia="隶书"/>
          <w:b/>
          <w:color w:val="auto"/>
          <w:sz w:val="52"/>
          <w:szCs w:val="52"/>
        </w:rPr>
      </w:pPr>
    </w:p>
    <w:p>
      <w:pPr>
        <w:spacing w:line="360" w:lineRule="auto"/>
        <w:jc w:val="center"/>
        <w:rPr>
          <w:rFonts w:ascii="隶书" w:eastAsia="隶书"/>
          <w:b/>
          <w:color w:val="auto"/>
          <w:sz w:val="52"/>
          <w:szCs w:val="52"/>
        </w:rPr>
      </w:pPr>
    </w:p>
    <w:tbl>
      <w:tblPr>
        <w:tblStyle w:val="28"/>
        <w:tblpPr w:leftFromText="180" w:rightFromText="180" w:vertAnchor="text" w:horzAnchor="page" w:tblpX="2863" w:tblpY="263"/>
        <w:tblOverlap w:val="never"/>
        <w:tblW w:w="6374" w:type="dxa"/>
        <w:jc w:val="center"/>
        <w:tblLayout w:type="fixed"/>
        <w:tblCellMar>
          <w:top w:w="0" w:type="dxa"/>
          <w:left w:w="108" w:type="dxa"/>
          <w:bottom w:w="0" w:type="dxa"/>
          <w:right w:w="108" w:type="dxa"/>
        </w:tblCellMar>
      </w:tblPr>
      <w:tblGrid>
        <w:gridCol w:w="2163"/>
        <w:gridCol w:w="323"/>
        <w:gridCol w:w="3888"/>
      </w:tblGrid>
      <w:tr>
        <w:tblPrEx>
          <w:tblCellMar>
            <w:top w:w="0" w:type="dxa"/>
            <w:left w:w="108" w:type="dxa"/>
            <w:bottom w:w="0" w:type="dxa"/>
            <w:right w:w="108" w:type="dxa"/>
          </w:tblCellMar>
        </w:tblPrEx>
        <w:trPr>
          <w:trHeight w:val="624" w:hRule="exact"/>
          <w:jc w:val="center"/>
        </w:trPr>
        <w:tc>
          <w:tcPr>
            <w:tcW w:w="2163" w:type="dxa"/>
            <w:vAlign w:val="center"/>
          </w:tcPr>
          <w:p>
            <w:pPr>
              <w:pStyle w:val="57"/>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lang w:val="en-US" w:eastAsia="zh-CN"/>
              </w:rPr>
            </w:pPr>
            <w:r>
              <w:rPr>
                <w:rFonts w:hint="eastAsia" w:ascii="宋体" w:hAnsi="宋体" w:eastAsia="宋体" w:cs="宋体"/>
              </w:rPr>
              <w:t>建设单位</w:t>
            </w:r>
          </w:p>
        </w:tc>
        <w:tc>
          <w:tcPr>
            <w:tcW w:w="323" w:type="dxa"/>
            <w:vAlign w:val="center"/>
          </w:tcPr>
          <w:p>
            <w:pPr>
              <w:pStyle w:val="57"/>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lang w:eastAsia="zh-CN"/>
              </w:rPr>
            </w:pPr>
            <w:r>
              <w:rPr>
                <w:rFonts w:hint="eastAsia" w:ascii="宋体" w:hAnsi="宋体" w:eastAsia="宋体" w:cs="宋体"/>
              </w:rPr>
              <w:t>：</w:t>
            </w:r>
          </w:p>
        </w:tc>
        <w:tc>
          <w:tcPr>
            <w:tcW w:w="3888" w:type="dxa"/>
            <w:vAlign w:val="center"/>
          </w:tcPr>
          <w:p>
            <w:pPr>
              <w:pStyle w:val="58"/>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b w:val="0"/>
                <w:bCs/>
                <w:lang w:val="en-US" w:eastAsia="zh-CN"/>
              </w:rPr>
            </w:pPr>
            <w:r>
              <w:rPr>
                <w:rFonts w:hint="eastAsia" w:ascii="宋体" w:hAnsi="宋体" w:eastAsia="宋体" w:cs="宋体"/>
                <w:b w:val="0"/>
                <w:bCs/>
                <w:lang w:val="en-US" w:eastAsia="zh-CN"/>
              </w:rPr>
              <w:t>丰都县河库综合事务中心</w:t>
            </w:r>
          </w:p>
        </w:tc>
      </w:tr>
      <w:tr>
        <w:tblPrEx>
          <w:tblCellMar>
            <w:top w:w="0" w:type="dxa"/>
            <w:left w:w="108" w:type="dxa"/>
            <w:bottom w:w="0" w:type="dxa"/>
            <w:right w:w="108" w:type="dxa"/>
          </w:tblCellMar>
        </w:tblPrEx>
        <w:trPr>
          <w:trHeight w:val="624" w:hRule="exact"/>
          <w:jc w:val="center"/>
        </w:trPr>
        <w:tc>
          <w:tcPr>
            <w:tcW w:w="2163" w:type="dxa"/>
            <w:vAlign w:val="center"/>
          </w:tcPr>
          <w:p>
            <w:pPr>
              <w:pStyle w:val="57"/>
              <w:keepNext w:val="0"/>
              <w:keepLines w:val="0"/>
              <w:pageBreakBefore w:val="0"/>
              <w:widowControl w:val="0"/>
              <w:kinsoku/>
              <w:wordWrap/>
              <w:overflowPunct/>
              <w:topLinePunct w:val="0"/>
              <w:autoSpaceDE/>
              <w:autoSpaceDN/>
              <w:bidi w:val="0"/>
              <w:adjustRightInd/>
              <w:snapToGrid w:val="0"/>
              <w:textAlignment w:val="auto"/>
              <w:rPr>
                <w:rFonts w:hint="default" w:ascii="宋体" w:hAnsi="宋体" w:eastAsia="宋体" w:cs="宋体"/>
                <w:lang w:val="en-US" w:eastAsia="zh-CN"/>
              </w:rPr>
            </w:pPr>
            <w:r>
              <w:rPr>
                <w:rFonts w:hint="eastAsia" w:ascii="宋体" w:hAnsi="宋体" w:eastAsia="宋体" w:cs="宋体"/>
                <w:lang w:val="en-US" w:eastAsia="zh-CN"/>
              </w:rPr>
              <w:t>设计单位</w:t>
            </w:r>
          </w:p>
        </w:tc>
        <w:tc>
          <w:tcPr>
            <w:tcW w:w="323" w:type="dxa"/>
            <w:vAlign w:val="center"/>
          </w:tcPr>
          <w:p>
            <w:pPr>
              <w:pStyle w:val="57"/>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lang w:eastAsia="zh-CN"/>
              </w:rPr>
            </w:pPr>
            <w:r>
              <w:rPr>
                <w:rFonts w:hint="eastAsia" w:ascii="宋体" w:hAnsi="宋体" w:eastAsia="宋体" w:cs="宋体"/>
                <w:lang w:eastAsia="zh-CN"/>
              </w:rPr>
              <w:t>：</w:t>
            </w:r>
          </w:p>
        </w:tc>
        <w:tc>
          <w:tcPr>
            <w:tcW w:w="3888" w:type="dxa"/>
            <w:vAlign w:val="center"/>
          </w:tcPr>
          <w:p>
            <w:pPr>
              <w:pStyle w:val="58"/>
              <w:keepNext w:val="0"/>
              <w:keepLines w:val="0"/>
              <w:pageBreakBefore w:val="0"/>
              <w:widowControl w:val="0"/>
              <w:kinsoku/>
              <w:wordWrap/>
              <w:overflowPunct/>
              <w:topLinePunct w:val="0"/>
              <w:autoSpaceDE/>
              <w:autoSpaceDN/>
              <w:bidi w:val="0"/>
              <w:adjustRightInd/>
              <w:snapToGrid w:val="0"/>
              <w:textAlignment w:val="auto"/>
              <w:rPr>
                <w:rFonts w:hint="default" w:ascii="宋体" w:hAnsi="宋体" w:eastAsia="宋体" w:cs="宋体"/>
                <w:b w:val="0"/>
                <w:bCs/>
                <w:lang w:val="en-US" w:eastAsia="zh-CN"/>
              </w:rPr>
            </w:pPr>
            <w:r>
              <w:rPr>
                <w:rFonts w:hint="eastAsia" w:ascii="宋体" w:hAnsi="宋体" w:eastAsia="宋体" w:cs="宋体"/>
                <w:b w:val="0"/>
                <w:bCs/>
                <w:lang w:val="en-US" w:eastAsia="zh-CN"/>
              </w:rPr>
              <w:t>重庆信科设计有限公司</w:t>
            </w:r>
          </w:p>
        </w:tc>
      </w:tr>
      <w:tr>
        <w:tblPrEx>
          <w:tblCellMar>
            <w:top w:w="0" w:type="dxa"/>
            <w:left w:w="108" w:type="dxa"/>
            <w:bottom w:w="0" w:type="dxa"/>
            <w:right w:w="108" w:type="dxa"/>
          </w:tblCellMar>
        </w:tblPrEx>
        <w:trPr>
          <w:trHeight w:val="624" w:hRule="exact"/>
          <w:jc w:val="center"/>
        </w:trPr>
        <w:tc>
          <w:tcPr>
            <w:tcW w:w="2163" w:type="dxa"/>
            <w:vAlign w:val="center"/>
          </w:tcPr>
          <w:p>
            <w:pPr>
              <w:pStyle w:val="57"/>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lang w:eastAsia="zh-CN"/>
              </w:rPr>
            </w:pPr>
            <w:r>
              <w:rPr>
                <w:rFonts w:hint="eastAsia" w:ascii="宋体" w:hAnsi="宋体" w:eastAsia="宋体" w:cs="宋体"/>
                <w:lang w:val="en-US" w:eastAsia="zh-CN"/>
              </w:rPr>
              <w:t>总经理</w:t>
            </w:r>
          </w:p>
        </w:tc>
        <w:tc>
          <w:tcPr>
            <w:tcW w:w="323" w:type="dxa"/>
            <w:vAlign w:val="center"/>
          </w:tcPr>
          <w:p>
            <w:pPr>
              <w:pStyle w:val="57"/>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rPr>
            </w:pPr>
            <w:r>
              <w:rPr>
                <w:rFonts w:hint="eastAsia" w:ascii="宋体" w:hAnsi="宋体" w:eastAsia="宋体" w:cs="宋体"/>
              </w:rPr>
              <w:t>：</w:t>
            </w:r>
          </w:p>
        </w:tc>
        <w:tc>
          <w:tcPr>
            <w:tcW w:w="3888" w:type="dxa"/>
            <w:vAlign w:val="center"/>
          </w:tcPr>
          <w:p>
            <w:pPr>
              <w:pStyle w:val="58"/>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b w:val="0"/>
                <w:bCs/>
                <w:lang w:val="en-US" w:eastAsia="zh-CN"/>
              </w:rPr>
            </w:pPr>
            <w:r>
              <w:rPr>
                <w:rFonts w:hint="eastAsia" w:ascii="宋体" w:hAnsi="宋体" w:eastAsia="宋体" w:cs="宋体"/>
                <w:b w:val="0"/>
                <w:bCs/>
                <w:lang w:val="en-US" w:eastAsia="zh-CN"/>
              </w:rPr>
              <w:t>毛业进</w:t>
            </w:r>
          </w:p>
        </w:tc>
      </w:tr>
      <w:tr>
        <w:tblPrEx>
          <w:tblCellMar>
            <w:top w:w="0" w:type="dxa"/>
            <w:left w:w="108" w:type="dxa"/>
            <w:bottom w:w="0" w:type="dxa"/>
            <w:right w:w="108" w:type="dxa"/>
          </w:tblCellMar>
        </w:tblPrEx>
        <w:trPr>
          <w:trHeight w:val="624" w:hRule="exact"/>
          <w:jc w:val="center"/>
        </w:trPr>
        <w:tc>
          <w:tcPr>
            <w:tcW w:w="2163" w:type="dxa"/>
            <w:vAlign w:val="center"/>
          </w:tcPr>
          <w:p>
            <w:pPr>
              <w:pStyle w:val="57"/>
              <w:keepNext w:val="0"/>
              <w:keepLines w:val="0"/>
              <w:pageBreakBefore w:val="0"/>
              <w:widowControl w:val="0"/>
              <w:kinsoku/>
              <w:wordWrap/>
              <w:overflowPunct/>
              <w:topLinePunct w:val="0"/>
              <w:autoSpaceDE/>
              <w:autoSpaceDN/>
              <w:bidi w:val="0"/>
              <w:adjustRightInd/>
              <w:snapToGrid w:val="0"/>
              <w:textAlignment w:val="auto"/>
              <w:rPr>
                <w:rFonts w:hint="default" w:ascii="宋体" w:hAnsi="宋体" w:eastAsia="宋体" w:cs="宋体"/>
                <w:lang w:val="en-US" w:eastAsia="zh-CN"/>
              </w:rPr>
            </w:pPr>
            <w:r>
              <w:rPr>
                <w:rFonts w:hint="eastAsia" w:ascii="宋体" w:hAnsi="宋体" w:eastAsia="宋体" w:cs="宋体"/>
                <w:lang w:val="en-US" w:eastAsia="zh-CN"/>
              </w:rPr>
              <w:t>总工程师</w:t>
            </w:r>
          </w:p>
        </w:tc>
        <w:tc>
          <w:tcPr>
            <w:tcW w:w="323" w:type="dxa"/>
            <w:vAlign w:val="center"/>
          </w:tcPr>
          <w:p>
            <w:pPr>
              <w:pStyle w:val="57"/>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lang w:eastAsia="zh-CN"/>
              </w:rPr>
            </w:pPr>
            <w:r>
              <w:rPr>
                <w:rFonts w:hint="eastAsia" w:ascii="宋体" w:hAnsi="宋体" w:eastAsia="宋体" w:cs="宋体"/>
                <w:lang w:eastAsia="zh-CN"/>
              </w:rPr>
              <w:t>：</w:t>
            </w:r>
          </w:p>
        </w:tc>
        <w:tc>
          <w:tcPr>
            <w:tcW w:w="3888" w:type="dxa"/>
            <w:vAlign w:val="center"/>
          </w:tcPr>
          <w:p>
            <w:pPr>
              <w:pStyle w:val="58"/>
              <w:keepNext w:val="0"/>
              <w:keepLines w:val="0"/>
              <w:pageBreakBefore w:val="0"/>
              <w:widowControl w:val="0"/>
              <w:kinsoku/>
              <w:wordWrap/>
              <w:overflowPunct/>
              <w:topLinePunct w:val="0"/>
              <w:autoSpaceDE/>
              <w:autoSpaceDN/>
              <w:bidi w:val="0"/>
              <w:adjustRightInd/>
              <w:snapToGrid w:val="0"/>
              <w:textAlignment w:val="auto"/>
              <w:rPr>
                <w:rFonts w:hint="default" w:ascii="宋体" w:hAnsi="宋体" w:eastAsia="宋体" w:cs="宋体"/>
                <w:b w:val="0"/>
                <w:bCs/>
                <w:lang w:val="en-US" w:eastAsia="zh-CN"/>
              </w:rPr>
            </w:pPr>
            <w:r>
              <w:rPr>
                <w:rFonts w:hint="eastAsia" w:ascii="宋体" w:hAnsi="宋体" w:eastAsia="宋体" w:cs="宋体"/>
                <w:b w:val="0"/>
                <w:bCs/>
                <w:lang w:val="en-US" w:eastAsia="zh-CN"/>
              </w:rPr>
              <w:t>李  伟</w:t>
            </w:r>
          </w:p>
        </w:tc>
      </w:tr>
      <w:tr>
        <w:tblPrEx>
          <w:tblCellMar>
            <w:top w:w="0" w:type="dxa"/>
            <w:left w:w="108" w:type="dxa"/>
            <w:bottom w:w="0" w:type="dxa"/>
            <w:right w:w="108" w:type="dxa"/>
          </w:tblCellMar>
        </w:tblPrEx>
        <w:trPr>
          <w:trHeight w:val="624" w:hRule="exact"/>
          <w:jc w:val="center"/>
        </w:trPr>
        <w:tc>
          <w:tcPr>
            <w:tcW w:w="2163" w:type="dxa"/>
            <w:vAlign w:val="center"/>
          </w:tcPr>
          <w:p>
            <w:pPr>
              <w:pStyle w:val="57"/>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lang w:val="en-US" w:eastAsia="zh-CN"/>
              </w:rPr>
            </w:pPr>
            <w:r>
              <w:rPr>
                <w:rFonts w:hint="eastAsia" w:ascii="宋体" w:hAnsi="宋体" w:eastAsia="宋体" w:cs="宋体"/>
                <w:lang w:val="en-US" w:eastAsia="zh-CN"/>
              </w:rPr>
              <w:t>项目经理</w:t>
            </w:r>
          </w:p>
        </w:tc>
        <w:tc>
          <w:tcPr>
            <w:tcW w:w="323" w:type="dxa"/>
            <w:vAlign w:val="center"/>
          </w:tcPr>
          <w:p>
            <w:pPr>
              <w:pStyle w:val="57"/>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rPr>
            </w:pPr>
            <w:r>
              <w:rPr>
                <w:rFonts w:hint="eastAsia" w:ascii="宋体" w:hAnsi="宋体" w:eastAsia="宋体" w:cs="宋体"/>
              </w:rPr>
              <w:t>：</w:t>
            </w:r>
          </w:p>
        </w:tc>
        <w:tc>
          <w:tcPr>
            <w:tcW w:w="3888" w:type="dxa"/>
            <w:vAlign w:val="center"/>
          </w:tcPr>
          <w:p>
            <w:pPr>
              <w:pStyle w:val="58"/>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b w:val="0"/>
                <w:bCs/>
                <w:lang w:eastAsia="zh-CN"/>
              </w:rPr>
            </w:pPr>
            <w:r>
              <w:rPr>
                <w:rFonts w:hint="eastAsia" w:ascii="宋体" w:hAnsi="宋体" w:eastAsia="宋体" w:cs="宋体"/>
                <w:b w:val="0"/>
                <w:bCs/>
                <w:lang w:val="en-US" w:eastAsia="zh-CN"/>
              </w:rPr>
              <w:t>廖许斌</w:t>
            </w:r>
          </w:p>
        </w:tc>
      </w:tr>
      <w:tr>
        <w:tblPrEx>
          <w:tblCellMar>
            <w:top w:w="0" w:type="dxa"/>
            <w:left w:w="108" w:type="dxa"/>
            <w:bottom w:w="0" w:type="dxa"/>
            <w:right w:w="108" w:type="dxa"/>
          </w:tblCellMar>
        </w:tblPrEx>
        <w:trPr>
          <w:trHeight w:val="624" w:hRule="exact"/>
          <w:jc w:val="center"/>
        </w:trPr>
        <w:tc>
          <w:tcPr>
            <w:tcW w:w="2163" w:type="dxa"/>
            <w:vAlign w:val="center"/>
          </w:tcPr>
          <w:p>
            <w:pPr>
              <w:pStyle w:val="57"/>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lang w:val="en-US" w:eastAsia="zh-CN"/>
              </w:rPr>
            </w:pPr>
            <w:r>
              <w:rPr>
                <w:rFonts w:hint="eastAsia" w:ascii="宋体" w:hAnsi="宋体" w:eastAsia="宋体" w:cs="宋体"/>
                <w:lang w:val="en-US" w:eastAsia="zh-CN"/>
              </w:rPr>
              <w:t>项目组成员</w:t>
            </w:r>
          </w:p>
        </w:tc>
        <w:tc>
          <w:tcPr>
            <w:tcW w:w="323" w:type="dxa"/>
            <w:vAlign w:val="center"/>
          </w:tcPr>
          <w:p>
            <w:pPr>
              <w:pStyle w:val="57"/>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rPr>
            </w:pPr>
            <w:r>
              <w:rPr>
                <w:rFonts w:hint="eastAsia" w:ascii="宋体" w:hAnsi="宋体" w:eastAsia="宋体" w:cs="宋体"/>
              </w:rPr>
              <w:t>：</w:t>
            </w:r>
          </w:p>
        </w:tc>
        <w:tc>
          <w:tcPr>
            <w:tcW w:w="3888" w:type="dxa"/>
            <w:vAlign w:val="center"/>
          </w:tcPr>
          <w:p>
            <w:pPr>
              <w:pStyle w:val="58"/>
              <w:keepNext w:val="0"/>
              <w:keepLines w:val="0"/>
              <w:pageBreakBefore w:val="0"/>
              <w:widowControl w:val="0"/>
              <w:kinsoku/>
              <w:wordWrap/>
              <w:overflowPunct/>
              <w:topLinePunct w:val="0"/>
              <w:autoSpaceDE/>
              <w:autoSpaceDN/>
              <w:bidi w:val="0"/>
              <w:adjustRightInd/>
              <w:snapToGrid w:val="0"/>
              <w:textAlignment w:val="auto"/>
              <w:rPr>
                <w:rFonts w:hint="default" w:ascii="宋体" w:hAnsi="宋体" w:eastAsia="宋体" w:cs="宋体"/>
                <w:b w:val="0"/>
                <w:bCs/>
                <w:lang w:val="en-US" w:eastAsia="zh-CN"/>
              </w:rPr>
            </w:pPr>
            <w:r>
              <w:rPr>
                <w:rFonts w:hint="eastAsia" w:ascii="宋体" w:hAnsi="宋体" w:eastAsia="宋体" w:cs="宋体"/>
                <w:b w:val="0"/>
                <w:bCs/>
                <w:lang w:val="en-US" w:eastAsia="zh-CN"/>
              </w:rPr>
              <w:t>吴 迪</w:t>
            </w:r>
            <w:r>
              <w:rPr>
                <w:rFonts w:hint="eastAsia" w:ascii="宋体" w:hAnsi="宋体" w:eastAsia="宋体" w:cs="宋体"/>
                <w:b w:val="0"/>
                <w:bCs/>
                <w:lang w:eastAsia="zh-CN"/>
              </w:rPr>
              <w:t>、</w:t>
            </w:r>
            <w:r>
              <w:rPr>
                <w:rFonts w:hint="eastAsia" w:ascii="宋体" w:hAnsi="宋体" w:eastAsia="宋体" w:cs="宋体"/>
                <w:b w:val="0"/>
                <w:bCs/>
                <w:lang w:val="en-US" w:eastAsia="zh-CN"/>
              </w:rPr>
              <w:t>邓 婉</w:t>
            </w:r>
          </w:p>
        </w:tc>
      </w:tr>
      <w:tr>
        <w:tblPrEx>
          <w:tblCellMar>
            <w:top w:w="0" w:type="dxa"/>
            <w:left w:w="108" w:type="dxa"/>
            <w:bottom w:w="0" w:type="dxa"/>
            <w:right w:w="108" w:type="dxa"/>
          </w:tblCellMar>
        </w:tblPrEx>
        <w:trPr>
          <w:trHeight w:val="624" w:hRule="exact"/>
          <w:jc w:val="center"/>
        </w:trPr>
        <w:tc>
          <w:tcPr>
            <w:tcW w:w="2163" w:type="dxa"/>
            <w:vAlign w:val="center"/>
          </w:tcPr>
          <w:p>
            <w:pPr>
              <w:pStyle w:val="57"/>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rPr>
            </w:pPr>
            <w:r>
              <w:rPr>
                <w:rFonts w:hint="eastAsia" w:ascii="宋体" w:hAnsi="宋体" w:eastAsia="宋体" w:cs="宋体"/>
              </w:rPr>
              <w:t>审核人</w:t>
            </w:r>
          </w:p>
        </w:tc>
        <w:tc>
          <w:tcPr>
            <w:tcW w:w="323" w:type="dxa"/>
            <w:vAlign w:val="center"/>
          </w:tcPr>
          <w:p>
            <w:pPr>
              <w:pStyle w:val="57"/>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rPr>
            </w:pPr>
            <w:r>
              <w:rPr>
                <w:rFonts w:hint="eastAsia" w:ascii="宋体" w:hAnsi="宋体" w:eastAsia="宋体" w:cs="宋体"/>
              </w:rPr>
              <w:t>：</w:t>
            </w:r>
          </w:p>
        </w:tc>
        <w:tc>
          <w:tcPr>
            <w:tcW w:w="3888" w:type="dxa"/>
            <w:vAlign w:val="center"/>
          </w:tcPr>
          <w:p>
            <w:pPr>
              <w:pStyle w:val="58"/>
              <w:keepNext w:val="0"/>
              <w:keepLines w:val="0"/>
              <w:pageBreakBefore w:val="0"/>
              <w:widowControl w:val="0"/>
              <w:kinsoku/>
              <w:wordWrap/>
              <w:overflowPunct/>
              <w:topLinePunct w:val="0"/>
              <w:autoSpaceDE/>
              <w:autoSpaceDN/>
              <w:bidi w:val="0"/>
              <w:adjustRightInd/>
              <w:snapToGrid w:val="0"/>
              <w:textAlignment w:val="auto"/>
              <w:rPr>
                <w:rFonts w:hint="default" w:ascii="宋体" w:hAnsi="宋体" w:eastAsia="宋体" w:cs="宋体"/>
                <w:b w:val="0"/>
                <w:bCs/>
                <w:lang w:val="en-US" w:eastAsia="zh-CN"/>
              </w:rPr>
            </w:pPr>
            <w:r>
              <w:rPr>
                <w:rFonts w:hint="eastAsia" w:ascii="宋体" w:hAnsi="宋体" w:eastAsia="宋体" w:cs="宋体"/>
                <w:b w:val="0"/>
                <w:bCs/>
                <w:lang w:val="en-US" w:eastAsia="zh-CN"/>
              </w:rPr>
              <w:t>张自成</w:t>
            </w:r>
          </w:p>
        </w:tc>
      </w:tr>
    </w:tbl>
    <w:p>
      <w:pPr>
        <w:spacing w:line="360" w:lineRule="auto"/>
        <w:jc w:val="center"/>
        <w:rPr>
          <w:rFonts w:ascii="隶书" w:eastAsia="隶书"/>
          <w:b/>
          <w:color w:val="auto"/>
          <w:sz w:val="52"/>
          <w:szCs w:val="52"/>
        </w:rPr>
      </w:pPr>
    </w:p>
    <w:p>
      <w:pPr>
        <w:pStyle w:val="27"/>
      </w:pPr>
    </w:p>
    <w:p>
      <w:pPr>
        <w:pStyle w:val="43"/>
        <w:ind w:firstLine="0" w:firstLineChars="0"/>
        <w:rPr>
          <w:color w:val="auto"/>
        </w:rPr>
      </w:pPr>
    </w:p>
    <w:p>
      <w:pPr>
        <w:pStyle w:val="43"/>
        <w:ind w:firstLine="524"/>
        <w:rPr>
          <w:color w:val="auto"/>
        </w:rPr>
      </w:pPr>
    </w:p>
    <w:p>
      <w:pPr>
        <w:pStyle w:val="43"/>
        <w:ind w:firstLine="524"/>
        <w:rPr>
          <w:color w:val="auto"/>
        </w:rPr>
      </w:pPr>
    </w:p>
    <w:p>
      <w:pPr>
        <w:pStyle w:val="43"/>
        <w:ind w:firstLine="524"/>
        <w:rPr>
          <w:color w:val="auto"/>
        </w:rPr>
      </w:pPr>
    </w:p>
    <w:p>
      <w:pPr>
        <w:pStyle w:val="43"/>
        <w:ind w:firstLine="524"/>
        <w:rPr>
          <w:color w:val="auto"/>
        </w:rPr>
      </w:pPr>
    </w:p>
    <w:p>
      <w:pPr>
        <w:pStyle w:val="43"/>
        <w:ind w:firstLine="524"/>
        <w:rPr>
          <w:color w:val="auto"/>
        </w:rPr>
      </w:pPr>
    </w:p>
    <w:p>
      <w:pPr>
        <w:pStyle w:val="43"/>
        <w:ind w:firstLine="524"/>
        <w:rPr>
          <w:color w:val="auto"/>
        </w:rPr>
      </w:pPr>
    </w:p>
    <w:p>
      <w:pPr>
        <w:pStyle w:val="43"/>
        <w:ind w:firstLine="524"/>
        <w:rPr>
          <w:color w:val="auto"/>
        </w:rPr>
      </w:pPr>
    </w:p>
    <w:p>
      <w:pPr>
        <w:rPr>
          <w:color w:val="auto"/>
        </w:rPr>
        <w:sectPr>
          <w:footerReference r:id="rId7" w:type="default"/>
          <w:pgSz w:w="11849" w:h="16781"/>
          <w:pgMar w:top="1440" w:right="1797" w:bottom="1440" w:left="1797" w:header="850" w:footer="992" w:gutter="0"/>
          <w:pgNumType w:fmt="upperRoman" w:start="1"/>
          <w:cols w:space="0" w:num="1"/>
          <w:rtlGutter w:val="0"/>
          <w:docGrid w:type="lines" w:linePitch="397" w:charSpace="0"/>
        </w:sectPr>
      </w:pPr>
    </w:p>
    <w:p>
      <w:pPr>
        <w:pStyle w:val="33"/>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left="0" w:leftChars="0" w:right="0" w:rightChars="0" w:firstLine="0" w:firstLineChars="0"/>
        <w:jc w:val="center"/>
        <w:textAlignment w:val="baseline"/>
        <w:outlineLvl w:val="0"/>
        <w:rPr>
          <w:color w:val="auto"/>
        </w:rPr>
      </w:pPr>
      <w:bookmarkStart w:id="476" w:name="_GoBack"/>
      <w:bookmarkEnd w:id="476"/>
      <w:bookmarkStart w:id="0" w:name="_Toc9663"/>
      <w:bookmarkStart w:id="1" w:name="_Toc24740"/>
      <w:bookmarkStart w:id="2" w:name="_Toc26717"/>
      <w:bookmarkStart w:id="3" w:name="_Toc3522"/>
      <w:bookmarkStart w:id="4" w:name="_Toc26260"/>
      <w:bookmarkStart w:id="5" w:name="_Toc16119"/>
      <w:bookmarkStart w:id="6" w:name="_Toc9292"/>
      <w:bookmarkStart w:id="7" w:name="_Toc9346"/>
      <w:bookmarkStart w:id="8" w:name="_Toc474"/>
      <w:bookmarkStart w:id="9" w:name="_Toc11057"/>
      <w:bookmarkStart w:id="10" w:name="_Toc31326"/>
      <w:bookmarkStart w:id="11" w:name="_Toc23713"/>
      <w:bookmarkStart w:id="12" w:name="_Toc18588"/>
      <w:bookmarkStart w:id="13" w:name="_Toc1596"/>
      <w:bookmarkStart w:id="14" w:name="_Toc2300"/>
      <w:bookmarkStart w:id="15" w:name="_Toc4650"/>
      <w:bookmarkStart w:id="16" w:name="_Toc32256"/>
      <w:bookmarkStart w:id="17" w:name="_Toc4251"/>
      <w:bookmarkStart w:id="18" w:name="_Toc16755"/>
      <w:r>
        <w:rPr>
          <w:rFonts w:hint="eastAsia"/>
          <w:color w:val="auto"/>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pPr>
        <w:pStyle w:val="22"/>
        <w:tabs>
          <w:tab w:val="right" w:leader="dot" w:pos="8255"/>
          <w:tab w:val="clear" w:pos="8296"/>
        </w:tabs>
      </w:pPr>
      <w:r>
        <w:rPr>
          <w:rFonts w:hint="eastAsia" w:ascii="宋体" w:hAnsi="宋体" w:eastAsia="宋体" w:cs="宋体"/>
          <w:color w:val="auto"/>
        </w:rPr>
        <w:fldChar w:fldCharType="begin"/>
      </w:r>
      <w:r>
        <w:rPr>
          <w:rFonts w:hint="eastAsia" w:ascii="宋体" w:hAnsi="宋体" w:eastAsia="宋体" w:cs="宋体"/>
          <w:color w:val="auto"/>
        </w:rPr>
        <w:instrText xml:space="preserve">TOC \o "1-3" \h</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rPr>
        <w:instrText xml:space="preserve"> HYPERLINK \l _Toc2787 </w:instrText>
      </w:r>
      <w:r>
        <w:rPr>
          <w:rFonts w:hint="eastAsia" w:ascii="宋体" w:hAnsi="宋体" w:eastAsia="宋体" w:cs="宋体"/>
        </w:rPr>
        <w:fldChar w:fldCharType="separate"/>
      </w:r>
      <w:r>
        <w:rPr>
          <w:rFonts w:hint="eastAsia" w:ascii="Arial" w:hAnsi="Arial" w:eastAsia="黑体"/>
        </w:rPr>
        <w:t xml:space="preserve">第一章 </w:t>
      </w:r>
      <w:r>
        <w:t>项目概述</w:t>
      </w:r>
      <w:r>
        <w:tab/>
      </w:r>
      <w:r>
        <w:fldChar w:fldCharType="begin"/>
      </w:r>
      <w:r>
        <w:instrText xml:space="preserve"> PAGEREF _Toc2787 \h </w:instrText>
      </w:r>
      <w:r>
        <w:fldChar w:fldCharType="separate"/>
      </w:r>
      <w:r>
        <w:t>1</w:t>
      </w:r>
      <w:r>
        <w:fldChar w:fldCharType="end"/>
      </w:r>
      <w:r>
        <w:rPr>
          <w:rFonts w:hint="eastAsia" w:ascii="宋体" w:hAnsi="宋体" w:eastAsia="宋体" w:cs="宋体"/>
          <w:color w:val="auto"/>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_Toc14309 </w:instrText>
      </w:r>
      <w:r>
        <w:rPr>
          <w:rFonts w:hint="eastAsia" w:ascii="宋体" w:hAnsi="宋体" w:eastAsia="宋体" w:cs="宋体"/>
        </w:rPr>
        <w:fldChar w:fldCharType="separate"/>
      </w:r>
      <w:r>
        <w:rPr>
          <w:rFonts w:hint="eastAsia" w:ascii="Arial" w:hAnsi="Arial" w:eastAsia="黑体" w:cs="宋体"/>
          <w:lang w:val="en-US" w:eastAsia="zh-CN"/>
        </w:rPr>
        <w:t xml:space="preserve">1.1 </w:t>
      </w:r>
      <w:r>
        <w:rPr>
          <w:rFonts w:hint="eastAsia"/>
          <w:lang w:val="en-US" w:eastAsia="zh-CN"/>
        </w:rPr>
        <w:t>项目基本情况说明</w:t>
      </w:r>
      <w:r>
        <w:tab/>
      </w:r>
      <w:r>
        <w:fldChar w:fldCharType="begin"/>
      </w:r>
      <w:r>
        <w:instrText xml:space="preserve"> PAGEREF _Toc14309 \h </w:instrText>
      </w:r>
      <w:r>
        <w:fldChar w:fldCharType="separate"/>
      </w:r>
      <w:r>
        <w:t>1</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_Toc4877 </w:instrText>
      </w:r>
      <w:r>
        <w:rPr>
          <w:rFonts w:hint="eastAsia" w:ascii="宋体" w:hAnsi="宋体" w:eastAsia="宋体" w:cs="宋体"/>
        </w:rPr>
        <w:fldChar w:fldCharType="separate"/>
      </w:r>
      <w:r>
        <w:rPr>
          <w:rFonts w:hint="eastAsia" w:ascii="Arial" w:hAnsi="Arial" w:eastAsia="黑体" w:cs="宋体"/>
        </w:rPr>
        <w:t xml:space="preserve">1.2 </w:t>
      </w:r>
      <w:r>
        <w:t>项目建设单位及</w:t>
      </w:r>
      <w:r>
        <w:rPr>
          <w:rFonts w:hint="eastAsia"/>
          <w:lang w:val="en-US" w:eastAsia="zh-CN"/>
        </w:rPr>
        <w:t>联系人</w:t>
      </w:r>
      <w:r>
        <w:tab/>
      </w:r>
      <w:r>
        <w:fldChar w:fldCharType="begin"/>
      </w:r>
      <w:r>
        <w:instrText xml:space="preserve"> PAGEREF _Toc4877 \h </w:instrText>
      </w:r>
      <w:r>
        <w:fldChar w:fldCharType="separate"/>
      </w:r>
      <w:r>
        <w:t>2</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_Toc12222 </w:instrText>
      </w:r>
      <w:r>
        <w:rPr>
          <w:rFonts w:hint="eastAsia" w:ascii="宋体" w:hAnsi="宋体" w:eastAsia="宋体" w:cs="宋体"/>
        </w:rPr>
        <w:fldChar w:fldCharType="separate"/>
      </w:r>
      <w:r>
        <w:rPr>
          <w:rFonts w:hint="eastAsia" w:ascii="Arial" w:hAnsi="Arial" w:eastAsia="黑体" w:cs="宋体"/>
          <w:lang w:val="en-GB"/>
        </w:rPr>
        <w:t xml:space="preserve">1.3 </w:t>
      </w:r>
      <w:r>
        <w:t>初设及概算编制单位</w:t>
      </w:r>
      <w:r>
        <w:tab/>
      </w:r>
      <w:r>
        <w:fldChar w:fldCharType="begin"/>
      </w:r>
      <w:r>
        <w:instrText xml:space="preserve"> PAGEREF _Toc12222 \h </w:instrText>
      </w:r>
      <w:r>
        <w:fldChar w:fldCharType="separate"/>
      </w:r>
      <w:r>
        <w:t>2</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_Toc4387 </w:instrText>
      </w:r>
      <w:r>
        <w:rPr>
          <w:rFonts w:hint="eastAsia" w:ascii="宋体" w:hAnsi="宋体" w:eastAsia="宋体" w:cs="宋体"/>
        </w:rPr>
        <w:fldChar w:fldCharType="separate"/>
      </w:r>
      <w:r>
        <w:rPr>
          <w:rFonts w:hint="eastAsia" w:ascii="Arial" w:hAnsi="Arial" w:eastAsia="黑体" w:cs="宋体"/>
          <w:lang w:val="en-GB"/>
        </w:rPr>
        <w:t xml:space="preserve">1.4 </w:t>
      </w:r>
      <w:r>
        <w:t>初设及概算编制依据</w:t>
      </w:r>
      <w:r>
        <w:tab/>
      </w:r>
      <w:r>
        <w:fldChar w:fldCharType="begin"/>
      </w:r>
      <w:r>
        <w:instrText xml:space="preserve"> PAGEREF _Toc4387 \h </w:instrText>
      </w:r>
      <w:r>
        <w:fldChar w:fldCharType="separate"/>
      </w:r>
      <w:r>
        <w:t>2</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_Toc16568 </w:instrText>
      </w:r>
      <w:r>
        <w:rPr>
          <w:rFonts w:hint="eastAsia" w:ascii="宋体" w:hAnsi="宋体" w:eastAsia="宋体" w:cs="宋体"/>
        </w:rPr>
        <w:fldChar w:fldCharType="separate"/>
      </w:r>
      <w:r>
        <w:rPr>
          <w:rFonts w:hint="eastAsia" w:ascii="Arial" w:hAnsi="Arial" w:eastAsia="黑体" w:cs="宋体"/>
          <w:szCs w:val="30"/>
        </w:rPr>
        <w:t xml:space="preserve">1.4.1 </w:t>
      </w:r>
      <w:r>
        <w:rPr>
          <w:rFonts w:hint="eastAsia"/>
        </w:rPr>
        <w:t>政策依据</w:t>
      </w:r>
      <w:r>
        <w:tab/>
      </w:r>
      <w:r>
        <w:fldChar w:fldCharType="begin"/>
      </w:r>
      <w:r>
        <w:instrText xml:space="preserve"> PAGEREF _Toc16568 \h </w:instrText>
      </w:r>
      <w:r>
        <w:fldChar w:fldCharType="separate"/>
      </w:r>
      <w:r>
        <w:t>2</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_Toc2073 </w:instrText>
      </w:r>
      <w:r>
        <w:rPr>
          <w:rFonts w:hint="eastAsia" w:ascii="宋体" w:hAnsi="宋体" w:eastAsia="宋体" w:cs="宋体"/>
        </w:rPr>
        <w:fldChar w:fldCharType="separate"/>
      </w:r>
      <w:r>
        <w:rPr>
          <w:rFonts w:hint="eastAsia" w:ascii="Arial" w:hAnsi="Arial" w:eastAsia="黑体" w:cs="宋体"/>
          <w:szCs w:val="30"/>
        </w:rPr>
        <w:t xml:space="preserve">1.4.2 </w:t>
      </w:r>
      <w:r>
        <w:rPr>
          <w:rFonts w:hint="eastAsia"/>
          <w:lang w:val="en-US" w:eastAsia="zh-CN"/>
        </w:rPr>
        <w:t>标准规范</w:t>
      </w:r>
      <w:r>
        <w:tab/>
      </w:r>
      <w:r>
        <w:fldChar w:fldCharType="begin"/>
      </w:r>
      <w:r>
        <w:instrText xml:space="preserve"> PAGEREF _Toc2073 \h </w:instrText>
      </w:r>
      <w:r>
        <w:fldChar w:fldCharType="separate"/>
      </w:r>
      <w:r>
        <w:t>3</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_Toc31561 </w:instrText>
      </w:r>
      <w:r>
        <w:rPr>
          <w:rFonts w:hint="eastAsia" w:ascii="宋体" w:hAnsi="宋体" w:eastAsia="宋体" w:cs="宋体"/>
        </w:rPr>
        <w:fldChar w:fldCharType="separate"/>
      </w:r>
      <w:r>
        <w:rPr>
          <w:rFonts w:hint="eastAsia" w:ascii="Arial" w:hAnsi="Arial" w:eastAsia="黑体" w:cs="宋体"/>
          <w:szCs w:val="30"/>
        </w:rPr>
        <w:t xml:space="preserve">1.4.3 </w:t>
      </w:r>
      <w:r>
        <w:rPr>
          <w:rFonts w:hint="eastAsia"/>
        </w:rPr>
        <w:t>投资概算编制依据</w:t>
      </w:r>
      <w:r>
        <w:tab/>
      </w:r>
      <w:r>
        <w:fldChar w:fldCharType="begin"/>
      </w:r>
      <w:r>
        <w:instrText xml:space="preserve"> PAGEREF _Toc31561 \h </w:instrText>
      </w:r>
      <w:r>
        <w:fldChar w:fldCharType="separate"/>
      </w:r>
      <w:r>
        <w:t>4</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_Toc8882 </w:instrText>
      </w:r>
      <w:r>
        <w:rPr>
          <w:rFonts w:hint="eastAsia" w:ascii="宋体" w:hAnsi="宋体" w:eastAsia="宋体" w:cs="宋体"/>
        </w:rPr>
        <w:fldChar w:fldCharType="separate"/>
      </w:r>
      <w:r>
        <w:rPr>
          <w:rFonts w:hint="eastAsia" w:ascii="Arial" w:hAnsi="Arial" w:eastAsia="黑体" w:cs="宋体"/>
        </w:rPr>
        <w:t xml:space="preserve">1.5 </w:t>
      </w:r>
      <w:r>
        <w:t>建设目标、规模、内容、建设期</w:t>
      </w:r>
      <w:r>
        <w:tab/>
      </w:r>
      <w:r>
        <w:fldChar w:fldCharType="begin"/>
      </w:r>
      <w:r>
        <w:instrText xml:space="preserve"> PAGEREF _Toc8882 \h </w:instrText>
      </w:r>
      <w:r>
        <w:fldChar w:fldCharType="separate"/>
      </w:r>
      <w:r>
        <w:t>4</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_Toc21182 </w:instrText>
      </w:r>
      <w:r>
        <w:rPr>
          <w:rFonts w:hint="eastAsia" w:ascii="宋体" w:hAnsi="宋体" w:eastAsia="宋体" w:cs="宋体"/>
        </w:rPr>
        <w:fldChar w:fldCharType="separate"/>
      </w:r>
      <w:r>
        <w:rPr>
          <w:rFonts w:hint="eastAsia" w:ascii="Arial" w:hAnsi="Arial" w:eastAsia="黑体" w:cs="宋体"/>
          <w:szCs w:val="30"/>
        </w:rPr>
        <w:t xml:space="preserve">1.5.1 </w:t>
      </w:r>
      <w:r>
        <w:rPr>
          <w:rFonts w:hint="eastAsia"/>
        </w:rPr>
        <w:t>建设目标</w:t>
      </w:r>
      <w:r>
        <w:tab/>
      </w:r>
      <w:r>
        <w:fldChar w:fldCharType="begin"/>
      </w:r>
      <w:r>
        <w:instrText xml:space="preserve"> PAGEREF _Toc21182 \h </w:instrText>
      </w:r>
      <w:r>
        <w:fldChar w:fldCharType="separate"/>
      </w:r>
      <w:r>
        <w:t>4</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_Toc5174 </w:instrText>
      </w:r>
      <w:r>
        <w:rPr>
          <w:rFonts w:hint="eastAsia" w:ascii="宋体" w:hAnsi="宋体" w:eastAsia="宋体" w:cs="宋体"/>
        </w:rPr>
        <w:fldChar w:fldCharType="separate"/>
      </w:r>
      <w:r>
        <w:rPr>
          <w:rFonts w:hint="eastAsia" w:ascii="Arial" w:hAnsi="Arial" w:eastAsia="黑体" w:cs="宋体"/>
          <w:szCs w:val="30"/>
        </w:rPr>
        <w:t xml:space="preserve">1.5.2 </w:t>
      </w:r>
      <w:r>
        <w:rPr>
          <w:rFonts w:hint="eastAsia"/>
        </w:rPr>
        <w:t>建设规模及内容</w:t>
      </w:r>
      <w:r>
        <w:tab/>
      </w:r>
      <w:r>
        <w:fldChar w:fldCharType="begin"/>
      </w:r>
      <w:r>
        <w:instrText xml:space="preserve"> PAGEREF _Toc5174 \h </w:instrText>
      </w:r>
      <w:r>
        <w:fldChar w:fldCharType="separate"/>
      </w:r>
      <w:r>
        <w:t>5</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_Toc19877 </w:instrText>
      </w:r>
      <w:r>
        <w:rPr>
          <w:rFonts w:hint="eastAsia" w:ascii="宋体" w:hAnsi="宋体" w:eastAsia="宋体" w:cs="宋体"/>
        </w:rPr>
        <w:fldChar w:fldCharType="separate"/>
      </w:r>
      <w:r>
        <w:rPr>
          <w:rFonts w:hint="eastAsia" w:ascii="Arial" w:hAnsi="Arial" w:eastAsia="黑体" w:cs="宋体"/>
          <w:szCs w:val="30"/>
        </w:rPr>
        <w:t xml:space="preserve">1.5.3 </w:t>
      </w:r>
      <w:r>
        <w:rPr>
          <w:rFonts w:hint="eastAsia"/>
        </w:rPr>
        <w:t>建设期</w:t>
      </w:r>
      <w:r>
        <w:tab/>
      </w:r>
      <w:r>
        <w:fldChar w:fldCharType="begin"/>
      </w:r>
      <w:r>
        <w:instrText xml:space="preserve"> PAGEREF _Toc19877 \h </w:instrText>
      </w:r>
      <w:r>
        <w:fldChar w:fldCharType="separate"/>
      </w:r>
      <w:r>
        <w:t>6</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_Toc4029 </w:instrText>
      </w:r>
      <w:r>
        <w:rPr>
          <w:rFonts w:hint="eastAsia" w:ascii="宋体" w:hAnsi="宋体" w:eastAsia="宋体" w:cs="宋体"/>
        </w:rPr>
        <w:fldChar w:fldCharType="separate"/>
      </w:r>
      <w:r>
        <w:rPr>
          <w:rFonts w:hint="eastAsia" w:ascii="Arial" w:hAnsi="Arial" w:eastAsia="黑体" w:cs="宋体"/>
        </w:rPr>
        <w:t xml:space="preserve">1.6 </w:t>
      </w:r>
      <w:r>
        <w:t>总投资及资金来源</w:t>
      </w:r>
      <w:r>
        <w:tab/>
      </w:r>
      <w:r>
        <w:fldChar w:fldCharType="begin"/>
      </w:r>
      <w:r>
        <w:instrText xml:space="preserve"> PAGEREF _Toc4029 \h </w:instrText>
      </w:r>
      <w:r>
        <w:fldChar w:fldCharType="separate"/>
      </w:r>
      <w:r>
        <w:t>6</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_Toc1657 </w:instrText>
      </w:r>
      <w:r>
        <w:rPr>
          <w:rFonts w:hint="eastAsia" w:ascii="宋体" w:hAnsi="宋体" w:eastAsia="宋体" w:cs="宋体"/>
        </w:rPr>
        <w:fldChar w:fldCharType="separate"/>
      </w:r>
      <w:r>
        <w:rPr>
          <w:rFonts w:hint="eastAsia" w:ascii="Arial" w:hAnsi="Arial" w:eastAsia="黑体" w:cs="宋体"/>
        </w:rPr>
        <w:t xml:space="preserve">1.7 </w:t>
      </w:r>
      <w:r>
        <w:t>效益及风险</w:t>
      </w:r>
      <w:r>
        <w:tab/>
      </w:r>
      <w:r>
        <w:fldChar w:fldCharType="begin"/>
      </w:r>
      <w:r>
        <w:instrText xml:space="preserve"> PAGEREF _Toc1657 \h </w:instrText>
      </w:r>
      <w:r>
        <w:fldChar w:fldCharType="separate"/>
      </w:r>
      <w:r>
        <w:t>7</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_Toc4780 </w:instrText>
      </w:r>
      <w:r>
        <w:rPr>
          <w:rFonts w:hint="eastAsia" w:ascii="宋体" w:hAnsi="宋体" w:eastAsia="宋体" w:cs="宋体"/>
        </w:rPr>
        <w:fldChar w:fldCharType="separate"/>
      </w:r>
      <w:r>
        <w:rPr>
          <w:rFonts w:hint="eastAsia" w:ascii="Arial" w:hAnsi="Arial" w:eastAsia="黑体" w:cs="宋体"/>
          <w:szCs w:val="30"/>
        </w:rPr>
        <w:t xml:space="preserve">1.7.1 </w:t>
      </w:r>
      <w:r>
        <w:rPr>
          <w:rFonts w:hint="eastAsia"/>
        </w:rPr>
        <w:t>项目效益</w:t>
      </w:r>
      <w:r>
        <w:tab/>
      </w:r>
      <w:r>
        <w:fldChar w:fldCharType="begin"/>
      </w:r>
      <w:r>
        <w:instrText xml:space="preserve"> PAGEREF _Toc4780 \h </w:instrText>
      </w:r>
      <w:r>
        <w:fldChar w:fldCharType="separate"/>
      </w:r>
      <w:r>
        <w:t>7</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_Toc26254 </w:instrText>
      </w:r>
      <w:r>
        <w:rPr>
          <w:rFonts w:hint="eastAsia" w:ascii="宋体" w:hAnsi="宋体" w:eastAsia="宋体" w:cs="宋体"/>
        </w:rPr>
        <w:fldChar w:fldCharType="separate"/>
      </w:r>
      <w:r>
        <w:rPr>
          <w:rFonts w:hint="eastAsia" w:ascii="Arial" w:hAnsi="Arial" w:eastAsia="黑体" w:cs="宋体"/>
          <w:szCs w:val="30"/>
        </w:rPr>
        <w:t xml:space="preserve">1.7.2 </w:t>
      </w:r>
      <w:r>
        <w:rPr>
          <w:rFonts w:hint="eastAsia"/>
        </w:rPr>
        <w:t>项目风险</w:t>
      </w:r>
      <w:r>
        <w:tab/>
      </w:r>
      <w:r>
        <w:fldChar w:fldCharType="begin"/>
      </w:r>
      <w:r>
        <w:instrText xml:space="preserve"> PAGEREF _Toc26254 \h </w:instrText>
      </w:r>
      <w:r>
        <w:fldChar w:fldCharType="separate"/>
      </w:r>
      <w:r>
        <w:t>8</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_Toc25702 </w:instrText>
      </w:r>
      <w:r>
        <w:rPr>
          <w:rFonts w:hint="eastAsia" w:ascii="宋体" w:hAnsi="宋体" w:eastAsia="宋体" w:cs="宋体"/>
        </w:rPr>
        <w:fldChar w:fldCharType="separate"/>
      </w:r>
      <w:r>
        <w:rPr>
          <w:rFonts w:hint="eastAsia" w:ascii="Arial" w:hAnsi="Arial" w:eastAsia="黑体" w:cs="宋体"/>
        </w:rPr>
        <w:t xml:space="preserve">1.8 </w:t>
      </w:r>
      <w:r>
        <w:t>主要结论与建议</w:t>
      </w:r>
      <w:r>
        <w:tab/>
      </w:r>
      <w:r>
        <w:fldChar w:fldCharType="begin"/>
      </w:r>
      <w:r>
        <w:instrText xml:space="preserve"> PAGEREF _Toc25702 \h </w:instrText>
      </w:r>
      <w:r>
        <w:fldChar w:fldCharType="separate"/>
      </w:r>
      <w:r>
        <w:t>8</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_Toc5529 </w:instrText>
      </w:r>
      <w:r>
        <w:rPr>
          <w:rFonts w:hint="eastAsia" w:ascii="宋体" w:hAnsi="宋体" w:eastAsia="宋体" w:cs="宋体"/>
        </w:rPr>
        <w:fldChar w:fldCharType="separate"/>
      </w:r>
      <w:r>
        <w:rPr>
          <w:rFonts w:hint="eastAsia" w:ascii="Arial" w:hAnsi="Arial" w:eastAsia="黑体" w:cs="宋体"/>
          <w:szCs w:val="30"/>
        </w:rPr>
        <w:t xml:space="preserve">1.8.1 </w:t>
      </w:r>
      <w:r>
        <w:rPr>
          <w:rFonts w:hint="eastAsia"/>
        </w:rPr>
        <w:t>主要结论</w:t>
      </w:r>
      <w:r>
        <w:tab/>
      </w:r>
      <w:r>
        <w:fldChar w:fldCharType="begin"/>
      </w:r>
      <w:r>
        <w:instrText xml:space="preserve"> PAGEREF _Toc5529 \h </w:instrText>
      </w:r>
      <w:r>
        <w:fldChar w:fldCharType="separate"/>
      </w:r>
      <w:r>
        <w:t>8</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_Toc31805 </w:instrText>
      </w:r>
      <w:r>
        <w:rPr>
          <w:rFonts w:hint="eastAsia" w:ascii="宋体" w:hAnsi="宋体" w:eastAsia="宋体" w:cs="宋体"/>
        </w:rPr>
        <w:fldChar w:fldCharType="separate"/>
      </w:r>
      <w:r>
        <w:rPr>
          <w:rFonts w:hint="eastAsia" w:ascii="Arial" w:hAnsi="Arial" w:eastAsia="黑体" w:cs="宋体"/>
          <w:szCs w:val="30"/>
        </w:rPr>
        <w:t xml:space="preserve">1.8.2 </w:t>
      </w:r>
      <w:r>
        <w:rPr>
          <w:rFonts w:hint="eastAsia"/>
        </w:rPr>
        <w:t>建议</w:t>
      </w:r>
      <w:r>
        <w:tab/>
      </w:r>
      <w:r>
        <w:fldChar w:fldCharType="begin"/>
      </w:r>
      <w:r>
        <w:instrText xml:space="preserve"> PAGEREF _Toc31805 \h </w:instrText>
      </w:r>
      <w:r>
        <w:fldChar w:fldCharType="separate"/>
      </w:r>
      <w:r>
        <w:t>9</w:t>
      </w:r>
      <w:r>
        <w:fldChar w:fldCharType="end"/>
      </w:r>
      <w:r>
        <w:rPr>
          <w:rFonts w:hint="eastAsia" w:ascii="宋体" w:hAnsi="宋体" w:eastAsia="宋体" w:cs="宋体"/>
        </w:rPr>
        <w:fldChar w:fldCharType="end"/>
      </w:r>
    </w:p>
    <w:p>
      <w:pPr>
        <w:pStyle w:val="22"/>
        <w:tabs>
          <w:tab w:val="right" w:leader="dot" w:pos="8255"/>
          <w:tab w:val="clear" w:pos="8296"/>
        </w:tabs>
      </w:pPr>
      <w:r>
        <w:rPr>
          <w:rFonts w:hint="eastAsia" w:ascii="宋体" w:hAnsi="宋体" w:eastAsia="宋体" w:cs="宋体"/>
        </w:rPr>
        <w:fldChar w:fldCharType="begin"/>
      </w:r>
      <w:r>
        <w:rPr>
          <w:rFonts w:hint="eastAsia" w:ascii="宋体" w:hAnsi="宋体" w:eastAsia="宋体" w:cs="宋体"/>
        </w:rPr>
        <w:instrText xml:space="preserve"> HYPERLINK \l _Toc10827 </w:instrText>
      </w:r>
      <w:r>
        <w:rPr>
          <w:rFonts w:hint="eastAsia" w:ascii="宋体" w:hAnsi="宋体" w:eastAsia="宋体" w:cs="宋体"/>
        </w:rPr>
        <w:fldChar w:fldCharType="separate"/>
      </w:r>
      <w:r>
        <w:rPr>
          <w:rFonts w:hint="eastAsia" w:ascii="Arial" w:hAnsi="Arial" w:eastAsia="黑体"/>
        </w:rPr>
        <w:t xml:space="preserve">第二章 </w:t>
      </w:r>
      <w:r>
        <w:rPr>
          <w:rFonts w:hint="eastAsia"/>
          <w:lang w:val="en-US" w:eastAsia="zh-CN"/>
        </w:rPr>
        <w:t>项目建设现状及必要性分析</w:t>
      </w:r>
      <w:r>
        <w:tab/>
      </w:r>
      <w:r>
        <w:fldChar w:fldCharType="begin"/>
      </w:r>
      <w:r>
        <w:instrText xml:space="preserve"> PAGEREF _Toc10827 \h </w:instrText>
      </w:r>
      <w:r>
        <w:fldChar w:fldCharType="separate"/>
      </w:r>
      <w:r>
        <w:t>10</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_Toc19661 </w:instrText>
      </w:r>
      <w:r>
        <w:rPr>
          <w:rFonts w:hint="eastAsia" w:ascii="宋体" w:hAnsi="宋体" w:eastAsia="宋体" w:cs="宋体"/>
        </w:rPr>
        <w:fldChar w:fldCharType="separate"/>
      </w:r>
      <w:r>
        <w:rPr>
          <w:rFonts w:hint="eastAsia" w:ascii="Arial" w:hAnsi="Arial" w:eastAsia="黑体" w:cs="宋体"/>
          <w:lang w:val="en-GB"/>
        </w:rPr>
        <w:t xml:space="preserve">2.1 </w:t>
      </w:r>
      <w:r>
        <w:rPr>
          <w:rFonts w:hint="eastAsia"/>
          <w:lang w:val="en-US" w:eastAsia="zh-CN"/>
        </w:rPr>
        <w:t>项目建设背景</w:t>
      </w:r>
      <w:r>
        <w:tab/>
      </w:r>
      <w:r>
        <w:fldChar w:fldCharType="begin"/>
      </w:r>
      <w:r>
        <w:instrText xml:space="preserve"> PAGEREF _Toc19661 \h </w:instrText>
      </w:r>
      <w:r>
        <w:fldChar w:fldCharType="separate"/>
      </w:r>
      <w:r>
        <w:t>10</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_Toc25002 </w:instrText>
      </w:r>
      <w:r>
        <w:rPr>
          <w:rFonts w:hint="eastAsia" w:ascii="宋体" w:hAnsi="宋体" w:eastAsia="宋体" w:cs="宋体"/>
        </w:rPr>
        <w:fldChar w:fldCharType="separate"/>
      </w:r>
      <w:r>
        <w:rPr>
          <w:rFonts w:hint="eastAsia" w:ascii="Arial" w:hAnsi="Arial" w:eastAsia="黑体" w:cs="宋体"/>
          <w:lang w:val="en-US" w:eastAsia="zh-CN"/>
        </w:rPr>
        <w:t xml:space="preserve">2.2 </w:t>
      </w:r>
      <w:r>
        <w:rPr>
          <w:rFonts w:hint="eastAsia"/>
          <w:lang w:val="en-US" w:eastAsia="zh-CN"/>
        </w:rPr>
        <w:t>现状及存在的问题</w:t>
      </w:r>
      <w:r>
        <w:tab/>
      </w:r>
      <w:r>
        <w:fldChar w:fldCharType="begin"/>
      </w:r>
      <w:r>
        <w:instrText xml:space="preserve"> PAGEREF _Toc25002 \h </w:instrText>
      </w:r>
      <w:r>
        <w:fldChar w:fldCharType="separate"/>
      </w:r>
      <w:r>
        <w:t>10</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_Toc16935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2.2.1 </w:t>
      </w:r>
      <w:r>
        <w:rPr>
          <w:rFonts w:hint="eastAsia"/>
          <w:highlight w:val="none"/>
          <w:lang w:val="en-US" w:eastAsia="zh-CN"/>
        </w:rPr>
        <w:t>公安局现状</w:t>
      </w:r>
      <w:r>
        <w:tab/>
      </w:r>
      <w:r>
        <w:fldChar w:fldCharType="begin"/>
      </w:r>
      <w:r>
        <w:instrText xml:space="preserve"> PAGEREF _Toc16935 \h </w:instrText>
      </w:r>
      <w:r>
        <w:fldChar w:fldCharType="separate"/>
      </w:r>
      <w:r>
        <w:t>10</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_Toc27743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2.2.2 </w:t>
      </w:r>
      <w:r>
        <w:rPr>
          <w:rFonts w:hint="eastAsia"/>
          <w:highlight w:val="none"/>
          <w:lang w:val="en-US" w:eastAsia="zh-CN"/>
        </w:rPr>
        <w:t>综合帮扶项目监控系统现状</w:t>
      </w:r>
      <w:r>
        <w:tab/>
      </w:r>
      <w:r>
        <w:fldChar w:fldCharType="begin"/>
      </w:r>
      <w:r>
        <w:instrText xml:space="preserve"> PAGEREF _Toc27743 \h </w:instrText>
      </w:r>
      <w:r>
        <w:fldChar w:fldCharType="separate"/>
      </w:r>
      <w:r>
        <w:t>14</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_Toc20441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2.2.3 </w:t>
      </w:r>
      <w:r>
        <w:rPr>
          <w:rFonts w:hint="eastAsia"/>
          <w:lang w:val="en-US" w:eastAsia="zh-CN"/>
        </w:rPr>
        <w:t>自动水质监测站现状</w:t>
      </w:r>
      <w:r>
        <w:tab/>
      </w:r>
      <w:r>
        <w:fldChar w:fldCharType="begin"/>
      </w:r>
      <w:r>
        <w:instrText xml:space="preserve"> PAGEREF _Toc20441 \h </w:instrText>
      </w:r>
      <w:r>
        <w:fldChar w:fldCharType="separate"/>
      </w:r>
      <w:r>
        <w:t>15</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_Toc28537 </w:instrText>
      </w:r>
      <w:r>
        <w:rPr>
          <w:rFonts w:hint="eastAsia" w:ascii="宋体" w:hAnsi="宋体" w:eastAsia="宋体" w:cs="宋体"/>
        </w:rPr>
        <w:fldChar w:fldCharType="separate"/>
      </w:r>
      <w:r>
        <w:rPr>
          <w:rFonts w:hint="eastAsia" w:ascii="Arial" w:hAnsi="Arial" w:eastAsia="黑体" w:cs="宋体"/>
          <w:szCs w:val="30"/>
        </w:rPr>
        <w:t xml:space="preserve">2.2.4 </w:t>
      </w:r>
      <w:r>
        <w:rPr>
          <w:rFonts w:hint="eastAsia"/>
          <w:lang w:val="en-US" w:eastAsia="zh-CN"/>
        </w:rPr>
        <w:t>存在的问题</w:t>
      </w:r>
      <w:r>
        <w:tab/>
      </w:r>
      <w:r>
        <w:fldChar w:fldCharType="begin"/>
      </w:r>
      <w:r>
        <w:instrText xml:space="preserve"> PAGEREF _Toc28537 \h </w:instrText>
      </w:r>
      <w:r>
        <w:fldChar w:fldCharType="separate"/>
      </w:r>
      <w:r>
        <w:t>17</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_Toc8485 </w:instrText>
      </w:r>
      <w:r>
        <w:rPr>
          <w:rFonts w:hint="eastAsia" w:ascii="宋体" w:hAnsi="宋体" w:eastAsia="宋体" w:cs="宋体"/>
        </w:rPr>
        <w:fldChar w:fldCharType="separate"/>
      </w:r>
      <w:r>
        <w:rPr>
          <w:rFonts w:hint="eastAsia" w:ascii="Arial" w:hAnsi="Arial" w:eastAsia="黑体" w:cs="宋体"/>
          <w:lang w:val="en-US" w:eastAsia="zh-CN"/>
        </w:rPr>
        <w:t xml:space="preserve">2.3 </w:t>
      </w:r>
      <w:r>
        <w:rPr>
          <w:rFonts w:hint="eastAsia"/>
          <w:lang w:val="en-US" w:eastAsia="zh-CN"/>
        </w:rPr>
        <w:t>项目发展趋势分析</w:t>
      </w:r>
      <w:r>
        <w:tab/>
      </w:r>
      <w:r>
        <w:fldChar w:fldCharType="begin"/>
      </w:r>
      <w:r>
        <w:instrText xml:space="preserve"> PAGEREF _Toc8485 \h </w:instrText>
      </w:r>
      <w:r>
        <w:fldChar w:fldCharType="separate"/>
      </w:r>
      <w:r>
        <w:t>18</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_Toc20075 </w:instrText>
      </w:r>
      <w:r>
        <w:rPr>
          <w:rFonts w:hint="eastAsia" w:ascii="宋体" w:hAnsi="宋体" w:eastAsia="宋体" w:cs="宋体"/>
        </w:rPr>
        <w:fldChar w:fldCharType="separate"/>
      </w:r>
      <w:r>
        <w:rPr>
          <w:rFonts w:hint="eastAsia" w:ascii="Arial" w:hAnsi="Arial" w:eastAsia="黑体" w:cs="宋体"/>
          <w:lang w:val="en-US" w:eastAsia="zh-CN"/>
        </w:rPr>
        <w:t xml:space="preserve">2.4 </w:t>
      </w:r>
      <w:r>
        <w:rPr>
          <w:rFonts w:hint="eastAsia"/>
          <w:lang w:val="en-US" w:eastAsia="zh-CN"/>
        </w:rPr>
        <w:t>需求分析</w:t>
      </w:r>
      <w:r>
        <w:tab/>
      </w:r>
      <w:r>
        <w:fldChar w:fldCharType="begin"/>
      </w:r>
      <w:r>
        <w:instrText xml:space="preserve"> PAGEREF _Toc20075 \h </w:instrText>
      </w:r>
      <w:r>
        <w:fldChar w:fldCharType="separate"/>
      </w:r>
      <w:r>
        <w:t>19</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_Toc25577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2.4.1 </w:t>
      </w:r>
      <w:r>
        <w:rPr>
          <w:rFonts w:hint="eastAsia"/>
          <w:lang w:val="en-US" w:eastAsia="zh-CN"/>
        </w:rPr>
        <w:t>传输带宽需求分析</w:t>
      </w:r>
      <w:r>
        <w:tab/>
      </w:r>
      <w:r>
        <w:fldChar w:fldCharType="begin"/>
      </w:r>
      <w:r>
        <w:instrText xml:space="preserve"> PAGEREF _Toc25577 \h </w:instrText>
      </w:r>
      <w:r>
        <w:fldChar w:fldCharType="separate"/>
      </w:r>
      <w:r>
        <w:t>19</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_Toc24308 </w:instrText>
      </w:r>
      <w:r>
        <w:rPr>
          <w:rFonts w:hint="eastAsia" w:ascii="宋体" w:hAnsi="宋体" w:eastAsia="宋体" w:cs="宋体"/>
        </w:rPr>
        <w:fldChar w:fldCharType="separate"/>
      </w:r>
      <w:r>
        <w:rPr>
          <w:rFonts w:hint="eastAsia" w:ascii="Arial" w:hAnsi="Arial" w:eastAsia="黑体" w:cs="宋体"/>
          <w:szCs w:val="30"/>
        </w:rPr>
        <w:t xml:space="preserve">2.4.2 </w:t>
      </w:r>
      <w:r>
        <w:t>视频存储</w:t>
      </w:r>
      <w:r>
        <w:rPr>
          <w:rFonts w:hint="eastAsia"/>
          <w:lang w:val="en-US" w:eastAsia="zh-CN"/>
        </w:rPr>
        <w:t>量分析</w:t>
      </w:r>
      <w:r>
        <w:tab/>
      </w:r>
      <w:r>
        <w:fldChar w:fldCharType="begin"/>
      </w:r>
      <w:r>
        <w:instrText xml:space="preserve"> PAGEREF _Toc24308 \h </w:instrText>
      </w:r>
      <w:r>
        <w:fldChar w:fldCharType="separate"/>
      </w:r>
      <w:r>
        <w:t>20</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_Toc16624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2.4.3 </w:t>
      </w:r>
      <w:r>
        <w:rPr>
          <w:rFonts w:hint="eastAsia"/>
          <w:lang w:val="en-US" w:eastAsia="zh-CN"/>
        </w:rPr>
        <w:t>接入能力分析</w:t>
      </w:r>
      <w:r>
        <w:tab/>
      </w:r>
      <w:r>
        <w:fldChar w:fldCharType="begin"/>
      </w:r>
      <w:r>
        <w:instrText xml:space="preserve"> PAGEREF _Toc16624 \h </w:instrText>
      </w:r>
      <w:r>
        <w:fldChar w:fldCharType="separate"/>
      </w:r>
      <w:r>
        <w:t>23</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_Toc20625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2.4.4 </w:t>
      </w:r>
      <w:r>
        <w:rPr>
          <w:rFonts w:hint="eastAsia"/>
          <w:lang w:val="en-US" w:eastAsia="zh-CN"/>
        </w:rPr>
        <w:t>视频转发分析</w:t>
      </w:r>
      <w:r>
        <w:tab/>
      </w:r>
      <w:r>
        <w:fldChar w:fldCharType="begin"/>
      </w:r>
      <w:r>
        <w:instrText xml:space="preserve"> PAGEREF _Toc20625 \h </w:instrText>
      </w:r>
      <w:r>
        <w:fldChar w:fldCharType="separate"/>
      </w:r>
      <w:r>
        <w:t>23</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_Toc13348 </w:instrText>
      </w:r>
      <w:r>
        <w:rPr>
          <w:rFonts w:hint="eastAsia" w:ascii="宋体" w:hAnsi="宋体" w:eastAsia="宋体" w:cs="宋体"/>
        </w:rPr>
        <w:fldChar w:fldCharType="separate"/>
      </w:r>
      <w:r>
        <w:rPr>
          <w:rFonts w:hint="eastAsia" w:ascii="Arial" w:hAnsi="Arial" w:eastAsia="黑体" w:cs="宋体"/>
          <w:szCs w:val="30"/>
          <w:lang w:val="en-US"/>
        </w:rPr>
        <w:t xml:space="preserve">2.4.5 </w:t>
      </w:r>
      <w:r>
        <w:rPr>
          <w:rFonts w:hint="eastAsia"/>
          <w:lang w:val="en-US" w:eastAsia="zh-CN"/>
        </w:rPr>
        <w:t>水质监测站需求</w:t>
      </w:r>
      <w:r>
        <w:tab/>
      </w:r>
      <w:r>
        <w:fldChar w:fldCharType="begin"/>
      </w:r>
      <w:r>
        <w:instrText xml:space="preserve"> PAGEREF _Toc13348 \h </w:instrText>
      </w:r>
      <w:r>
        <w:fldChar w:fldCharType="separate"/>
      </w:r>
      <w:r>
        <w:t>23</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_Toc30837 </w:instrText>
      </w:r>
      <w:r>
        <w:rPr>
          <w:rFonts w:hint="eastAsia" w:ascii="宋体" w:hAnsi="宋体" w:eastAsia="宋体" w:cs="宋体"/>
        </w:rPr>
        <w:fldChar w:fldCharType="separate"/>
      </w:r>
      <w:r>
        <w:rPr>
          <w:rFonts w:hint="eastAsia" w:ascii="Arial" w:hAnsi="Arial" w:eastAsia="黑体" w:cs="宋体"/>
          <w:szCs w:val="30"/>
          <w:lang w:val="en-US"/>
        </w:rPr>
        <w:t xml:space="preserve">2.4.6 </w:t>
      </w:r>
      <w:r>
        <w:rPr>
          <w:rFonts w:hint="eastAsia"/>
          <w:lang w:val="en-US" w:eastAsia="zh-CN"/>
        </w:rPr>
        <w:t>终端建设需求</w:t>
      </w:r>
      <w:r>
        <w:tab/>
      </w:r>
      <w:r>
        <w:fldChar w:fldCharType="begin"/>
      </w:r>
      <w:r>
        <w:instrText xml:space="preserve"> PAGEREF _Toc30837 \h </w:instrText>
      </w:r>
      <w:r>
        <w:fldChar w:fldCharType="separate"/>
      </w:r>
      <w:r>
        <w:t>25</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_Toc11025 </w:instrText>
      </w:r>
      <w:r>
        <w:rPr>
          <w:rFonts w:hint="eastAsia" w:ascii="宋体" w:hAnsi="宋体" w:eastAsia="宋体" w:cs="宋体"/>
        </w:rPr>
        <w:fldChar w:fldCharType="separate"/>
      </w:r>
      <w:r>
        <w:rPr>
          <w:rFonts w:hint="eastAsia" w:ascii="Arial" w:hAnsi="Arial" w:eastAsia="黑体" w:cs="宋体"/>
          <w:szCs w:val="30"/>
          <w:lang w:eastAsia="zh-CN"/>
        </w:rPr>
        <w:t xml:space="preserve">2.4.7 </w:t>
      </w:r>
      <w:r>
        <w:rPr>
          <w:rFonts w:hint="eastAsia"/>
          <w:lang w:val="en-US" w:eastAsia="zh-CN"/>
        </w:rPr>
        <w:t>水利局存储需求</w:t>
      </w:r>
      <w:r>
        <w:tab/>
      </w:r>
      <w:r>
        <w:fldChar w:fldCharType="begin"/>
      </w:r>
      <w:r>
        <w:instrText xml:space="preserve"> PAGEREF _Toc11025 \h </w:instrText>
      </w:r>
      <w:r>
        <w:fldChar w:fldCharType="separate"/>
      </w:r>
      <w:r>
        <w:t>25</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_Toc28293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2.4.8 </w:t>
      </w:r>
      <w:r>
        <w:rPr>
          <w:rFonts w:hint="eastAsia"/>
          <w:lang w:val="en-US" w:eastAsia="zh-CN"/>
        </w:rPr>
        <w:t>安全系统需求</w:t>
      </w:r>
      <w:r>
        <w:tab/>
      </w:r>
      <w:r>
        <w:fldChar w:fldCharType="begin"/>
      </w:r>
      <w:r>
        <w:instrText xml:space="preserve"> PAGEREF _Toc28293 \h </w:instrText>
      </w:r>
      <w:r>
        <w:fldChar w:fldCharType="separate"/>
      </w:r>
      <w:r>
        <w:t>26</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_Toc17541 </w:instrText>
      </w:r>
      <w:r>
        <w:rPr>
          <w:rFonts w:hint="eastAsia" w:ascii="宋体" w:hAnsi="宋体" w:eastAsia="宋体" w:cs="宋体"/>
        </w:rPr>
        <w:fldChar w:fldCharType="separate"/>
      </w:r>
      <w:r>
        <w:rPr>
          <w:rFonts w:hint="eastAsia" w:ascii="Arial" w:hAnsi="Arial" w:eastAsia="黑体" w:cs="宋体"/>
          <w:szCs w:val="30"/>
        </w:rPr>
        <w:t xml:space="preserve">2.4.9 </w:t>
      </w:r>
      <w:r>
        <w:rPr>
          <w:rFonts w:hint="default"/>
        </w:rPr>
        <w:t>系统性能指标</w:t>
      </w:r>
      <w:r>
        <w:tab/>
      </w:r>
      <w:r>
        <w:fldChar w:fldCharType="begin"/>
      </w:r>
      <w:r>
        <w:instrText xml:space="preserve"> PAGEREF _Toc17541 \h </w:instrText>
      </w:r>
      <w:r>
        <w:fldChar w:fldCharType="separate"/>
      </w:r>
      <w:r>
        <w:t>26</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_Toc2785 </w:instrText>
      </w:r>
      <w:r>
        <w:rPr>
          <w:rFonts w:hint="eastAsia" w:ascii="宋体" w:hAnsi="宋体" w:eastAsia="宋体" w:cs="宋体"/>
        </w:rPr>
        <w:fldChar w:fldCharType="separate"/>
      </w:r>
      <w:r>
        <w:rPr>
          <w:rFonts w:hint="eastAsia" w:ascii="Arial" w:hAnsi="Arial" w:eastAsia="黑体" w:cs="宋体"/>
          <w:lang w:val="en-US" w:eastAsia="zh-CN"/>
        </w:rPr>
        <w:t xml:space="preserve">2.5 </w:t>
      </w:r>
      <w:r>
        <w:rPr>
          <w:rFonts w:hint="eastAsia"/>
          <w:lang w:val="en-US" w:eastAsia="zh-CN"/>
        </w:rPr>
        <w:t>项目建设的必要性</w:t>
      </w:r>
      <w:r>
        <w:tab/>
      </w:r>
      <w:r>
        <w:fldChar w:fldCharType="begin"/>
      </w:r>
      <w:r>
        <w:instrText xml:space="preserve"> PAGEREF _Toc2785 \h </w:instrText>
      </w:r>
      <w:r>
        <w:fldChar w:fldCharType="separate"/>
      </w:r>
      <w:r>
        <w:t>29</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_Toc8804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2.5.1 </w:t>
      </w:r>
      <w:r>
        <w:rPr>
          <w:rFonts w:hint="eastAsia"/>
          <w:lang w:val="en-US" w:eastAsia="zh-CN"/>
        </w:rPr>
        <w:t>优化监控范围和布局，提升监控精度和数据存储</w:t>
      </w:r>
      <w:r>
        <w:tab/>
      </w:r>
      <w:r>
        <w:fldChar w:fldCharType="begin"/>
      </w:r>
      <w:r>
        <w:instrText xml:space="preserve"> PAGEREF _Toc8804 \h </w:instrText>
      </w:r>
      <w:r>
        <w:fldChar w:fldCharType="separate"/>
      </w:r>
      <w:r>
        <w:t>29</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_Toc4354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2.5.2 </w:t>
      </w:r>
      <w:r>
        <w:rPr>
          <w:rFonts w:hint="eastAsia"/>
          <w:lang w:val="en-US" w:eastAsia="zh-CN"/>
        </w:rPr>
        <w:t>提升社会治安水平，确保居民安全</w:t>
      </w:r>
      <w:r>
        <w:tab/>
      </w:r>
      <w:r>
        <w:fldChar w:fldCharType="begin"/>
      </w:r>
      <w:r>
        <w:instrText xml:space="preserve"> PAGEREF _Toc4354 \h </w:instrText>
      </w:r>
      <w:r>
        <w:fldChar w:fldCharType="separate"/>
      </w:r>
      <w:r>
        <w:t>29</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_Toc1766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2.5.3 </w:t>
      </w:r>
      <w:r>
        <w:rPr>
          <w:rFonts w:hint="eastAsia"/>
          <w:lang w:val="en-US" w:eastAsia="zh-CN"/>
        </w:rPr>
        <w:t>提升水质检测能力，保障水资源安全</w:t>
      </w:r>
      <w:r>
        <w:tab/>
      </w:r>
      <w:r>
        <w:fldChar w:fldCharType="begin"/>
      </w:r>
      <w:r>
        <w:instrText xml:space="preserve"> PAGEREF _Toc1766 \h </w:instrText>
      </w:r>
      <w:r>
        <w:fldChar w:fldCharType="separate"/>
      </w:r>
      <w:r>
        <w:t>29</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_Toc31859 </w:instrText>
      </w:r>
      <w:r>
        <w:rPr>
          <w:rFonts w:hint="eastAsia" w:ascii="宋体" w:hAnsi="宋体" w:eastAsia="宋体" w:cs="宋体"/>
        </w:rPr>
        <w:fldChar w:fldCharType="separate"/>
      </w:r>
      <w:r>
        <w:rPr>
          <w:rFonts w:hint="eastAsia" w:ascii="Arial" w:hAnsi="Arial" w:eastAsia="黑体" w:cs="宋体"/>
          <w:lang w:val="en-US" w:eastAsia="zh-CN"/>
        </w:rPr>
        <w:t xml:space="preserve">2.6 </w:t>
      </w:r>
      <w:r>
        <w:rPr>
          <w:rFonts w:hint="eastAsia"/>
          <w:lang w:val="en-US" w:eastAsia="zh-CN"/>
        </w:rPr>
        <w:t>项目建设的可行性</w:t>
      </w:r>
      <w:r>
        <w:tab/>
      </w:r>
      <w:r>
        <w:fldChar w:fldCharType="begin"/>
      </w:r>
      <w:r>
        <w:instrText xml:space="preserve"> PAGEREF _Toc31859 \h </w:instrText>
      </w:r>
      <w:r>
        <w:fldChar w:fldCharType="separate"/>
      </w:r>
      <w:r>
        <w:t>30</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_Toc205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2.6.1 </w:t>
      </w:r>
      <w:r>
        <w:rPr>
          <w:rFonts w:hint="eastAsia"/>
          <w:lang w:val="en-US" w:eastAsia="zh-CN"/>
        </w:rPr>
        <w:t>政策可行性</w:t>
      </w:r>
      <w:r>
        <w:tab/>
      </w:r>
      <w:r>
        <w:fldChar w:fldCharType="begin"/>
      </w:r>
      <w:r>
        <w:instrText xml:space="preserve"> PAGEREF _Toc205 \h </w:instrText>
      </w:r>
      <w:r>
        <w:fldChar w:fldCharType="separate"/>
      </w:r>
      <w:r>
        <w:t>30</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_Toc17585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2.6.2 </w:t>
      </w:r>
      <w:r>
        <w:rPr>
          <w:rFonts w:hint="eastAsia"/>
          <w:lang w:val="en-US" w:eastAsia="zh-CN"/>
        </w:rPr>
        <w:t>资金可行性</w:t>
      </w:r>
      <w:r>
        <w:tab/>
      </w:r>
      <w:r>
        <w:fldChar w:fldCharType="begin"/>
      </w:r>
      <w:r>
        <w:instrText xml:space="preserve"> PAGEREF _Toc17585 \h </w:instrText>
      </w:r>
      <w:r>
        <w:fldChar w:fldCharType="separate"/>
      </w:r>
      <w:r>
        <w:t>30</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_Toc18014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2.6.3 </w:t>
      </w:r>
      <w:r>
        <w:rPr>
          <w:rFonts w:hint="eastAsia"/>
          <w:lang w:val="en-US" w:eastAsia="zh-CN"/>
        </w:rPr>
        <w:t>技术可行性</w:t>
      </w:r>
      <w:r>
        <w:tab/>
      </w:r>
      <w:r>
        <w:fldChar w:fldCharType="begin"/>
      </w:r>
      <w:r>
        <w:instrText xml:space="preserve"> PAGEREF _Toc18014 \h </w:instrText>
      </w:r>
      <w:r>
        <w:fldChar w:fldCharType="separate"/>
      </w:r>
      <w:r>
        <w:t>31</w:t>
      </w:r>
      <w:r>
        <w:fldChar w:fldCharType="end"/>
      </w:r>
      <w:r>
        <w:rPr>
          <w:rFonts w:hint="eastAsia" w:ascii="宋体" w:hAnsi="宋体" w:eastAsia="宋体" w:cs="宋体"/>
        </w:rPr>
        <w:fldChar w:fldCharType="end"/>
      </w:r>
    </w:p>
    <w:p>
      <w:pPr>
        <w:pStyle w:val="22"/>
        <w:tabs>
          <w:tab w:val="right" w:leader="dot" w:pos="8255"/>
          <w:tab w:val="clear" w:pos="8296"/>
        </w:tabs>
      </w:pPr>
      <w:r>
        <w:rPr>
          <w:rFonts w:hint="eastAsia" w:ascii="宋体" w:hAnsi="宋体" w:eastAsia="宋体" w:cs="宋体"/>
        </w:rPr>
        <w:fldChar w:fldCharType="begin"/>
      </w:r>
      <w:r>
        <w:rPr>
          <w:rFonts w:hint="eastAsia" w:ascii="宋体" w:hAnsi="宋体" w:eastAsia="宋体" w:cs="宋体"/>
        </w:rPr>
        <w:instrText xml:space="preserve"> HYPERLINK \l _Toc22715 </w:instrText>
      </w:r>
      <w:r>
        <w:rPr>
          <w:rFonts w:hint="eastAsia" w:ascii="宋体" w:hAnsi="宋体" w:eastAsia="宋体" w:cs="宋体"/>
        </w:rPr>
        <w:fldChar w:fldCharType="separate"/>
      </w:r>
      <w:r>
        <w:rPr>
          <w:rFonts w:hint="eastAsia" w:ascii="Arial" w:hAnsi="Arial" w:eastAsia="黑体"/>
        </w:rPr>
        <w:t xml:space="preserve">第三章 </w:t>
      </w:r>
      <w:r>
        <w:rPr>
          <w:rFonts w:hint="eastAsia"/>
          <w:lang w:val="en-US" w:eastAsia="zh-CN"/>
        </w:rPr>
        <w:t>项目架构治理方案</w:t>
      </w:r>
      <w:r>
        <w:tab/>
      </w:r>
      <w:r>
        <w:fldChar w:fldCharType="begin"/>
      </w:r>
      <w:r>
        <w:instrText xml:space="preserve"> PAGEREF _Toc22715 \h </w:instrText>
      </w:r>
      <w:r>
        <w:fldChar w:fldCharType="separate"/>
      </w:r>
      <w:r>
        <w:t>32</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_Toc7463 </w:instrText>
      </w:r>
      <w:r>
        <w:rPr>
          <w:rFonts w:hint="eastAsia" w:ascii="宋体" w:hAnsi="宋体" w:eastAsia="宋体" w:cs="宋体"/>
        </w:rPr>
        <w:fldChar w:fldCharType="separate"/>
      </w:r>
      <w:r>
        <w:rPr>
          <w:rFonts w:hint="eastAsia" w:ascii="Arial" w:hAnsi="Arial" w:eastAsia="黑体" w:cs="宋体"/>
        </w:rPr>
        <w:t xml:space="preserve">3.1 </w:t>
      </w:r>
      <w:r>
        <w:t>设计</w:t>
      </w:r>
      <w:r>
        <w:rPr>
          <w:rFonts w:hint="eastAsia"/>
          <w:lang w:val="en-US" w:eastAsia="zh-CN"/>
        </w:rPr>
        <w:t>思路</w:t>
      </w:r>
      <w:r>
        <w:tab/>
      </w:r>
      <w:r>
        <w:fldChar w:fldCharType="begin"/>
      </w:r>
      <w:r>
        <w:instrText xml:space="preserve"> PAGEREF _Toc7463 \h </w:instrText>
      </w:r>
      <w:r>
        <w:fldChar w:fldCharType="separate"/>
      </w:r>
      <w:r>
        <w:t>32</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_Toc22605 </w:instrText>
      </w:r>
      <w:r>
        <w:rPr>
          <w:rFonts w:hint="eastAsia" w:ascii="宋体" w:hAnsi="宋体" w:eastAsia="宋体" w:cs="宋体"/>
        </w:rPr>
        <w:fldChar w:fldCharType="separate"/>
      </w:r>
      <w:r>
        <w:rPr>
          <w:rFonts w:hint="eastAsia" w:ascii="Arial" w:hAnsi="Arial" w:eastAsia="黑体" w:cs="宋体"/>
        </w:rPr>
        <w:t xml:space="preserve">3.2 </w:t>
      </w:r>
      <w:r>
        <w:rPr>
          <w:rFonts w:hint="eastAsia"/>
        </w:rPr>
        <w:t>总体目标</w:t>
      </w:r>
      <w:r>
        <w:tab/>
      </w:r>
      <w:r>
        <w:fldChar w:fldCharType="begin"/>
      </w:r>
      <w:r>
        <w:instrText xml:space="preserve"> PAGEREF _Toc22605 \h </w:instrText>
      </w:r>
      <w:r>
        <w:fldChar w:fldCharType="separate"/>
      </w:r>
      <w:r>
        <w:t>33</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_Toc23757 </w:instrText>
      </w:r>
      <w:r>
        <w:rPr>
          <w:rFonts w:hint="eastAsia" w:ascii="宋体" w:hAnsi="宋体" w:eastAsia="宋体" w:cs="宋体"/>
        </w:rPr>
        <w:fldChar w:fldCharType="separate"/>
      </w:r>
      <w:r>
        <w:rPr>
          <w:rFonts w:hint="eastAsia" w:ascii="Arial" w:hAnsi="Arial" w:eastAsia="黑体" w:cs="宋体"/>
        </w:rPr>
        <w:t xml:space="preserve">3.3 </w:t>
      </w:r>
      <w:r>
        <w:t>建设内容</w:t>
      </w:r>
      <w:r>
        <w:tab/>
      </w:r>
      <w:r>
        <w:fldChar w:fldCharType="begin"/>
      </w:r>
      <w:r>
        <w:instrText xml:space="preserve"> PAGEREF _Toc23757 \h </w:instrText>
      </w:r>
      <w:r>
        <w:fldChar w:fldCharType="separate"/>
      </w:r>
      <w:r>
        <w:t>33</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_Toc32742 </w:instrText>
      </w:r>
      <w:r>
        <w:rPr>
          <w:rFonts w:hint="eastAsia" w:ascii="宋体" w:hAnsi="宋体" w:eastAsia="宋体" w:cs="宋体"/>
        </w:rPr>
        <w:fldChar w:fldCharType="separate"/>
      </w:r>
      <w:r>
        <w:rPr>
          <w:rFonts w:hint="eastAsia" w:ascii="Arial" w:hAnsi="Arial" w:eastAsia="黑体" w:cs="宋体"/>
          <w:lang w:val="en-US" w:eastAsia="zh-CN"/>
        </w:rPr>
        <w:t xml:space="preserve">3.4 </w:t>
      </w:r>
      <w:r>
        <w:rPr>
          <w:rFonts w:hint="eastAsia"/>
          <w:lang w:val="en-US" w:eastAsia="zh-CN"/>
        </w:rPr>
        <w:t>项目架构方案</w:t>
      </w:r>
      <w:r>
        <w:tab/>
      </w:r>
      <w:r>
        <w:fldChar w:fldCharType="begin"/>
      </w:r>
      <w:r>
        <w:instrText xml:space="preserve"> PAGEREF _Toc32742 \h </w:instrText>
      </w:r>
      <w:r>
        <w:fldChar w:fldCharType="separate"/>
      </w:r>
      <w:r>
        <w:t>34</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_Toc19837 </w:instrText>
      </w:r>
      <w:r>
        <w:rPr>
          <w:rFonts w:hint="eastAsia" w:ascii="宋体" w:hAnsi="宋体" w:eastAsia="宋体" w:cs="宋体"/>
        </w:rPr>
        <w:fldChar w:fldCharType="separate"/>
      </w:r>
      <w:r>
        <w:rPr>
          <w:rFonts w:hint="eastAsia" w:ascii="Arial" w:hAnsi="Arial" w:eastAsia="黑体" w:cs="宋体"/>
          <w:szCs w:val="30"/>
        </w:rPr>
        <w:t xml:space="preserve">3.4.1 </w:t>
      </w:r>
      <w:r>
        <w:rPr>
          <w:rFonts w:hint="eastAsia"/>
        </w:rPr>
        <w:t>总体架构</w:t>
      </w:r>
      <w:r>
        <w:tab/>
      </w:r>
      <w:r>
        <w:fldChar w:fldCharType="begin"/>
      </w:r>
      <w:r>
        <w:instrText xml:space="preserve"> PAGEREF _Toc19837 \h </w:instrText>
      </w:r>
      <w:r>
        <w:fldChar w:fldCharType="separate"/>
      </w:r>
      <w:r>
        <w:t>34</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_Toc9733 </w:instrText>
      </w:r>
      <w:r>
        <w:rPr>
          <w:rFonts w:hint="eastAsia" w:ascii="宋体" w:hAnsi="宋体" w:eastAsia="宋体" w:cs="宋体"/>
        </w:rPr>
        <w:fldChar w:fldCharType="separate"/>
      </w:r>
      <w:r>
        <w:rPr>
          <w:rFonts w:hint="eastAsia" w:ascii="Arial" w:hAnsi="Arial" w:eastAsia="黑体" w:cs="宋体"/>
          <w:szCs w:val="30"/>
        </w:rPr>
        <w:t xml:space="preserve">3.4.2 </w:t>
      </w:r>
      <w:r>
        <w:rPr>
          <w:rFonts w:hint="eastAsia"/>
          <w:lang w:val="en-US" w:eastAsia="zh-CN"/>
        </w:rPr>
        <w:t>网络架构</w:t>
      </w:r>
      <w:r>
        <w:tab/>
      </w:r>
      <w:r>
        <w:fldChar w:fldCharType="begin"/>
      </w:r>
      <w:r>
        <w:instrText xml:space="preserve"> PAGEREF _Toc9733 \h </w:instrText>
      </w:r>
      <w:r>
        <w:fldChar w:fldCharType="separate"/>
      </w:r>
      <w:r>
        <w:t>35</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_Toc26293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3.4.3 </w:t>
      </w:r>
      <w:r>
        <w:rPr>
          <w:rFonts w:hint="eastAsia"/>
          <w:lang w:val="en-US" w:eastAsia="zh-CN"/>
        </w:rPr>
        <w:t>数据流图</w:t>
      </w:r>
      <w:r>
        <w:tab/>
      </w:r>
      <w:r>
        <w:fldChar w:fldCharType="begin"/>
      </w:r>
      <w:r>
        <w:instrText xml:space="preserve"> PAGEREF _Toc26293 \h </w:instrText>
      </w:r>
      <w:r>
        <w:fldChar w:fldCharType="separate"/>
      </w:r>
      <w:r>
        <w:t>37</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_Toc23359 </w:instrText>
      </w:r>
      <w:r>
        <w:rPr>
          <w:rFonts w:hint="eastAsia" w:ascii="宋体" w:hAnsi="宋体" w:eastAsia="宋体" w:cs="宋体"/>
        </w:rPr>
        <w:fldChar w:fldCharType="separate"/>
      </w:r>
      <w:r>
        <w:rPr>
          <w:rFonts w:hint="eastAsia" w:ascii="Arial" w:hAnsi="Arial" w:eastAsia="黑体" w:cs="宋体"/>
          <w:lang w:val="en-US" w:eastAsia="zh-CN"/>
        </w:rPr>
        <w:t xml:space="preserve">3.5 </w:t>
      </w:r>
      <w:r>
        <w:rPr>
          <w:rFonts w:hint="eastAsia" w:cs="宋体"/>
          <w:lang w:val="en-US" w:eastAsia="zh-CN"/>
        </w:rPr>
        <w:t>项目与丰都县电子政务架构体系关系</w:t>
      </w:r>
      <w:r>
        <w:tab/>
      </w:r>
      <w:r>
        <w:fldChar w:fldCharType="begin"/>
      </w:r>
      <w:r>
        <w:instrText xml:space="preserve"> PAGEREF _Toc23359 \h </w:instrText>
      </w:r>
      <w:r>
        <w:fldChar w:fldCharType="separate"/>
      </w:r>
      <w:r>
        <w:t>38</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_Toc22909 </w:instrText>
      </w:r>
      <w:r>
        <w:rPr>
          <w:rFonts w:hint="eastAsia" w:ascii="宋体" w:hAnsi="宋体" w:eastAsia="宋体" w:cs="宋体"/>
        </w:rPr>
        <w:fldChar w:fldCharType="separate"/>
      </w:r>
      <w:r>
        <w:rPr>
          <w:rFonts w:hint="eastAsia" w:ascii="Arial" w:hAnsi="Arial" w:eastAsia="黑体" w:cs="宋体"/>
        </w:rPr>
        <w:t xml:space="preserve">3.6 </w:t>
      </w:r>
      <w:r>
        <w:rPr>
          <w:rFonts w:cs="宋体"/>
        </w:rPr>
        <w:t>项目与</w:t>
      </w:r>
      <w:r>
        <w:rPr>
          <w:rFonts w:hint="eastAsia" w:cs="宋体"/>
          <w:lang w:val="en-US" w:eastAsia="zh-CN"/>
        </w:rPr>
        <w:t>丰都县智慧城市平台</w:t>
      </w:r>
      <w:r>
        <w:rPr>
          <w:rFonts w:cs="宋体"/>
        </w:rPr>
        <w:t>之间的关系</w:t>
      </w:r>
      <w:r>
        <w:tab/>
      </w:r>
      <w:r>
        <w:fldChar w:fldCharType="begin"/>
      </w:r>
      <w:r>
        <w:instrText xml:space="preserve"> PAGEREF _Toc22909 \h </w:instrText>
      </w:r>
      <w:r>
        <w:fldChar w:fldCharType="separate"/>
      </w:r>
      <w:r>
        <w:t>38</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_Toc3105 </w:instrText>
      </w:r>
      <w:r>
        <w:rPr>
          <w:rFonts w:hint="eastAsia" w:ascii="宋体" w:hAnsi="宋体" w:eastAsia="宋体" w:cs="宋体"/>
        </w:rPr>
        <w:fldChar w:fldCharType="separate"/>
      </w:r>
      <w:r>
        <w:rPr>
          <w:rFonts w:hint="eastAsia" w:ascii="Arial" w:hAnsi="Arial" w:eastAsia="黑体" w:cs="宋体"/>
        </w:rPr>
        <w:t xml:space="preserve">3.7 </w:t>
      </w:r>
      <w:r>
        <w:rPr>
          <w:rFonts w:cs="宋体"/>
        </w:rPr>
        <w:t>项目与</w:t>
      </w:r>
      <w:r>
        <w:rPr>
          <w:rFonts w:hint="eastAsia" w:cs="宋体"/>
          <w:lang w:val="en-US" w:eastAsia="zh-CN"/>
        </w:rPr>
        <w:t>县</w:t>
      </w:r>
      <w:r>
        <w:rPr>
          <w:rFonts w:cs="宋体"/>
        </w:rPr>
        <w:t>级其他部门</w:t>
      </w:r>
      <w:r>
        <w:rPr>
          <w:rFonts w:hint="eastAsia" w:cs="宋体"/>
          <w:lang w:val="en-US" w:eastAsia="zh-CN"/>
        </w:rPr>
        <w:t>的</w:t>
      </w:r>
      <w:r>
        <w:rPr>
          <w:rFonts w:cs="宋体"/>
        </w:rPr>
        <w:t>关系</w:t>
      </w:r>
      <w:r>
        <w:tab/>
      </w:r>
      <w:r>
        <w:fldChar w:fldCharType="begin"/>
      </w:r>
      <w:r>
        <w:instrText xml:space="preserve"> PAGEREF _Toc3105 \h </w:instrText>
      </w:r>
      <w:r>
        <w:fldChar w:fldCharType="separate"/>
      </w:r>
      <w:r>
        <w:t>38</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_Toc26956 </w:instrText>
      </w:r>
      <w:r>
        <w:rPr>
          <w:rFonts w:hint="eastAsia" w:ascii="宋体" w:hAnsi="宋体" w:eastAsia="宋体" w:cs="宋体"/>
        </w:rPr>
        <w:fldChar w:fldCharType="separate"/>
      </w:r>
      <w:r>
        <w:rPr>
          <w:rFonts w:hint="eastAsia" w:ascii="Arial" w:hAnsi="Arial" w:eastAsia="黑体" w:cs="宋体"/>
        </w:rPr>
        <w:t xml:space="preserve">3.8 </w:t>
      </w:r>
      <w:r>
        <w:rPr>
          <w:rFonts w:cs="宋体"/>
        </w:rPr>
        <w:t>信息资源共享方案</w:t>
      </w:r>
      <w:r>
        <w:tab/>
      </w:r>
      <w:r>
        <w:fldChar w:fldCharType="begin"/>
      </w:r>
      <w:r>
        <w:instrText xml:space="preserve"> PAGEREF _Toc26956 \h </w:instrText>
      </w:r>
      <w:r>
        <w:fldChar w:fldCharType="separate"/>
      </w:r>
      <w:r>
        <w:t>38</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_Toc15094 </w:instrText>
      </w:r>
      <w:r>
        <w:rPr>
          <w:rFonts w:hint="eastAsia" w:ascii="宋体" w:hAnsi="宋体" w:eastAsia="宋体" w:cs="宋体"/>
        </w:rPr>
        <w:fldChar w:fldCharType="separate"/>
      </w:r>
      <w:r>
        <w:rPr>
          <w:rFonts w:hint="eastAsia" w:ascii="Arial" w:hAnsi="Arial" w:eastAsia="黑体" w:cs="宋体"/>
          <w:lang w:val="en-US" w:eastAsia="zh-CN"/>
        </w:rPr>
        <w:t xml:space="preserve">3.9 </w:t>
      </w:r>
      <w:r>
        <w:rPr>
          <w:rFonts w:hint="eastAsia" w:cs="宋体"/>
          <w:lang w:val="en-US" w:eastAsia="zh-CN"/>
        </w:rPr>
        <w:t>外部信息资源需求描述</w:t>
      </w:r>
      <w:r>
        <w:tab/>
      </w:r>
      <w:r>
        <w:fldChar w:fldCharType="begin"/>
      </w:r>
      <w:r>
        <w:instrText xml:space="preserve"> PAGEREF _Toc15094 \h </w:instrText>
      </w:r>
      <w:r>
        <w:fldChar w:fldCharType="separate"/>
      </w:r>
      <w:r>
        <w:t>41</w:t>
      </w:r>
      <w:r>
        <w:fldChar w:fldCharType="end"/>
      </w:r>
      <w:r>
        <w:rPr>
          <w:rFonts w:hint="eastAsia" w:ascii="宋体" w:hAnsi="宋体" w:eastAsia="宋体" w:cs="宋体"/>
        </w:rPr>
        <w:fldChar w:fldCharType="end"/>
      </w:r>
    </w:p>
    <w:p>
      <w:pPr>
        <w:pStyle w:val="22"/>
        <w:tabs>
          <w:tab w:val="right" w:leader="dot" w:pos="8255"/>
          <w:tab w:val="clear" w:pos="8296"/>
        </w:tabs>
      </w:pPr>
      <w:r>
        <w:rPr>
          <w:rFonts w:hint="eastAsia" w:ascii="宋体" w:hAnsi="宋体" w:eastAsia="宋体" w:cs="宋体"/>
        </w:rPr>
        <w:fldChar w:fldCharType="begin"/>
      </w:r>
      <w:r>
        <w:rPr>
          <w:rFonts w:hint="eastAsia" w:ascii="宋体" w:hAnsi="宋体" w:eastAsia="宋体" w:cs="宋体"/>
        </w:rPr>
        <w:instrText xml:space="preserve"> HYPERLINK \l _Toc28969 </w:instrText>
      </w:r>
      <w:r>
        <w:rPr>
          <w:rFonts w:hint="eastAsia" w:ascii="宋体" w:hAnsi="宋体" w:eastAsia="宋体" w:cs="宋体"/>
        </w:rPr>
        <w:fldChar w:fldCharType="separate"/>
      </w:r>
      <w:r>
        <w:rPr>
          <w:rFonts w:hint="eastAsia" w:ascii="Arial" w:hAnsi="Arial" w:eastAsia="黑体"/>
        </w:rPr>
        <w:t xml:space="preserve">第四章 </w:t>
      </w:r>
      <w:r>
        <w:rPr>
          <w:rFonts w:hint="eastAsia"/>
          <w:lang w:val="en-US" w:eastAsia="zh-CN"/>
        </w:rPr>
        <w:t>本项目</w:t>
      </w:r>
      <w:r>
        <w:t>设计方案</w:t>
      </w:r>
      <w:r>
        <w:tab/>
      </w:r>
      <w:r>
        <w:fldChar w:fldCharType="begin"/>
      </w:r>
      <w:r>
        <w:instrText xml:space="preserve"> PAGEREF _Toc28969 \h </w:instrText>
      </w:r>
      <w:r>
        <w:fldChar w:fldCharType="separate"/>
      </w:r>
      <w:r>
        <w:t>42</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_Toc22761 </w:instrText>
      </w:r>
      <w:r>
        <w:rPr>
          <w:rFonts w:hint="eastAsia" w:ascii="宋体" w:hAnsi="宋体" w:eastAsia="宋体" w:cs="宋体"/>
        </w:rPr>
        <w:fldChar w:fldCharType="separate"/>
      </w:r>
      <w:r>
        <w:rPr>
          <w:rFonts w:hint="eastAsia" w:ascii="Arial" w:hAnsi="Arial" w:eastAsia="黑体" w:cs="宋体"/>
        </w:rPr>
        <w:t xml:space="preserve">4.1 </w:t>
      </w:r>
      <w:r>
        <w:rPr>
          <w:rFonts w:hint="eastAsia"/>
        </w:rPr>
        <w:t>建设原则和策略</w:t>
      </w:r>
      <w:r>
        <w:tab/>
      </w:r>
      <w:r>
        <w:fldChar w:fldCharType="begin"/>
      </w:r>
      <w:r>
        <w:instrText xml:space="preserve"> PAGEREF _Toc22761 \h </w:instrText>
      </w:r>
      <w:r>
        <w:fldChar w:fldCharType="separate"/>
      </w:r>
      <w:r>
        <w:t>42</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_Toc7887 </w:instrText>
      </w:r>
      <w:r>
        <w:rPr>
          <w:rFonts w:hint="eastAsia" w:ascii="宋体" w:hAnsi="宋体" w:eastAsia="宋体" w:cs="宋体"/>
        </w:rPr>
        <w:fldChar w:fldCharType="separate"/>
      </w:r>
      <w:r>
        <w:rPr>
          <w:rFonts w:hint="eastAsia" w:ascii="Arial" w:hAnsi="Arial" w:eastAsia="黑体" w:cs="宋体"/>
          <w:lang w:val="en-US" w:eastAsia="zh-CN"/>
        </w:rPr>
        <w:t xml:space="preserve">4.2 </w:t>
      </w:r>
      <w:r>
        <w:rPr>
          <w:rFonts w:hint="eastAsia"/>
          <w:lang w:val="en-US" w:eastAsia="zh-CN"/>
        </w:rPr>
        <w:t>信息资源规划</w:t>
      </w:r>
      <w:r>
        <w:tab/>
      </w:r>
      <w:r>
        <w:fldChar w:fldCharType="begin"/>
      </w:r>
      <w:r>
        <w:instrText xml:space="preserve"> PAGEREF _Toc7887 \h </w:instrText>
      </w:r>
      <w:r>
        <w:fldChar w:fldCharType="separate"/>
      </w:r>
      <w:r>
        <w:t>43</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_Toc16672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4.2.1 </w:t>
      </w:r>
      <w:r>
        <w:rPr>
          <w:rFonts w:hint="eastAsia"/>
          <w:lang w:val="en-US" w:eastAsia="zh-CN"/>
        </w:rPr>
        <w:t>信息资源规划</w:t>
      </w:r>
      <w:r>
        <w:tab/>
      </w:r>
      <w:r>
        <w:fldChar w:fldCharType="begin"/>
      </w:r>
      <w:r>
        <w:instrText xml:space="preserve"> PAGEREF _Toc16672 \h </w:instrText>
      </w:r>
      <w:r>
        <w:fldChar w:fldCharType="separate"/>
      </w:r>
      <w:r>
        <w:t>43</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_Toc31696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4.2.2 </w:t>
      </w:r>
      <w:r>
        <w:rPr>
          <w:rFonts w:hint="eastAsia"/>
          <w:lang w:val="en-US" w:eastAsia="zh-CN"/>
        </w:rPr>
        <w:t>信息资源目录</w:t>
      </w:r>
      <w:r>
        <w:tab/>
      </w:r>
      <w:r>
        <w:fldChar w:fldCharType="begin"/>
      </w:r>
      <w:r>
        <w:instrText xml:space="preserve"> PAGEREF _Toc31696 \h </w:instrText>
      </w:r>
      <w:r>
        <w:fldChar w:fldCharType="separate"/>
      </w:r>
      <w:r>
        <w:t>43</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_Toc11714 </w:instrText>
      </w:r>
      <w:r>
        <w:rPr>
          <w:rFonts w:hint="eastAsia" w:ascii="宋体" w:hAnsi="宋体" w:eastAsia="宋体" w:cs="宋体"/>
        </w:rPr>
        <w:fldChar w:fldCharType="separate"/>
      </w:r>
      <w:r>
        <w:rPr>
          <w:rFonts w:hint="eastAsia" w:ascii="Arial" w:hAnsi="Arial" w:eastAsia="黑体" w:cs="宋体"/>
          <w:lang w:val="en-US" w:eastAsia="zh-CN"/>
        </w:rPr>
        <w:t xml:space="preserve">4.3 </w:t>
      </w:r>
      <w:r>
        <w:rPr>
          <w:rFonts w:hint="eastAsia"/>
          <w:lang w:val="en-US" w:eastAsia="zh-CN"/>
        </w:rPr>
        <w:t>前端监控系统</w:t>
      </w:r>
      <w:r>
        <w:tab/>
      </w:r>
      <w:r>
        <w:fldChar w:fldCharType="begin"/>
      </w:r>
      <w:r>
        <w:instrText xml:space="preserve"> PAGEREF _Toc11714 \h </w:instrText>
      </w:r>
      <w:r>
        <w:fldChar w:fldCharType="separate"/>
      </w:r>
      <w:r>
        <w:t>44</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_Toc23832 </w:instrText>
      </w:r>
      <w:r>
        <w:rPr>
          <w:rFonts w:hint="eastAsia" w:ascii="宋体" w:hAnsi="宋体" w:eastAsia="宋体" w:cs="宋体"/>
        </w:rPr>
        <w:fldChar w:fldCharType="separate"/>
      </w:r>
      <w:r>
        <w:rPr>
          <w:rFonts w:hint="eastAsia" w:ascii="Arial" w:hAnsi="Arial" w:eastAsia="黑体" w:cs="宋体"/>
          <w:szCs w:val="30"/>
        </w:rPr>
        <w:t xml:space="preserve">4.3.1 </w:t>
      </w:r>
      <w:r>
        <w:rPr>
          <w:rFonts w:hint="eastAsia"/>
          <w:lang w:val="en-US" w:eastAsia="zh-CN"/>
        </w:rPr>
        <w:t>系统概述</w:t>
      </w:r>
      <w:r>
        <w:tab/>
      </w:r>
      <w:r>
        <w:fldChar w:fldCharType="begin"/>
      </w:r>
      <w:r>
        <w:instrText xml:space="preserve"> PAGEREF _Toc23832 \h </w:instrText>
      </w:r>
      <w:r>
        <w:fldChar w:fldCharType="separate"/>
      </w:r>
      <w:r>
        <w:t>44</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_Toc21309 </w:instrText>
      </w:r>
      <w:r>
        <w:rPr>
          <w:rFonts w:hint="eastAsia" w:ascii="宋体" w:hAnsi="宋体" w:eastAsia="宋体" w:cs="宋体"/>
        </w:rPr>
        <w:fldChar w:fldCharType="separate"/>
      </w:r>
      <w:r>
        <w:rPr>
          <w:rFonts w:hint="eastAsia" w:ascii="Arial" w:hAnsi="Arial" w:eastAsia="黑体" w:cs="宋体"/>
          <w:szCs w:val="30"/>
        </w:rPr>
        <w:t xml:space="preserve">4.3.2 </w:t>
      </w:r>
      <w:r>
        <w:rPr>
          <w:rFonts w:hint="eastAsia"/>
          <w:lang w:val="en-US" w:eastAsia="zh-CN"/>
        </w:rPr>
        <w:t>点位清单</w:t>
      </w:r>
      <w:r>
        <w:tab/>
      </w:r>
      <w:r>
        <w:fldChar w:fldCharType="begin"/>
      </w:r>
      <w:r>
        <w:instrText xml:space="preserve"> PAGEREF _Toc21309 \h </w:instrText>
      </w:r>
      <w:r>
        <w:fldChar w:fldCharType="separate"/>
      </w:r>
      <w:r>
        <w:t>45</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_Toc7579 </w:instrText>
      </w:r>
      <w:r>
        <w:rPr>
          <w:rFonts w:hint="eastAsia" w:ascii="宋体" w:hAnsi="宋体" w:eastAsia="宋体" w:cs="宋体"/>
        </w:rPr>
        <w:fldChar w:fldCharType="separate"/>
      </w:r>
      <w:r>
        <w:rPr>
          <w:rFonts w:hint="eastAsia" w:ascii="Arial" w:hAnsi="Arial" w:eastAsia="黑体" w:cs="宋体"/>
          <w:szCs w:val="30"/>
        </w:rPr>
        <w:t xml:space="preserve">4.3.3 </w:t>
      </w:r>
      <w:r>
        <w:t>监控要求</w:t>
      </w:r>
      <w:r>
        <w:tab/>
      </w:r>
      <w:r>
        <w:fldChar w:fldCharType="begin"/>
      </w:r>
      <w:r>
        <w:instrText xml:space="preserve"> PAGEREF _Toc7579 \h </w:instrText>
      </w:r>
      <w:r>
        <w:fldChar w:fldCharType="separate"/>
      </w:r>
      <w:r>
        <w:t>54</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_Toc19059 </w:instrText>
      </w:r>
      <w:r>
        <w:rPr>
          <w:rFonts w:hint="eastAsia" w:ascii="宋体" w:hAnsi="宋体" w:eastAsia="宋体" w:cs="宋体"/>
        </w:rPr>
        <w:fldChar w:fldCharType="separate"/>
      </w:r>
      <w:r>
        <w:rPr>
          <w:rFonts w:hint="eastAsia" w:ascii="Arial" w:hAnsi="Arial" w:eastAsia="黑体" w:cs="宋体"/>
          <w:szCs w:val="30"/>
        </w:rPr>
        <w:t xml:space="preserve">4.3.4 </w:t>
      </w:r>
      <w:r>
        <w:rPr>
          <w:rFonts w:hint="eastAsia"/>
        </w:rPr>
        <w:t>杆体及防雷设计</w:t>
      </w:r>
      <w:r>
        <w:tab/>
      </w:r>
      <w:r>
        <w:fldChar w:fldCharType="begin"/>
      </w:r>
      <w:r>
        <w:instrText xml:space="preserve"> PAGEREF _Toc19059 \h </w:instrText>
      </w:r>
      <w:r>
        <w:fldChar w:fldCharType="separate"/>
      </w:r>
      <w:r>
        <w:t>55</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_Toc8581 </w:instrText>
      </w:r>
      <w:r>
        <w:rPr>
          <w:rFonts w:hint="eastAsia" w:ascii="宋体" w:hAnsi="宋体" w:eastAsia="宋体" w:cs="宋体"/>
        </w:rPr>
        <w:fldChar w:fldCharType="separate"/>
      </w:r>
      <w:r>
        <w:rPr>
          <w:rFonts w:hint="eastAsia" w:ascii="Arial" w:hAnsi="Arial" w:eastAsia="黑体" w:cs="宋体"/>
        </w:rPr>
        <w:t xml:space="preserve">4.4 </w:t>
      </w:r>
      <w:r>
        <w:rPr>
          <w:rFonts w:hint="eastAsia"/>
          <w:lang w:val="en-US" w:eastAsia="zh-CN"/>
        </w:rPr>
        <w:t>终端系统建设方案</w:t>
      </w:r>
      <w:r>
        <w:tab/>
      </w:r>
      <w:r>
        <w:fldChar w:fldCharType="begin"/>
      </w:r>
      <w:r>
        <w:instrText xml:space="preserve"> PAGEREF _Toc8581 \h </w:instrText>
      </w:r>
      <w:r>
        <w:fldChar w:fldCharType="separate"/>
      </w:r>
      <w:r>
        <w:t>57</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_Toc16174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4.4.1 </w:t>
      </w:r>
      <w:r>
        <w:rPr>
          <w:rFonts w:hint="eastAsia"/>
          <w:lang w:val="en-US" w:eastAsia="zh-CN"/>
        </w:rPr>
        <w:t>水质监测站</w:t>
      </w:r>
      <w:r>
        <w:tab/>
      </w:r>
      <w:r>
        <w:fldChar w:fldCharType="begin"/>
      </w:r>
      <w:r>
        <w:instrText xml:space="preserve"> PAGEREF _Toc16174 \h </w:instrText>
      </w:r>
      <w:r>
        <w:fldChar w:fldCharType="separate"/>
      </w:r>
      <w:r>
        <w:t>57</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_Toc2695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4.4.2 </w:t>
      </w:r>
      <w:r>
        <w:rPr>
          <w:rFonts w:hint="eastAsia"/>
          <w:lang w:val="en-US" w:eastAsia="zh-CN"/>
        </w:rPr>
        <w:t>视频站操作系统和移动终端</w:t>
      </w:r>
      <w:r>
        <w:tab/>
      </w:r>
      <w:r>
        <w:fldChar w:fldCharType="begin"/>
      </w:r>
      <w:r>
        <w:instrText xml:space="preserve"> PAGEREF _Toc2695 \h </w:instrText>
      </w:r>
      <w:r>
        <w:fldChar w:fldCharType="separate"/>
      </w:r>
      <w:r>
        <w:t>58</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_Toc21678 </w:instrText>
      </w:r>
      <w:r>
        <w:rPr>
          <w:rFonts w:hint="eastAsia" w:ascii="宋体" w:hAnsi="宋体" w:eastAsia="宋体" w:cs="宋体"/>
        </w:rPr>
        <w:fldChar w:fldCharType="separate"/>
      </w:r>
      <w:r>
        <w:rPr>
          <w:rFonts w:hint="eastAsia" w:ascii="Arial" w:hAnsi="Arial" w:eastAsia="黑体" w:cs="宋体"/>
        </w:rPr>
        <w:t xml:space="preserve">4.5 </w:t>
      </w:r>
      <w:r>
        <w:rPr>
          <w:rFonts w:hint="eastAsia"/>
          <w:lang w:val="en-US" w:eastAsia="zh-CN"/>
        </w:rPr>
        <w:t>网络系统设计</w:t>
      </w:r>
      <w:r>
        <w:tab/>
      </w:r>
      <w:r>
        <w:fldChar w:fldCharType="begin"/>
      </w:r>
      <w:r>
        <w:instrText xml:space="preserve"> PAGEREF _Toc21678 \h </w:instrText>
      </w:r>
      <w:r>
        <w:fldChar w:fldCharType="separate"/>
      </w:r>
      <w:r>
        <w:t>58</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_Toc26131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4.5.1 </w:t>
      </w:r>
      <w:r>
        <w:rPr>
          <w:rFonts w:hint="eastAsia" w:cs="宋体"/>
          <w:lang w:val="en-US" w:eastAsia="zh-CN"/>
        </w:rPr>
        <w:t>新建前端视频汇聚专网设计</w:t>
      </w:r>
      <w:r>
        <w:tab/>
      </w:r>
      <w:r>
        <w:fldChar w:fldCharType="begin"/>
      </w:r>
      <w:r>
        <w:instrText xml:space="preserve"> PAGEREF _Toc26131 \h </w:instrText>
      </w:r>
      <w:r>
        <w:fldChar w:fldCharType="separate"/>
      </w:r>
      <w:r>
        <w:t>59</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_Toc17672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4.5.2 </w:t>
      </w:r>
      <w:r>
        <w:rPr>
          <w:rFonts w:hint="eastAsia" w:cs="宋体"/>
          <w:lang w:val="en-US" w:eastAsia="zh-CN"/>
        </w:rPr>
        <w:t>水利局数据传输专网设计</w:t>
      </w:r>
      <w:r>
        <w:tab/>
      </w:r>
      <w:r>
        <w:fldChar w:fldCharType="begin"/>
      </w:r>
      <w:r>
        <w:instrText xml:space="preserve"> PAGEREF _Toc17672 \h </w:instrText>
      </w:r>
      <w:r>
        <w:fldChar w:fldCharType="separate"/>
      </w:r>
      <w:r>
        <w:t>59</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_Toc1707 </w:instrText>
      </w:r>
      <w:r>
        <w:rPr>
          <w:rFonts w:hint="eastAsia" w:ascii="宋体" w:hAnsi="宋体" w:eastAsia="宋体" w:cs="宋体"/>
        </w:rPr>
        <w:fldChar w:fldCharType="separate"/>
      </w:r>
      <w:r>
        <w:rPr>
          <w:rFonts w:hint="eastAsia" w:ascii="Arial" w:hAnsi="Arial" w:eastAsia="黑体" w:cs="宋体"/>
          <w:szCs w:val="30"/>
        </w:rPr>
        <w:t xml:space="preserve">4.5.3 </w:t>
      </w:r>
      <w:r>
        <w:t>IP地址规划</w:t>
      </w:r>
      <w:r>
        <w:tab/>
      </w:r>
      <w:r>
        <w:fldChar w:fldCharType="begin"/>
      </w:r>
      <w:r>
        <w:instrText xml:space="preserve"> PAGEREF _Toc1707 \h </w:instrText>
      </w:r>
      <w:r>
        <w:fldChar w:fldCharType="separate"/>
      </w:r>
      <w:r>
        <w:t>60</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_Toc7791 </w:instrText>
      </w:r>
      <w:r>
        <w:rPr>
          <w:rFonts w:hint="eastAsia" w:ascii="宋体" w:hAnsi="宋体" w:eastAsia="宋体" w:cs="宋体"/>
        </w:rPr>
        <w:fldChar w:fldCharType="separate"/>
      </w:r>
      <w:r>
        <w:rPr>
          <w:rFonts w:hint="eastAsia" w:ascii="Arial" w:hAnsi="Arial" w:eastAsia="黑体" w:cs="宋体"/>
          <w:szCs w:val="30"/>
        </w:rPr>
        <w:t xml:space="preserve">4.5.4 </w:t>
      </w:r>
      <w:r>
        <w:t>路由规划</w:t>
      </w:r>
      <w:r>
        <w:tab/>
      </w:r>
      <w:r>
        <w:fldChar w:fldCharType="begin"/>
      </w:r>
      <w:r>
        <w:instrText xml:space="preserve"> PAGEREF _Toc7791 \h </w:instrText>
      </w:r>
      <w:r>
        <w:fldChar w:fldCharType="separate"/>
      </w:r>
      <w:r>
        <w:t>61</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_Toc6279 </w:instrText>
      </w:r>
      <w:r>
        <w:rPr>
          <w:rFonts w:hint="eastAsia" w:ascii="宋体" w:hAnsi="宋体" w:eastAsia="宋体" w:cs="宋体"/>
        </w:rPr>
        <w:fldChar w:fldCharType="separate"/>
      </w:r>
      <w:r>
        <w:rPr>
          <w:rFonts w:hint="eastAsia" w:ascii="Arial" w:hAnsi="Arial" w:eastAsia="黑体" w:cs="宋体"/>
          <w:szCs w:val="30"/>
        </w:rPr>
        <w:t xml:space="preserve">4.5.5 </w:t>
      </w:r>
      <w:r>
        <w:t>VLAN规划</w:t>
      </w:r>
      <w:r>
        <w:tab/>
      </w:r>
      <w:r>
        <w:fldChar w:fldCharType="begin"/>
      </w:r>
      <w:r>
        <w:instrText xml:space="preserve"> PAGEREF _Toc6279 \h </w:instrText>
      </w:r>
      <w:r>
        <w:fldChar w:fldCharType="separate"/>
      </w:r>
      <w:r>
        <w:t>61</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_Toc8136 </w:instrText>
      </w:r>
      <w:r>
        <w:rPr>
          <w:rFonts w:hint="eastAsia" w:ascii="宋体" w:hAnsi="宋体" w:eastAsia="宋体" w:cs="宋体"/>
        </w:rPr>
        <w:fldChar w:fldCharType="separate"/>
      </w:r>
      <w:r>
        <w:rPr>
          <w:rFonts w:hint="eastAsia" w:ascii="Arial" w:hAnsi="Arial" w:eastAsia="黑体" w:cs="宋体"/>
          <w:szCs w:val="30"/>
        </w:rPr>
        <w:t xml:space="preserve">4.5.6 </w:t>
      </w:r>
      <w:r>
        <w:t>对租用运营商专网的要求</w:t>
      </w:r>
      <w:r>
        <w:tab/>
      </w:r>
      <w:r>
        <w:fldChar w:fldCharType="begin"/>
      </w:r>
      <w:r>
        <w:instrText xml:space="preserve"> PAGEREF _Toc8136 \h </w:instrText>
      </w:r>
      <w:r>
        <w:fldChar w:fldCharType="separate"/>
      </w:r>
      <w:r>
        <w:t>62</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_Toc15451 </w:instrText>
      </w:r>
      <w:r>
        <w:rPr>
          <w:rFonts w:hint="eastAsia" w:ascii="宋体" w:hAnsi="宋体" w:eastAsia="宋体" w:cs="宋体"/>
        </w:rPr>
        <w:fldChar w:fldCharType="separate"/>
      </w:r>
      <w:r>
        <w:rPr>
          <w:rFonts w:hint="eastAsia" w:ascii="Arial" w:hAnsi="Arial" w:eastAsia="黑体" w:cs="宋体"/>
        </w:rPr>
        <w:t xml:space="preserve">4.6 </w:t>
      </w:r>
      <w:r>
        <w:t>安全系统设计</w:t>
      </w:r>
      <w:r>
        <w:tab/>
      </w:r>
      <w:r>
        <w:fldChar w:fldCharType="begin"/>
      </w:r>
      <w:r>
        <w:instrText xml:space="preserve"> PAGEREF _Toc15451 \h </w:instrText>
      </w:r>
      <w:r>
        <w:fldChar w:fldCharType="separate"/>
      </w:r>
      <w:r>
        <w:t>62</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_Toc22218 </w:instrText>
      </w:r>
      <w:r>
        <w:rPr>
          <w:rFonts w:hint="eastAsia" w:ascii="宋体" w:hAnsi="宋体" w:eastAsia="宋体" w:cs="宋体"/>
        </w:rPr>
        <w:fldChar w:fldCharType="separate"/>
      </w:r>
      <w:r>
        <w:rPr>
          <w:rFonts w:hint="eastAsia" w:ascii="Arial" w:hAnsi="Arial" w:eastAsia="黑体" w:cs="宋体"/>
        </w:rPr>
        <w:t xml:space="preserve">4.7 </w:t>
      </w:r>
      <w:r>
        <w:rPr>
          <w:rFonts w:hint="eastAsia"/>
          <w:lang w:val="en-US" w:eastAsia="zh-CN"/>
        </w:rPr>
        <w:t>数据处理及</w:t>
      </w:r>
      <w:r>
        <w:t>存储系统设计</w:t>
      </w:r>
      <w:r>
        <w:tab/>
      </w:r>
      <w:r>
        <w:fldChar w:fldCharType="begin"/>
      </w:r>
      <w:r>
        <w:instrText xml:space="preserve"> PAGEREF _Toc22218 \h </w:instrText>
      </w:r>
      <w:r>
        <w:fldChar w:fldCharType="separate"/>
      </w:r>
      <w:r>
        <w:t>62</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_Toc24949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4.7.1 </w:t>
      </w:r>
      <w:r>
        <w:rPr>
          <w:rFonts w:hint="eastAsia"/>
          <w:lang w:val="en-US" w:eastAsia="zh-CN"/>
        </w:rPr>
        <w:t>数据处理系统设计</w:t>
      </w:r>
      <w:r>
        <w:tab/>
      </w:r>
      <w:r>
        <w:fldChar w:fldCharType="begin"/>
      </w:r>
      <w:r>
        <w:instrText xml:space="preserve"> PAGEREF _Toc24949 \h </w:instrText>
      </w:r>
      <w:r>
        <w:fldChar w:fldCharType="separate"/>
      </w:r>
      <w:r>
        <w:t>62</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_Toc29757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4.7.2 </w:t>
      </w:r>
      <w:r>
        <w:rPr>
          <w:rFonts w:hint="eastAsia"/>
          <w:lang w:val="en-US" w:eastAsia="zh-CN"/>
        </w:rPr>
        <w:t>存储系统设计</w:t>
      </w:r>
      <w:r>
        <w:tab/>
      </w:r>
      <w:r>
        <w:fldChar w:fldCharType="begin"/>
      </w:r>
      <w:r>
        <w:instrText xml:space="preserve"> PAGEREF _Toc29757 \h </w:instrText>
      </w:r>
      <w:r>
        <w:fldChar w:fldCharType="separate"/>
      </w:r>
      <w:r>
        <w:t>62</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_Toc8576 </w:instrText>
      </w:r>
      <w:r>
        <w:rPr>
          <w:rFonts w:hint="eastAsia" w:ascii="宋体" w:hAnsi="宋体" w:eastAsia="宋体" w:cs="宋体"/>
        </w:rPr>
        <w:fldChar w:fldCharType="separate"/>
      </w:r>
      <w:r>
        <w:rPr>
          <w:rFonts w:hint="eastAsia" w:ascii="Arial" w:hAnsi="Arial" w:eastAsia="黑体" w:cs="宋体"/>
          <w:lang w:val="en-US" w:eastAsia="zh-CN"/>
        </w:rPr>
        <w:t xml:space="preserve">4.8 </w:t>
      </w:r>
      <w:r>
        <w:rPr>
          <w:rFonts w:hint="eastAsia"/>
          <w:lang w:val="en-US" w:eastAsia="zh-CN"/>
        </w:rPr>
        <w:t>配套工程设计</w:t>
      </w:r>
      <w:r>
        <w:tab/>
      </w:r>
      <w:r>
        <w:fldChar w:fldCharType="begin"/>
      </w:r>
      <w:r>
        <w:instrText xml:space="preserve"> PAGEREF _Toc8576 \h </w:instrText>
      </w:r>
      <w:r>
        <w:fldChar w:fldCharType="separate"/>
      </w:r>
      <w:r>
        <w:t>63</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_Toc12051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4.8.1 </w:t>
      </w:r>
      <w:r>
        <w:rPr>
          <w:rFonts w:hint="eastAsia" w:cs="宋体"/>
          <w:lang w:val="en-US" w:eastAsia="zh-CN"/>
        </w:rPr>
        <w:t>配套机房</w:t>
      </w:r>
      <w:r>
        <w:tab/>
      </w:r>
      <w:r>
        <w:fldChar w:fldCharType="begin"/>
      </w:r>
      <w:r>
        <w:instrText xml:space="preserve"> PAGEREF _Toc12051 \h </w:instrText>
      </w:r>
      <w:r>
        <w:fldChar w:fldCharType="separate"/>
      </w:r>
      <w:r>
        <w:t>63</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_Toc13235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4.8.2 </w:t>
      </w:r>
      <w:r>
        <w:rPr>
          <w:rFonts w:hint="eastAsia"/>
          <w:lang w:val="en-US" w:eastAsia="zh-CN"/>
        </w:rPr>
        <w:t>配套机柜</w:t>
      </w:r>
      <w:r>
        <w:tab/>
      </w:r>
      <w:r>
        <w:fldChar w:fldCharType="begin"/>
      </w:r>
      <w:r>
        <w:instrText xml:space="preserve"> PAGEREF _Toc13235 \h </w:instrText>
      </w:r>
      <w:r>
        <w:fldChar w:fldCharType="separate"/>
      </w:r>
      <w:r>
        <w:t>64</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_Toc5493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4.8.3 </w:t>
      </w:r>
      <w:r>
        <w:rPr>
          <w:rFonts w:hint="eastAsia" w:cs="宋体"/>
          <w:lang w:val="en-US" w:eastAsia="zh-CN"/>
        </w:rPr>
        <w:t>配套传输</w:t>
      </w:r>
      <w:r>
        <w:tab/>
      </w:r>
      <w:r>
        <w:fldChar w:fldCharType="begin"/>
      </w:r>
      <w:r>
        <w:instrText xml:space="preserve"> PAGEREF _Toc5493 \h </w:instrText>
      </w:r>
      <w:r>
        <w:fldChar w:fldCharType="separate"/>
      </w:r>
      <w:r>
        <w:t>64</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_Toc31293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4.8.4 </w:t>
      </w:r>
      <w:r>
        <w:rPr>
          <w:rFonts w:hint="eastAsia"/>
          <w:lang w:val="en-US" w:eastAsia="zh-CN"/>
        </w:rPr>
        <w:t>配套电源</w:t>
      </w:r>
      <w:r>
        <w:tab/>
      </w:r>
      <w:r>
        <w:fldChar w:fldCharType="begin"/>
      </w:r>
      <w:r>
        <w:instrText xml:space="preserve"> PAGEREF _Toc31293 \h </w:instrText>
      </w:r>
      <w:r>
        <w:fldChar w:fldCharType="separate"/>
      </w:r>
      <w:r>
        <w:t>73</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_Toc25329 </w:instrText>
      </w:r>
      <w:r>
        <w:rPr>
          <w:rFonts w:hint="eastAsia" w:ascii="宋体" w:hAnsi="宋体" w:eastAsia="宋体" w:cs="宋体"/>
        </w:rPr>
        <w:fldChar w:fldCharType="separate"/>
      </w:r>
      <w:r>
        <w:rPr>
          <w:rFonts w:hint="eastAsia" w:ascii="Arial" w:hAnsi="Arial" w:eastAsia="黑体" w:cs="宋体"/>
        </w:rPr>
        <w:t xml:space="preserve">4.9 </w:t>
      </w:r>
      <w:r>
        <w:rPr>
          <w:rFonts w:hint="eastAsia"/>
          <w:lang w:val="en-US" w:eastAsia="zh-CN"/>
        </w:rPr>
        <w:t>运维服务工作及要求</w:t>
      </w:r>
      <w:r>
        <w:tab/>
      </w:r>
      <w:r>
        <w:fldChar w:fldCharType="begin"/>
      </w:r>
      <w:r>
        <w:instrText xml:space="preserve"> PAGEREF _Toc25329 \h </w:instrText>
      </w:r>
      <w:r>
        <w:fldChar w:fldCharType="separate"/>
      </w:r>
      <w:r>
        <w:t>74</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_Toc1052 </w:instrText>
      </w:r>
      <w:r>
        <w:rPr>
          <w:rFonts w:hint="eastAsia" w:ascii="宋体" w:hAnsi="宋体" w:eastAsia="宋体" w:cs="宋体"/>
        </w:rPr>
        <w:fldChar w:fldCharType="separate"/>
      </w:r>
      <w:r>
        <w:rPr>
          <w:rFonts w:hint="eastAsia" w:ascii="Arial" w:hAnsi="Arial" w:eastAsia="黑体" w:cs="宋体"/>
          <w:szCs w:val="30"/>
        </w:rPr>
        <w:t xml:space="preserve">4.9.1 </w:t>
      </w:r>
      <w:r>
        <w:rPr>
          <w:rFonts w:hint="eastAsia" w:cs="黑体"/>
        </w:rPr>
        <w:t>外场维护内容和要求</w:t>
      </w:r>
      <w:r>
        <w:tab/>
      </w:r>
      <w:r>
        <w:fldChar w:fldCharType="begin"/>
      </w:r>
      <w:r>
        <w:instrText xml:space="preserve"> PAGEREF _Toc1052 \h </w:instrText>
      </w:r>
      <w:r>
        <w:fldChar w:fldCharType="separate"/>
      </w:r>
      <w:r>
        <w:t>74</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_Toc28021 </w:instrText>
      </w:r>
      <w:r>
        <w:rPr>
          <w:rFonts w:hint="eastAsia" w:ascii="宋体" w:hAnsi="宋体" w:eastAsia="宋体" w:cs="宋体"/>
        </w:rPr>
        <w:fldChar w:fldCharType="separate"/>
      </w:r>
      <w:r>
        <w:rPr>
          <w:rFonts w:hint="eastAsia" w:ascii="Arial" w:hAnsi="Arial" w:eastAsia="黑体" w:cs="宋体"/>
          <w:szCs w:val="30"/>
        </w:rPr>
        <w:t xml:space="preserve">4.9.2 </w:t>
      </w:r>
      <w:r>
        <w:rPr>
          <w:rFonts w:hint="eastAsia"/>
        </w:rPr>
        <w:t>内场运维工作内容及要求</w:t>
      </w:r>
      <w:r>
        <w:tab/>
      </w:r>
      <w:r>
        <w:fldChar w:fldCharType="begin"/>
      </w:r>
      <w:r>
        <w:instrText xml:space="preserve"> PAGEREF _Toc28021 \h </w:instrText>
      </w:r>
      <w:r>
        <w:fldChar w:fldCharType="separate"/>
      </w:r>
      <w:r>
        <w:t>80</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_Toc28370 </w:instrText>
      </w:r>
      <w:r>
        <w:rPr>
          <w:rFonts w:hint="eastAsia" w:ascii="宋体" w:hAnsi="宋体" w:eastAsia="宋体" w:cs="宋体"/>
        </w:rPr>
        <w:fldChar w:fldCharType="separate"/>
      </w:r>
      <w:r>
        <w:rPr>
          <w:rFonts w:hint="eastAsia" w:ascii="Arial" w:hAnsi="Arial" w:eastAsia="黑体" w:cs="宋体"/>
          <w:szCs w:val="30"/>
        </w:rPr>
        <w:t xml:space="preserve">4.9.3 </w:t>
      </w:r>
      <w:r>
        <w:rPr>
          <w:rFonts w:hint="eastAsia"/>
        </w:rPr>
        <w:t>备品备件要求</w:t>
      </w:r>
      <w:r>
        <w:tab/>
      </w:r>
      <w:r>
        <w:fldChar w:fldCharType="begin"/>
      </w:r>
      <w:r>
        <w:instrText xml:space="preserve"> PAGEREF _Toc28370 \h </w:instrText>
      </w:r>
      <w:r>
        <w:fldChar w:fldCharType="separate"/>
      </w:r>
      <w:r>
        <w:t>84</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_Toc1716 </w:instrText>
      </w:r>
      <w:r>
        <w:rPr>
          <w:rFonts w:hint="eastAsia" w:ascii="宋体" w:hAnsi="宋体" w:eastAsia="宋体" w:cs="宋体"/>
        </w:rPr>
        <w:fldChar w:fldCharType="separate"/>
      </w:r>
      <w:r>
        <w:rPr>
          <w:rFonts w:hint="eastAsia" w:ascii="Arial" w:hAnsi="Arial" w:eastAsia="黑体" w:cs="宋体"/>
          <w:szCs w:val="30"/>
        </w:rPr>
        <w:t xml:space="preserve">4.9.4 </w:t>
      </w:r>
      <w:r>
        <w:t>考核方案</w:t>
      </w:r>
      <w:r>
        <w:tab/>
      </w:r>
      <w:r>
        <w:fldChar w:fldCharType="begin"/>
      </w:r>
      <w:r>
        <w:instrText xml:space="preserve"> PAGEREF _Toc1716 \h </w:instrText>
      </w:r>
      <w:r>
        <w:fldChar w:fldCharType="separate"/>
      </w:r>
      <w:r>
        <w:t>85</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_Toc11918 </w:instrText>
      </w:r>
      <w:r>
        <w:rPr>
          <w:rFonts w:hint="eastAsia" w:ascii="宋体" w:hAnsi="宋体" w:eastAsia="宋体" w:cs="宋体"/>
        </w:rPr>
        <w:fldChar w:fldCharType="separate"/>
      </w:r>
      <w:r>
        <w:rPr>
          <w:rFonts w:hint="eastAsia" w:ascii="Arial" w:hAnsi="Arial" w:eastAsia="黑体" w:cs="宋体"/>
        </w:rPr>
        <w:t xml:space="preserve">4.10 </w:t>
      </w:r>
      <w:r>
        <w:t>系统软硬件设备选型原则及详细配置清单</w:t>
      </w:r>
      <w:r>
        <w:tab/>
      </w:r>
      <w:r>
        <w:fldChar w:fldCharType="begin"/>
      </w:r>
      <w:r>
        <w:instrText xml:space="preserve"> PAGEREF _Toc11918 \h </w:instrText>
      </w:r>
      <w:r>
        <w:fldChar w:fldCharType="separate"/>
      </w:r>
      <w:r>
        <w:t>86</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_Toc24108 </w:instrText>
      </w:r>
      <w:r>
        <w:rPr>
          <w:rFonts w:hint="eastAsia" w:ascii="宋体" w:hAnsi="宋体" w:eastAsia="宋体" w:cs="宋体"/>
        </w:rPr>
        <w:fldChar w:fldCharType="separate"/>
      </w:r>
      <w:r>
        <w:rPr>
          <w:rFonts w:hint="eastAsia" w:ascii="Arial" w:hAnsi="Arial" w:eastAsia="黑体" w:cs="宋体"/>
          <w:szCs w:val="30"/>
        </w:rPr>
        <w:t xml:space="preserve">4.10.1 </w:t>
      </w:r>
      <w:r>
        <w:rPr>
          <w:rFonts w:hint="eastAsia"/>
        </w:rPr>
        <w:t>选型原则</w:t>
      </w:r>
      <w:r>
        <w:tab/>
      </w:r>
      <w:r>
        <w:fldChar w:fldCharType="begin"/>
      </w:r>
      <w:r>
        <w:instrText xml:space="preserve"> PAGEREF _Toc24108 \h </w:instrText>
      </w:r>
      <w:r>
        <w:fldChar w:fldCharType="separate"/>
      </w:r>
      <w:r>
        <w:t>86</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_Toc4073 </w:instrText>
      </w:r>
      <w:r>
        <w:rPr>
          <w:rFonts w:hint="eastAsia" w:ascii="宋体" w:hAnsi="宋体" w:eastAsia="宋体" w:cs="宋体"/>
        </w:rPr>
        <w:fldChar w:fldCharType="separate"/>
      </w:r>
      <w:r>
        <w:rPr>
          <w:rFonts w:hint="eastAsia" w:ascii="Arial" w:hAnsi="Arial" w:eastAsia="黑体" w:cs="宋体"/>
          <w:szCs w:val="30"/>
        </w:rPr>
        <w:t xml:space="preserve">4.10.2 </w:t>
      </w:r>
      <w:r>
        <w:t>详细配置清单</w:t>
      </w:r>
      <w:r>
        <w:tab/>
      </w:r>
      <w:r>
        <w:fldChar w:fldCharType="begin"/>
      </w:r>
      <w:r>
        <w:instrText xml:space="preserve"> PAGEREF _Toc4073 \h </w:instrText>
      </w:r>
      <w:r>
        <w:fldChar w:fldCharType="separate"/>
      </w:r>
      <w:r>
        <w:t>87</w:t>
      </w:r>
      <w:r>
        <w:fldChar w:fldCharType="end"/>
      </w:r>
      <w:r>
        <w:rPr>
          <w:rFonts w:hint="eastAsia" w:ascii="宋体" w:hAnsi="宋体" w:eastAsia="宋体" w:cs="宋体"/>
        </w:rPr>
        <w:fldChar w:fldCharType="end"/>
      </w:r>
    </w:p>
    <w:p>
      <w:pPr>
        <w:pStyle w:val="22"/>
        <w:tabs>
          <w:tab w:val="right" w:leader="dot" w:pos="8255"/>
          <w:tab w:val="clear" w:pos="8296"/>
        </w:tabs>
      </w:pPr>
      <w:r>
        <w:rPr>
          <w:rFonts w:hint="eastAsia" w:ascii="宋体" w:hAnsi="宋体" w:eastAsia="宋体" w:cs="宋体"/>
        </w:rPr>
        <w:fldChar w:fldCharType="begin"/>
      </w:r>
      <w:r>
        <w:rPr>
          <w:rFonts w:hint="eastAsia" w:ascii="宋体" w:hAnsi="宋体" w:eastAsia="宋体" w:cs="宋体"/>
        </w:rPr>
        <w:instrText xml:space="preserve"> HYPERLINK \l _Toc11317 </w:instrText>
      </w:r>
      <w:r>
        <w:rPr>
          <w:rFonts w:hint="eastAsia" w:ascii="宋体" w:hAnsi="宋体" w:eastAsia="宋体" w:cs="宋体"/>
        </w:rPr>
        <w:fldChar w:fldCharType="separate"/>
      </w:r>
      <w:r>
        <w:rPr>
          <w:rFonts w:hint="eastAsia" w:ascii="Arial" w:hAnsi="Arial" w:eastAsia="黑体"/>
          <w:lang w:val="en-GB"/>
        </w:rPr>
        <w:t xml:space="preserve">第五章 </w:t>
      </w:r>
      <w:r>
        <w:rPr>
          <w:lang w:val="en-GB"/>
        </w:rPr>
        <w:t>初步设计概算</w:t>
      </w:r>
      <w:r>
        <w:tab/>
      </w:r>
      <w:r>
        <w:fldChar w:fldCharType="begin"/>
      </w:r>
      <w:r>
        <w:instrText xml:space="preserve"> PAGEREF _Toc11317 \h </w:instrText>
      </w:r>
      <w:r>
        <w:fldChar w:fldCharType="separate"/>
      </w:r>
      <w:r>
        <w:t>88</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_Toc11946 </w:instrText>
      </w:r>
      <w:r>
        <w:rPr>
          <w:rFonts w:hint="eastAsia" w:ascii="宋体" w:hAnsi="宋体" w:eastAsia="宋体" w:cs="宋体"/>
        </w:rPr>
        <w:fldChar w:fldCharType="separate"/>
      </w:r>
      <w:r>
        <w:rPr>
          <w:rFonts w:hint="eastAsia" w:ascii="Arial" w:hAnsi="Arial" w:eastAsia="黑体" w:cs="宋体"/>
          <w:lang w:val="en-GB"/>
        </w:rPr>
        <w:t xml:space="preserve">5.1 </w:t>
      </w:r>
      <w:r>
        <w:t>取费</w:t>
      </w:r>
      <w:r>
        <w:rPr>
          <w:lang w:val="en-GB"/>
        </w:rPr>
        <w:t>说明</w:t>
      </w:r>
      <w:r>
        <w:tab/>
      </w:r>
      <w:r>
        <w:fldChar w:fldCharType="begin"/>
      </w:r>
      <w:r>
        <w:instrText xml:space="preserve"> PAGEREF _Toc11946 \h </w:instrText>
      </w:r>
      <w:r>
        <w:fldChar w:fldCharType="separate"/>
      </w:r>
      <w:r>
        <w:t>88</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_Toc11054 </w:instrText>
      </w:r>
      <w:r>
        <w:rPr>
          <w:rFonts w:hint="eastAsia" w:ascii="宋体" w:hAnsi="宋体" w:eastAsia="宋体" w:cs="宋体"/>
        </w:rPr>
        <w:fldChar w:fldCharType="separate"/>
      </w:r>
      <w:r>
        <w:rPr>
          <w:rFonts w:hint="eastAsia" w:ascii="Arial" w:hAnsi="Arial" w:eastAsia="黑体" w:cs="宋体"/>
          <w:lang w:val="en-GB"/>
        </w:rPr>
        <w:t xml:space="preserve">5.2 </w:t>
      </w:r>
      <w:r>
        <w:rPr>
          <w:lang w:val="en-GB"/>
        </w:rPr>
        <w:t>初步设计概算</w:t>
      </w:r>
      <w:r>
        <w:tab/>
      </w:r>
      <w:r>
        <w:fldChar w:fldCharType="begin"/>
      </w:r>
      <w:r>
        <w:instrText xml:space="preserve"> PAGEREF _Toc11054 \h </w:instrText>
      </w:r>
      <w:r>
        <w:fldChar w:fldCharType="separate"/>
      </w:r>
      <w:r>
        <w:t>89</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_Toc19499 </w:instrText>
      </w:r>
      <w:r>
        <w:rPr>
          <w:rFonts w:hint="eastAsia" w:ascii="宋体" w:hAnsi="宋体" w:eastAsia="宋体" w:cs="宋体"/>
        </w:rPr>
        <w:fldChar w:fldCharType="separate"/>
      </w:r>
      <w:r>
        <w:rPr>
          <w:rFonts w:hint="eastAsia" w:ascii="Arial" w:hAnsi="Arial" w:eastAsia="黑体" w:cs="宋体"/>
          <w:lang w:val="en-US" w:eastAsia="zh-CN"/>
        </w:rPr>
        <w:t xml:space="preserve">5.3 </w:t>
      </w:r>
      <w:r>
        <w:rPr>
          <w:rFonts w:hint="eastAsia" w:cs="Times New Roman"/>
          <w:lang w:val="en-US" w:eastAsia="zh-CN"/>
        </w:rPr>
        <w:t>项目运行维护费用</w:t>
      </w:r>
      <w:r>
        <w:tab/>
      </w:r>
      <w:r>
        <w:fldChar w:fldCharType="begin"/>
      </w:r>
      <w:r>
        <w:instrText xml:space="preserve"> PAGEREF _Toc19499 \h </w:instrText>
      </w:r>
      <w:r>
        <w:fldChar w:fldCharType="separate"/>
      </w:r>
      <w:r>
        <w:t>90</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_Toc32524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5.3.1 </w:t>
      </w:r>
      <w:r>
        <w:rPr>
          <w:rFonts w:hint="eastAsia"/>
          <w:lang w:val="en-US" w:eastAsia="zh-CN"/>
        </w:rPr>
        <w:t>新建设备运维费</w:t>
      </w:r>
      <w:r>
        <w:tab/>
      </w:r>
      <w:r>
        <w:fldChar w:fldCharType="begin"/>
      </w:r>
      <w:r>
        <w:instrText xml:space="preserve"> PAGEREF _Toc32524 \h </w:instrText>
      </w:r>
      <w:r>
        <w:fldChar w:fldCharType="separate"/>
      </w:r>
      <w:r>
        <w:t>90</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_Toc22670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5.3.2 </w:t>
      </w:r>
      <w:r>
        <w:rPr>
          <w:rFonts w:hint="eastAsia"/>
          <w:lang w:val="en-US" w:eastAsia="zh-CN"/>
        </w:rPr>
        <w:t>链路费</w:t>
      </w:r>
      <w:r>
        <w:tab/>
      </w:r>
      <w:r>
        <w:fldChar w:fldCharType="begin"/>
      </w:r>
      <w:r>
        <w:instrText xml:space="preserve"> PAGEREF _Toc22670 \h </w:instrText>
      </w:r>
      <w:r>
        <w:fldChar w:fldCharType="separate"/>
      </w:r>
      <w:r>
        <w:t>91</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_Toc6795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5.3.3 </w:t>
      </w:r>
      <w:r>
        <w:rPr>
          <w:rFonts w:hint="eastAsia"/>
          <w:lang w:val="en-US" w:eastAsia="zh-CN"/>
        </w:rPr>
        <w:t>电费</w:t>
      </w:r>
      <w:r>
        <w:tab/>
      </w:r>
      <w:r>
        <w:fldChar w:fldCharType="begin"/>
      </w:r>
      <w:r>
        <w:instrText xml:space="preserve"> PAGEREF _Toc6795 \h </w:instrText>
      </w:r>
      <w:r>
        <w:fldChar w:fldCharType="separate"/>
      </w:r>
      <w:r>
        <w:t>92</w:t>
      </w:r>
      <w:r>
        <w:fldChar w:fldCharType="end"/>
      </w:r>
      <w:r>
        <w:rPr>
          <w:rFonts w:hint="eastAsia" w:ascii="宋体" w:hAnsi="宋体" w:eastAsia="宋体" w:cs="宋体"/>
        </w:rPr>
        <w:fldChar w:fldCharType="end"/>
      </w:r>
    </w:p>
    <w:p>
      <w:pPr>
        <w:pStyle w:val="22"/>
        <w:tabs>
          <w:tab w:val="right" w:leader="dot" w:pos="8255"/>
          <w:tab w:val="clear" w:pos="8296"/>
        </w:tabs>
      </w:pPr>
      <w:r>
        <w:rPr>
          <w:rFonts w:hint="eastAsia" w:ascii="宋体" w:hAnsi="宋体" w:eastAsia="宋体" w:cs="宋体"/>
        </w:rPr>
        <w:fldChar w:fldCharType="begin"/>
      </w:r>
      <w:r>
        <w:rPr>
          <w:rFonts w:hint="eastAsia" w:ascii="宋体" w:hAnsi="宋体" w:eastAsia="宋体" w:cs="宋体"/>
        </w:rPr>
        <w:instrText xml:space="preserve"> HYPERLINK \l _Toc14908 </w:instrText>
      </w:r>
      <w:r>
        <w:rPr>
          <w:rFonts w:hint="eastAsia" w:ascii="宋体" w:hAnsi="宋体" w:eastAsia="宋体" w:cs="宋体"/>
        </w:rPr>
        <w:fldChar w:fldCharType="separate"/>
      </w:r>
      <w:r>
        <w:rPr>
          <w:rFonts w:hint="eastAsia" w:ascii="Arial" w:hAnsi="Arial" w:eastAsia="黑体"/>
          <w:lang w:val="en-GB"/>
        </w:rPr>
        <w:t xml:space="preserve">第六章 </w:t>
      </w:r>
      <w:r>
        <w:rPr>
          <w:lang w:val="en-GB"/>
        </w:rPr>
        <w:t>项目建设与运行管理</w:t>
      </w:r>
      <w:r>
        <w:tab/>
      </w:r>
      <w:r>
        <w:fldChar w:fldCharType="begin"/>
      </w:r>
      <w:r>
        <w:instrText xml:space="preserve"> PAGEREF _Toc14908 \h </w:instrText>
      </w:r>
      <w:r>
        <w:fldChar w:fldCharType="separate"/>
      </w:r>
      <w:r>
        <w:t>93</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_Toc30368 </w:instrText>
      </w:r>
      <w:r>
        <w:rPr>
          <w:rFonts w:hint="eastAsia" w:ascii="宋体" w:hAnsi="宋体" w:eastAsia="宋体" w:cs="宋体"/>
        </w:rPr>
        <w:fldChar w:fldCharType="separate"/>
      </w:r>
      <w:r>
        <w:rPr>
          <w:rFonts w:hint="eastAsia" w:ascii="Arial" w:hAnsi="Arial" w:eastAsia="黑体" w:cs="宋体"/>
          <w:lang w:val="en-GB"/>
        </w:rPr>
        <w:t xml:space="preserve">6.1 </w:t>
      </w:r>
      <w:r>
        <w:rPr>
          <w:lang w:val="en-GB"/>
        </w:rPr>
        <w:t>领导和管理机构</w:t>
      </w:r>
      <w:r>
        <w:tab/>
      </w:r>
      <w:r>
        <w:fldChar w:fldCharType="begin"/>
      </w:r>
      <w:r>
        <w:instrText xml:space="preserve"> PAGEREF _Toc30368 \h </w:instrText>
      </w:r>
      <w:r>
        <w:fldChar w:fldCharType="separate"/>
      </w:r>
      <w:r>
        <w:t>93</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_Toc18877 </w:instrText>
      </w:r>
      <w:r>
        <w:rPr>
          <w:rFonts w:hint="eastAsia" w:ascii="宋体" w:hAnsi="宋体" w:eastAsia="宋体" w:cs="宋体"/>
        </w:rPr>
        <w:fldChar w:fldCharType="separate"/>
      </w:r>
      <w:r>
        <w:rPr>
          <w:rFonts w:hint="eastAsia" w:ascii="Arial" w:hAnsi="Arial" w:eastAsia="黑体" w:cs="宋体"/>
          <w:lang w:val="en-GB"/>
        </w:rPr>
        <w:t xml:space="preserve">6.2 </w:t>
      </w:r>
      <w:r>
        <w:rPr>
          <w:lang w:val="en-GB"/>
        </w:rPr>
        <w:t>项目实施机构</w:t>
      </w:r>
      <w:r>
        <w:tab/>
      </w:r>
      <w:r>
        <w:fldChar w:fldCharType="begin"/>
      </w:r>
      <w:r>
        <w:instrText xml:space="preserve"> PAGEREF _Toc18877 \h </w:instrText>
      </w:r>
      <w:r>
        <w:fldChar w:fldCharType="separate"/>
      </w:r>
      <w:r>
        <w:t>93</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_Toc26485 </w:instrText>
      </w:r>
      <w:r>
        <w:rPr>
          <w:rFonts w:hint="eastAsia" w:ascii="宋体" w:hAnsi="宋体" w:eastAsia="宋体" w:cs="宋体"/>
        </w:rPr>
        <w:fldChar w:fldCharType="separate"/>
      </w:r>
      <w:r>
        <w:rPr>
          <w:rFonts w:hint="eastAsia" w:ascii="Arial" w:hAnsi="Arial" w:eastAsia="黑体" w:cs="宋体"/>
          <w:lang w:val="en-GB"/>
        </w:rPr>
        <w:t xml:space="preserve">6.3 </w:t>
      </w:r>
      <w:r>
        <w:rPr>
          <w:lang w:val="en-GB"/>
        </w:rPr>
        <w:t>项目招标方案</w:t>
      </w:r>
      <w:r>
        <w:tab/>
      </w:r>
      <w:r>
        <w:fldChar w:fldCharType="begin"/>
      </w:r>
      <w:r>
        <w:instrText xml:space="preserve"> PAGEREF _Toc26485 \h </w:instrText>
      </w:r>
      <w:r>
        <w:fldChar w:fldCharType="separate"/>
      </w:r>
      <w:r>
        <w:t>93</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_Toc31060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6.3.1 </w:t>
      </w:r>
      <w:r>
        <w:rPr>
          <w:rFonts w:hint="eastAsia" w:cs="Times New Roman"/>
          <w:lang w:val="en-US" w:eastAsia="zh-CN"/>
        </w:rPr>
        <w:t>招标范围</w:t>
      </w:r>
      <w:r>
        <w:tab/>
      </w:r>
      <w:r>
        <w:fldChar w:fldCharType="begin"/>
      </w:r>
      <w:r>
        <w:instrText xml:space="preserve"> PAGEREF _Toc31060 \h </w:instrText>
      </w:r>
      <w:r>
        <w:fldChar w:fldCharType="separate"/>
      </w:r>
      <w:r>
        <w:t>93</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_Toc12824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6.3.2 </w:t>
      </w:r>
      <w:r>
        <w:rPr>
          <w:rFonts w:hint="eastAsia" w:cs="Times New Roman"/>
          <w:lang w:val="en-US" w:eastAsia="zh-CN"/>
        </w:rPr>
        <w:t>招标方式</w:t>
      </w:r>
      <w:r>
        <w:tab/>
      </w:r>
      <w:r>
        <w:fldChar w:fldCharType="begin"/>
      </w:r>
      <w:r>
        <w:instrText xml:space="preserve"> PAGEREF _Toc12824 \h </w:instrText>
      </w:r>
      <w:r>
        <w:fldChar w:fldCharType="separate"/>
      </w:r>
      <w:r>
        <w:t>94</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_Toc28250 </w:instrText>
      </w:r>
      <w:r>
        <w:rPr>
          <w:rFonts w:hint="eastAsia" w:ascii="宋体" w:hAnsi="宋体" w:eastAsia="宋体" w:cs="宋体"/>
        </w:rPr>
        <w:fldChar w:fldCharType="separate"/>
      </w:r>
      <w:r>
        <w:rPr>
          <w:rFonts w:hint="eastAsia" w:ascii="Arial" w:hAnsi="Arial" w:eastAsia="黑体" w:cs="宋体"/>
          <w:szCs w:val="30"/>
        </w:rPr>
        <w:t xml:space="preserve">6.3.3 </w:t>
      </w:r>
      <w:r>
        <w:rPr>
          <w:rFonts w:hint="eastAsia" w:cs="Times New Roman"/>
          <w:lang w:val="en-US" w:eastAsia="zh-CN"/>
        </w:rPr>
        <w:t>招标组织形式</w:t>
      </w:r>
      <w:r>
        <w:tab/>
      </w:r>
      <w:r>
        <w:fldChar w:fldCharType="begin"/>
      </w:r>
      <w:r>
        <w:instrText xml:space="preserve"> PAGEREF _Toc28250 \h </w:instrText>
      </w:r>
      <w:r>
        <w:fldChar w:fldCharType="separate"/>
      </w:r>
      <w:r>
        <w:t>94</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_Toc12505 </w:instrText>
      </w:r>
      <w:r>
        <w:rPr>
          <w:rFonts w:hint="eastAsia" w:ascii="宋体" w:hAnsi="宋体" w:eastAsia="宋体" w:cs="宋体"/>
        </w:rPr>
        <w:fldChar w:fldCharType="separate"/>
      </w:r>
      <w:r>
        <w:rPr>
          <w:rFonts w:hint="eastAsia" w:ascii="Arial" w:hAnsi="Arial" w:eastAsia="黑体" w:cs="宋体"/>
          <w:lang w:val="en-GB"/>
        </w:rPr>
        <w:t xml:space="preserve">6.4 </w:t>
      </w:r>
      <w:r>
        <w:rPr>
          <w:lang w:val="en-GB"/>
        </w:rPr>
        <w:t>项目实施进度</w:t>
      </w:r>
      <w:r>
        <w:tab/>
      </w:r>
      <w:r>
        <w:fldChar w:fldCharType="begin"/>
      </w:r>
      <w:r>
        <w:instrText xml:space="preserve"> PAGEREF _Toc12505 \h </w:instrText>
      </w:r>
      <w:r>
        <w:fldChar w:fldCharType="separate"/>
      </w:r>
      <w:r>
        <w:t>95</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_Toc17080 </w:instrText>
      </w:r>
      <w:r>
        <w:rPr>
          <w:rFonts w:hint="eastAsia" w:ascii="宋体" w:hAnsi="宋体" w:eastAsia="宋体" w:cs="宋体"/>
        </w:rPr>
        <w:fldChar w:fldCharType="separate"/>
      </w:r>
      <w:r>
        <w:rPr>
          <w:rFonts w:hint="eastAsia" w:ascii="Arial" w:hAnsi="Arial" w:eastAsia="黑体" w:cs="宋体"/>
          <w:szCs w:val="30"/>
          <w:lang w:val="en-GB"/>
        </w:rPr>
        <w:t xml:space="preserve">6.4.1 </w:t>
      </w:r>
      <w:r>
        <w:rPr>
          <w:lang w:val="en-GB"/>
        </w:rPr>
        <w:t>项目建设期</w:t>
      </w:r>
      <w:r>
        <w:tab/>
      </w:r>
      <w:r>
        <w:fldChar w:fldCharType="begin"/>
      </w:r>
      <w:r>
        <w:instrText xml:space="preserve"> PAGEREF _Toc17080 \h </w:instrText>
      </w:r>
      <w:r>
        <w:fldChar w:fldCharType="separate"/>
      </w:r>
      <w:r>
        <w:t>95</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_Toc882 </w:instrText>
      </w:r>
      <w:r>
        <w:rPr>
          <w:rFonts w:hint="eastAsia" w:ascii="宋体" w:hAnsi="宋体" w:eastAsia="宋体" w:cs="宋体"/>
        </w:rPr>
        <w:fldChar w:fldCharType="separate"/>
      </w:r>
      <w:r>
        <w:rPr>
          <w:rFonts w:hint="eastAsia" w:ascii="Arial" w:hAnsi="Arial" w:eastAsia="黑体" w:cs="宋体"/>
          <w:szCs w:val="30"/>
          <w:lang w:val="en-GB"/>
        </w:rPr>
        <w:t xml:space="preserve">6.4.2 </w:t>
      </w:r>
      <w:r>
        <w:rPr>
          <w:lang w:val="en-GB"/>
        </w:rPr>
        <w:t>实施进度计划</w:t>
      </w:r>
      <w:r>
        <w:tab/>
      </w:r>
      <w:r>
        <w:fldChar w:fldCharType="begin"/>
      </w:r>
      <w:r>
        <w:instrText xml:space="preserve"> PAGEREF _Toc882 \h </w:instrText>
      </w:r>
      <w:r>
        <w:fldChar w:fldCharType="separate"/>
      </w:r>
      <w:r>
        <w:t>95</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_Toc5874 </w:instrText>
      </w:r>
      <w:r>
        <w:rPr>
          <w:rFonts w:hint="eastAsia" w:ascii="宋体" w:hAnsi="宋体" w:eastAsia="宋体" w:cs="宋体"/>
        </w:rPr>
        <w:fldChar w:fldCharType="separate"/>
      </w:r>
      <w:r>
        <w:rPr>
          <w:rFonts w:hint="eastAsia" w:ascii="Arial" w:hAnsi="Arial" w:eastAsia="黑体" w:cs="宋体"/>
          <w:lang w:val="en-GB"/>
        </w:rPr>
        <w:t xml:space="preserve">6.5 </w:t>
      </w:r>
      <w:r>
        <w:rPr>
          <w:lang w:val="en-GB"/>
        </w:rPr>
        <w:t>项目进度、质量、资金管理</w:t>
      </w:r>
      <w:r>
        <w:tab/>
      </w:r>
      <w:r>
        <w:fldChar w:fldCharType="begin"/>
      </w:r>
      <w:r>
        <w:instrText xml:space="preserve"> PAGEREF _Toc5874 \h </w:instrText>
      </w:r>
      <w:r>
        <w:fldChar w:fldCharType="separate"/>
      </w:r>
      <w:r>
        <w:t>95</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_Toc29020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6.5.1 </w:t>
      </w:r>
      <w:r>
        <w:rPr>
          <w:rFonts w:hint="eastAsia" w:cs="Times New Roman"/>
          <w:lang w:val="en-US" w:eastAsia="zh-CN"/>
        </w:rPr>
        <w:t>进度管理</w:t>
      </w:r>
      <w:r>
        <w:tab/>
      </w:r>
      <w:r>
        <w:fldChar w:fldCharType="begin"/>
      </w:r>
      <w:r>
        <w:instrText xml:space="preserve"> PAGEREF _Toc29020 \h </w:instrText>
      </w:r>
      <w:r>
        <w:fldChar w:fldCharType="separate"/>
      </w:r>
      <w:r>
        <w:t>95</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_Toc8591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6.5.2 </w:t>
      </w:r>
      <w:r>
        <w:rPr>
          <w:rFonts w:hint="eastAsia" w:cs="Times New Roman"/>
          <w:lang w:val="en-US" w:eastAsia="zh-CN"/>
        </w:rPr>
        <w:t>质量管理</w:t>
      </w:r>
      <w:r>
        <w:tab/>
      </w:r>
      <w:r>
        <w:fldChar w:fldCharType="begin"/>
      </w:r>
      <w:r>
        <w:instrText xml:space="preserve"> PAGEREF _Toc8591 \h </w:instrText>
      </w:r>
      <w:r>
        <w:fldChar w:fldCharType="separate"/>
      </w:r>
      <w:r>
        <w:t>96</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_Toc6159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6.5.3 </w:t>
      </w:r>
      <w:r>
        <w:rPr>
          <w:rFonts w:hint="eastAsia" w:cs="Times New Roman"/>
          <w:lang w:val="en-US" w:eastAsia="zh-CN"/>
        </w:rPr>
        <w:t>资金管理</w:t>
      </w:r>
      <w:r>
        <w:tab/>
      </w:r>
      <w:r>
        <w:fldChar w:fldCharType="begin"/>
      </w:r>
      <w:r>
        <w:instrText xml:space="preserve"> PAGEREF _Toc6159 \h </w:instrText>
      </w:r>
      <w:r>
        <w:fldChar w:fldCharType="separate"/>
      </w:r>
      <w:r>
        <w:t>97</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_Toc3830 </w:instrText>
      </w:r>
      <w:r>
        <w:rPr>
          <w:rFonts w:hint="eastAsia" w:ascii="宋体" w:hAnsi="宋体" w:eastAsia="宋体" w:cs="宋体"/>
        </w:rPr>
        <w:fldChar w:fldCharType="separate"/>
      </w:r>
      <w:r>
        <w:rPr>
          <w:rFonts w:hint="eastAsia" w:ascii="Arial" w:hAnsi="Arial" w:eastAsia="黑体" w:cs="宋体"/>
          <w:lang w:val="en-GB"/>
        </w:rPr>
        <w:t xml:space="preserve">6.6 </w:t>
      </w:r>
      <w:r>
        <w:rPr>
          <w:lang w:val="en-GB"/>
        </w:rPr>
        <w:t>人员配置与培训</w:t>
      </w:r>
      <w:r>
        <w:tab/>
      </w:r>
      <w:r>
        <w:fldChar w:fldCharType="begin"/>
      </w:r>
      <w:r>
        <w:instrText xml:space="preserve"> PAGEREF _Toc3830 \h </w:instrText>
      </w:r>
      <w:r>
        <w:fldChar w:fldCharType="separate"/>
      </w:r>
      <w:r>
        <w:t>97</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_Toc3066 </w:instrText>
      </w:r>
      <w:r>
        <w:rPr>
          <w:rFonts w:hint="eastAsia" w:ascii="宋体" w:hAnsi="宋体" w:eastAsia="宋体" w:cs="宋体"/>
        </w:rPr>
        <w:fldChar w:fldCharType="separate"/>
      </w:r>
      <w:r>
        <w:rPr>
          <w:rFonts w:hint="eastAsia" w:ascii="Arial" w:hAnsi="Arial" w:eastAsia="黑体" w:cs="宋体"/>
          <w:szCs w:val="30"/>
          <w:lang w:val="en-GB"/>
        </w:rPr>
        <w:t xml:space="preserve">6.6.1 </w:t>
      </w:r>
      <w:r>
        <w:rPr>
          <w:lang w:val="en-GB"/>
        </w:rPr>
        <w:t>人员配置计划</w:t>
      </w:r>
      <w:r>
        <w:tab/>
      </w:r>
      <w:r>
        <w:fldChar w:fldCharType="begin"/>
      </w:r>
      <w:r>
        <w:instrText xml:space="preserve"> PAGEREF _Toc3066 \h </w:instrText>
      </w:r>
      <w:r>
        <w:fldChar w:fldCharType="separate"/>
      </w:r>
      <w:r>
        <w:t>97</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_Toc23793 </w:instrText>
      </w:r>
      <w:r>
        <w:rPr>
          <w:rFonts w:hint="eastAsia" w:ascii="宋体" w:hAnsi="宋体" w:eastAsia="宋体" w:cs="宋体"/>
        </w:rPr>
        <w:fldChar w:fldCharType="separate"/>
      </w:r>
      <w:r>
        <w:rPr>
          <w:rFonts w:hint="eastAsia" w:ascii="Arial" w:hAnsi="Arial" w:eastAsia="黑体" w:cs="宋体"/>
          <w:szCs w:val="30"/>
          <w:lang w:val="en-GB"/>
        </w:rPr>
        <w:t xml:space="preserve">6.6.2 </w:t>
      </w:r>
      <w:r>
        <w:rPr>
          <w:lang w:val="en-GB"/>
        </w:rPr>
        <w:t>人员培训方案</w:t>
      </w:r>
      <w:r>
        <w:tab/>
      </w:r>
      <w:r>
        <w:fldChar w:fldCharType="begin"/>
      </w:r>
      <w:r>
        <w:instrText xml:space="preserve"> PAGEREF _Toc23793 \h </w:instrText>
      </w:r>
      <w:r>
        <w:fldChar w:fldCharType="separate"/>
      </w:r>
      <w:r>
        <w:t>97</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_Toc2674 </w:instrText>
      </w:r>
      <w:r>
        <w:rPr>
          <w:rFonts w:hint="eastAsia" w:ascii="宋体" w:hAnsi="宋体" w:eastAsia="宋体" w:cs="宋体"/>
        </w:rPr>
        <w:fldChar w:fldCharType="separate"/>
      </w:r>
      <w:r>
        <w:rPr>
          <w:rFonts w:hint="eastAsia" w:ascii="Arial" w:hAnsi="Arial" w:eastAsia="黑体" w:cs="宋体"/>
          <w:lang w:val="en-GB"/>
        </w:rPr>
        <w:t xml:space="preserve">6.7 </w:t>
      </w:r>
      <w:r>
        <w:rPr>
          <w:lang w:val="en-GB"/>
        </w:rPr>
        <w:t>运行维护机构</w:t>
      </w:r>
      <w:r>
        <w:tab/>
      </w:r>
      <w:r>
        <w:fldChar w:fldCharType="begin"/>
      </w:r>
      <w:r>
        <w:instrText xml:space="preserve"> PAGEREF _Toc2674 \h </w:instrText>
      </w:r>
      <w:r>
        <w:fldChar w:fldCharType="separate"/>
      </w:r>
      <w:r>
        <w:t>98</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_Toc30575 </w:instrText>
      </w:r>
      <w:r>
        <w:rPr>
          <w:rFonts w:hint="eastAsia" w:ascii="宋体" w:hAnsi="宋体" w:eastAsia="宋体" w:cs="宋体"/>
        </w:rPr>
        <w:fldChar w:fldCharType="separate"/>
      </w:r>
      <w:r>
        <w:rPr>
          <w:rFonts w:hint="eastAsia" w:ascii="Arial" w:hAnsi="Arial" w:eastAsia="黑体" w:cs="宋体"/>
        </w:rPr>
        <w:t xml:space="preserve">6.8 </w:t>
      </w:r>
      <w:r>
        <w:t>环保、消防、职业安全卫生和节能措施的设计</w:t>
      </w:r>
      <w:r>
        <w:tab/>
      </w:r>
      <w:r>
        <w:fldChar w:fldCharType="begin"/>
      </w:r>
      <w:r>
        <w:instrText xml:space="preserve"> PAGEREF _Toc30575 \h </w:instrText>
      </w:r>
      <w:r>
        <w:fldChar w:fldCharType="separate"/>
      </w:r>
      <w:r>
        <w:t>99</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_Toc3053 </w:instrText>
      </w:r>
      <w:r>
        <w:rPr>
          <w:rFonts w:hint="eastAsia" w:ascii="宋体" w:hAnsi="宋体" w:eastAsia="宋体" w:cs="宋体"/>
        </w:rPr>
        <w:fldChar w:fldCharType="separate"/>
      </w:r>
      <w:r>
        <w:rPr>
          <w:rFonts w:hint="eastAsia" w:ascii="Arial" w:hAnsi="Arial" w:eastAsia="黑体" w:cs="宋体"/>
          <w:szCs w:val="30"/>
        </w:rPr>
        <w:t xml:space="preserve">6.8.1 </w:t>
      </w:r>
      <w:r>
        <w:rPr>
          <w:rFonts w:hint="eastAsia"/>
          <w:lang w:val="en-US" w:eastAsia="zh-CN"/>
        </w:rPr>
        <w:t>环境影响分析</w:t>
      </w:r>
      <w:r>
        <w:tab/>
      </w:r>
      <w:r>
        <w:fldChar w:fldCharType="begin"/>
      </w:r>
      <w:r>
        <w:instrText xml:space="preserve"> PAGEREF _Toc3053 \h </w:instrText>
      </w:r>
      <w:r>
        <w:fldChar w:fldCharType="separate"/>
      </w:r>
      <w:r>
        <w:t>99</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_Toc18498 </w:instrText>
      </w:r>
      <w:r>
        <w:rPr>
          <w:rFonts w:hint="eastAsia" w:ascii="宋体" w:hAnsi="宋体" w:eastAsia="宋体" w:cs="宋体"/>
        </w:rPr>
        <w:fldChar w:fldCharType="separate"/>
      </w:r>
      <w:r>
        <w:rPr>
          <w:rFonts w:hint="eastAsia" w:ascii="Arial" w:hAnsi="Arial" w:eastAsia="黑体" w:cs="宋体"/>
          <w:szCs w:val="30"/>
        </w:rPr>
        <w:t xml:space="preserve">6.8.2 </w:t>
      </w:r>
      <w:r>
        <w:rPr>
          <w:rFonts w:hint="eastAsia"/>
          <w:lang w:val="en-US" w:eastAsia="zh-CN"/>
        </w:rPr>
        <w:t>环保</w:t>
      </w:r>
      <w:r>
        <w:rPr>
          <w:rFonts w:hint="eastAsia"/>
        </w:rPr>
        <w:t>措施及方案</w:t>
      </w:r>
      <w:r>
        <w:tab/>
      </w:r>
      <w:r>
        <w:fldChar w:fldCharType="begin"/>
      </w:r>
      <w:r>
        <w:instrText xml:space="preserve"> PAGEREF _Toc18498 \h </w:instrText>
      </w:r>
      <w:r>
        <w:fldChar w:fldCharType="separate"/>
      </w:r>
      <w:r>
        <w:t>99</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_Toc16709 </w:instrText>
      </w:r>
      <w:r>
        <w:rPr>
          <w:rFonts w:hint="eastAsia" w:ascii="宋体" w:hAnsi="宋体" w:eastAsia="宋体" w:cs="宋体"/>
        </w:rPr>
        <w:fldChar w:fldCharType="separate"/>
      </w:r>
      <w:r>
        <w:rPr>
          <w:rFonts w:hint="eastAsia" w:ascii="Arial" w:hAnsi="Arial" w:eastAsia="黑体" w:cs="宋体"/>
          <w:szCs w:val="30"/>
        </w:rPr>
        <w:t xml:space="preserve">6.8.3 </w:t>
      </w:r>
      <w:r>
        <w:rPr>
          <w:rFonts w:hint="eastAsia"/>
        </w:rPr>
        <w:t>消防措施</w:t>
      </w:r>
      <w:r>
        <w:tab/>
      </w:r>
      <w:r>
        <w:fldChar w:fldCharType="begin"/>
      </w:r>
      <w:r>
        <w:instrText xml:space="preserve"> PAGEREF _Toc16709 \h </w:instrText>
      </w:r>
      <w:r>
        <w:fldChar w:fldCharType="separate"/>
      </w:r>
      <w:r>
        <w:t>100</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_Toc14829 </w:instrText>
      </w:r>
      <w:r>
        <w:rPr>
          <w:rFonts w:hint="eastAsia" w:ascii="宋体" w:hAnsi="宋体" w:eastAsia="宋体" w:cs="宋体"/>
        </w:rPr>
        <w:fldChar w:fldCharType="separate"/>
      </w:r>
      <w:r>
        <w:rPr>
          <w:rFonts w:hint="eastAsia" w:ascii="Arial" w:hAnsi="Arial" w:eastAsia="黑体" w:cs="宋体"/>
          <w:szCs w:val="30"/>
        </w:rPr>
        <w:t xml:space="preserve">6.8.4 </w:t>
      </w:r>
      <w:r>
        <w:rPr>
          <w:rFonts w:hint="eastAsia"/>
        </w:rPr>
        <w:t>职业安全和卫生措施</w:t>
      </w:r>
      <w:r>
        <w:tab/>
      </w:r>
      <w:r>
        <w:fldChar w:fldCharType="begin"/>
      </w:r>
      <w:r>
        <w:instrText xml:space="preserve"> PAGEREF _Toc14829 \h </w:instrText>
      </w:r>
      <w:r>
        <w:fldChar w:fldCharType="separate"/>
      </w:r>
      <w:r>
        <w:t>100</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_Toc7121 </w:instrText>
      </w:r>
      <w:r>
        <w:rPr>
          <w:rFonts w:hint="eastAsia" w:ascii="宋体" w:hAnsi="宋体" w:eastAsia="宋体" w:cs="宋体"/>
        </w:rPr>
        <w:fldChar w:fldCharType="separate"/>
      </w:r>
      <w:r>
        <w:rPr>
          <w:rFonts w:hint="eastAsia" w:ascii="Arial" w:hAnsi="Arial" w:eastAsia="黑体" w:cs="宋体"/>
          <w:szCs w:val="30"/>
        </w:rPr>
        <w:t xml:space="preserve">6.8.5 </w:t>
      </w:r>
      <w:r>
        <w:rPr>
          <w:rFonts w:hint="eastAsia"/>
        </w:rPr>
        <w:t>节能措施</w:t>
      </w:r>
      <w:r>
        <w:tab/>
      </w:r>
      <w:r>
        <w:fldChar w:fldCharType="begin"/>
      </w:r>
      <w:r>
        <w:instrText xml:space="preserve"> PAGEREF _Toc7121 \h </w:instrText>
      </w:r>
      <w:r>
        <w:fldChar w:fldCharType="separate"/>
      </w:r>
      <w:r>
        <w:t>102</w:t>
      </w:r>
      <w:r>
        <w:fldChar w:fldCharType="end"/>
      </w:r>
      <w:r>
        <w:rPr>
          <w:rFonts w:hint="eastAsia" w:ascii="宋体" w:hAnsi="宋体" w:eastAsia="宋体" w:cs="宋体"/>
        </w:rPr>
        <w:fldChar w:fldCharType="end"/>
      </w:r>
    </w:p>
    <w:p>
      <w:pPr>
        <w:pStyle w:val="22"/>
        <w:tabs>
          <w:tab w:val="right" w:leader="dot" w:pos="8255"/>
          <w:tab w:val="clear" w:pos="8296"/>
        </w:tabs>
      </w:pPr>
      <w:r>
        <w:rPr>
          <w:rFonts w:hint="eastAsia" w:ascii="宋体" w:hAnsi="宋体" w:eastAsia="宋体" w:cs="宋体"/>
        </w:rPr>
        <w:fldChar w:fldCharType="begin"/>
      </w:r>
      <w:r>
        <w:rPr>
          <w:rFonts w:hint="eastAsia" w:ascii="宋体" w:hAnsi="宋体" w:eastAsia="宋体" w:cs="宋体"/>
        </w:rPr>
        <w:instrText xml:space="preserve"> HYPERLINK \l _Toc28094 </w:instrText>
      </w:r>
      <w:r>
        <w:rPr>
          <w:rFonts w:hint="eastAsia" w:ascii="宋体" w:hAnsi="宋体" w:eastAsia="宋体" w:cs="宋体"/>
        </w:rPr>
        <w:fldChar w:fldCharType="separate"/>
      </w:r>
      <w:r>
        <w:rPr>
          <w:rFonts w:hint="eastAsia" w:ascii="Arial" w:hAnsi="Arial" w:eastAsia="黑体"/>
          <w:lang w:val="en-GB"/>
        </w:rPr>
        <w:t xml:space="preserve">第七章 </w:t>
      </w:r>
      <w:r>
        <w:rPr>
          <w:rFonts w:hint="eastAsia"/>
          <w:lang w:val="en-GB"/>
        </w:rPr>
        <w:t>项目验收与绩效评价</w:t>
      </w:r>
      <w:r>
        <w:tab/>
      </w:r>
      <w:r>
        <w:fldChar w:fldCharType="begin"/>
      </w:r>
      <w:r>
        <w:instrText xml:space="preserve"> PAGEREF _Toc28094 \h </w:instrText>
      </w:r>
      <w:r>
        <w:fldChar w:fldCharType="separate"/>
      </w:r>
      <w:r>
        <w:t>103</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_Toc16284 </w:instrText>
      </w:r>
      <w:r>
        <w:rPr>
          <w:rFonts w:hint="eastAsia" w:ascii="宋体" w:hAnsi="宋体" w:eastAsia="宋体" w:cs="宋体"/>
        </w:rPr>
        <w:fldChar w:fldCharType="separate"/>
      </w:r>
      <w:r>
        <w:rPr>
          <w:rFonts w:hint="eastAsia" w:ascii="Arial" w:hAnsi="Arial" w:eastAsia="黑体" w:cs="宋体"/>
        </w:rPr>
        <w:t xml:space="preserve">7.1 </w:t>
      </w:r>
      <w:r>
        <w:rPr>
          <w:rFonts w:hint="eastAsia"/>
          <w:lang w:val="en-US" w:eastAsia="zh-CN"/>
        </w:rPr>
        <w:t>项目验收方案</w:t>
      </w:r>
      <w:r>
        <w:tab/>
      </w:r>
      <w:r>
        <w:fldChar w:fldCharType="begin"/>
      </w:r>
      <w:r>
        <w:instrText xml:space="preserve"> PAGEREF _Toc16284 \h </w:instrText>
      </w:r>
      <w:r>
        <w:fldChar w:fldCharType="separate"/>
      </w:r>
      <w:r>
        <w:t>103</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_Toc10176 </w:instrText>
      </w:r>
      <w:r>
        <w:rPr>
          <w:rFonts w:hint="eastAsia" w:ascii="宋体" w:hAnsi="宋体" w:eastAsia="宋体" w:cs="宋体"/>
        </w:rPr>
        <w:fldChar w:fldCharType="separate"/>
      </w:r>
      <w:r>
        <w:rPr>
          <w:rFonts w:hint="eastAsia" w:ascii="Arial" w:hAnsi="Arial" w:eastAsia="黑体" w:cs="宋体"/>
          <w:szCs w:val="30"/>
        </w:rPr>
        <w:t xml:space="preserve">7.1.1 </w:t>
      </w:r>
      <w:r>
        <w:rPr>
          <w:rFonts w:hint="eastAsia"/>
          <w:lang w:val="en-US" w:eastAsia="zh-CN"/>
        </w:rPr>
        <w:t>项目验收的前提条件</w:t>
      </w:r>
      <w:r>
        <w:tab/>
      </w:r>
      <w:r>
        <w:fldChar w:fldCharType="begin"/>
      </w:r>
      <w:r>
        <w:instrText xml:space="preserve"> PAGEREF _Toc10176 \h </w:instrText>
      </w:r>
      <w:r>
        <w:fldChar w:fldCharType="separate"/>
      </w:r>
      <w:r>
        <w:t>103</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_Toc30725 </w:instrText>
      </w:r>
      <w:r>
        <w:rPr>
          <w:rFonts w:hint="eastAsia" w:ascii="宋体" w:hAnsi="宋体" w:eastAsia="宋体" w:cs="宋体"/>
        </w:rPr>
        <w:fldChar w:fldCharType="separate"/>
      </w:r>
      <w:r>
        <w:rPr>
          <w:rFonts w:hint="eastAsia" w:ascii="Arial" w:hAnsi="Arial" w:eastAsia="黑体" w:cs="宋体"/>
          <w:szCs w:val="30"/>
        </w:rPr>
        <w:t xml:space="preserve">7.1.2 </w:t>
      </w:r>
      <w:r>
        <w:rPr>
          <w:rFonts w:hint="eastAsia"/>
          <w:lang w:val="en-US" w:eastAsia="zh-CN"/>
        </w:rPr>
        <w:t>项目验收方法</w:t>
      </w:r>
      <w:r>
        <w:tab/>
      </w:r>
      <w:r>
        <w:fldChar w:fldCharType="begin"/>
      </w:r>
      <w:r>
        <w:instrText xml:space="preserve"> PAGEREF _Toc30725 \h </w:instrText>
      </w:r>
      <w:r>
        <w:fldChar w:fldCharType="separate"/>
      </w:r>
      <w:r>
        <w:t>103</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_Toc18260 </w:instrText>
      </w:r>
      <w:r>
        <w:rPr>
          <w:rFonts w:hint="eastAsia" w:ascii="宋体" w:hAnsi="宋体" w:eastAsia="宋体" w:cs="宋体"/>
        </w:rPr>
        <w:fldChar w:fldCharType="separate"/>
      </w:r>
      <w:r>
        <w:rPr>
          <w:rFonts w:hint="eastAsia" w:ascii="Arial" w:hAnsi="Arial" w:eastAsia="黑体" w:cs="宋体"/>
          <w:szCs w:val="30"/>
        </w:rPr>
        <w:t xml:space="preserve">7.1.3 </w:t>
      </w:r>
      <w:r>
        <w:rPr>
          <w:rFonts w:hint="eastAsia"/>
          <w:lang w:val="en-US" w:eastAsia="zh-CN"/>
        </w:rPr>
        <w:t>项目验收程序</w:t>
      </w:r>
      <w:r>
        <w:tab/>
      </w:r>
      <w:r>
        <w:fldChar w:fldCharType="begin"/>
      </w:r>
      <w:r>
        <w:instrText xml:space="preserve"> PAGEREF _Toc18260 \h </w:instrText>
      </w:r>
      <w:r>
        <w:fldChar w:fldCharType="separate"/>
      </w:r>
      <w:r>
        <w:t>104</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_Toc19070 </w:instrText>
      </w:r>
      <w:r>
        <w:rPr>
          <w:rFonts w:hint="eastAsia" w:ascii="宋体" w:hAnsi="宋体" w:eastAsia="宋体" w:cs="宋体"/>
        </w:rPr>
        <w:fldChar w:fldCharType="separate"/>
      </w:r>
      <w:r>
        <w:rPr>
          <w:rFonts w:hint="eastAsia" w:ascii="Arial" w:hAnsi="Arial" w:eastAsia="黑体" w:cs="宋体"/>
          <w:szCs w:val="30"/>
        </w:rPr>
        <w:t xml:space="preserve">7.1.4 </w:t>
      </w:r>
      <w:r>
        <w:rPr>
          <w:rFonts w:hint="eastAsia"/>
          <w:lang w:val="en-US" w:eastAsia="zh-CN"/>
        </w:rPr>
        <w:t>项目验收组织</w:t>
      </w:r>
      <w:r>
        <w:tab/>
      </w:r>
      <w:r>
        <w:fldChar w:fldCharType="begin"/>
      </w:r>
      <w:r>
        <w:instrText xml:space="preserve"> PAGEREF _Toc19070 \h </w:instrText>
      </w:r>
      <w:r>
        <w:fldChar w:fldCharType="separate"/>
      </w:r>
      <w:r>
        <w:t>109</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_Toc6507 </w:instrText>
      </w:r>
      <w:r>
        <w:rPr>
          <w:rFonts w:hint="eastAsia" w:ascii="宋体" w:hAnsi="宋体" w:eastAsia="宋体" w:cs="宋体"/>
        </w:rPr>
        <w:fldChar w:fldCharType="separate"/>
      </w:r>
      <w:r>
        <w:rPr>
          <w:rFonts w:hint="eastAsia" w:ascii="Arial" w:hAnsi="Arial" w:eastAsia="黑体" w:cs="宋体"/>
          <w:szCs w:val="30"/>
          <w:lang w:val="en-US" w:eastAsia="zh-CN"/>
        </w:rPr>
        <w:t xml:space="preserve">7.1.5 </w:t>
      </w:r>
      <w:r>
        <w:rPr>
          <w:rFonts w:hint="eastAsia"/>
          <w:szCs w:val="22"/>
          <w:lang w:val="en-US" w:eastAsia="zh-CN"/>
        </w:rPr>
        <w:t>验收结论与处理</w:t>
      </w:r>
      <w:r>
        <w:tab/>
      </w:r>
      <w:r>
        <w:fldChar w:fldCharType="begin"/>
      </w:r>
      <w:r>
        <w:instrText xml:space="preserve"> PAGEREF _Toc6507 \h </w:instrText>
      </w:r>
      <w:r>
        <w:fldChar w:fldCharType="separate"/>
      </w:r>
      <w:r>
        <w:t>110</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_Toc24660 </w:instrText>
      </w:r>
      <w:r>
        <w:rPr>
          <w:rFonts w:hint="eastAsia" w:ascii="宋体" w:hAnsi="宋体" w:eastAsia="宋体" w:cs="宋体"/>
        </w:rPr>
        <w:fldChar w:fldCharType="separate"/>
      </w:r>
      <w:r>
        <w:rPr>
          <w:rFonts w:hint="eastAsia" w:ascii="Arial" w:hAnsi="Arial" w:eastAsia="黑体" w:cs="宋体"/>
          <w:szCs w:val="30"/>
        </w:rPr>
        <w:t xml:space="preserve">7.1.6 </w:t>
      </w:r>
      <w:r>
        <w:rPr>
          <w:rFonts w:hint="eastAsia"/>
          <w:lang w:val="en-US" w:eastAsia="zh-CN"/>
        </w:rPr>
        <w:t>项目测试验收方案</w:t>
      </w:r>
      <w:r>
        <w:tab/>
      </w:r>
      <w:r>
        <w:fldChar w:fldCharType="begin"/>
      </w:r>
      <w:r>
        <w:instrText xml:space="preserve"> PAGEREF _Toc24660 \h </w:instrText>
      </w:r>
      <w:r>
        <w:fldChar w:fldCharType="separate"/>
      </w:r>
      <w:r>
        <w:t>112</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_Toc31160 </w:instrText>
      </w:r>
      <w:r>
        <w:rPr>
          <w:rFonts w:hint="eastAsia" w:ascii="宋体" w:hAnsi="宋体" w:eastAsia="宋体" w:cs="宋体"/>
        </w:rPr>
        <w:fldChar w:fldCharType="separate"/>
      </w:r>
      <w:r>
        <w:rPr>
          <w:rFonts w:hint="eastAsia" w:ascii="Arial" w:hAnsi="Arial" w:eastAsia="黑体" w:cs="宋体"/>
        </w:rPr>
        <w:t xml:space="preserve">7.2 </w:t>
      </w:r>
      <w:r>
        <w:rPr>
          <w:rFonts w:hint="eastAsia"/>
          <w:lang w:val="en-US" w:eastAsia="zh-CN"/>
        </w:rPr>
        <w:t>项目绩效评价</w:t>
      </w:r>
      <w:r>
        <w:tab/>
      </w:r>
      <w:r>
        <w:fldChar w:fldCharType="begin"/>
      </w:r>
      <w:r>
        <w:instrText xml:space="preserve"> PAGEREF _Toc31160 \h </w:instrText>
      </w:r>
      <w:r>
        <w:fldChar w:fldCharType="separate"/>
      </w:r>
      <w:r>
        <w:t>115</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_Toc1954 </w:instrText>
      </w:r>
      <w:r>
        <w:rPr>
          <w:rFonts w:hint="eastAsia" w:ascii="宋体" w:hAnsi="宋体" w:eastAsia="宋体" w:cs="宋体"/>
        </w:rPr>
        <w:fldChar w:fldCharType="separate"/>
      </w:r>
      <w:r>
        <w:rPr>
          <w:rFonts w:hint="eastAsia" w:ascii="Arial" w:hAnsi="Arial" w:eastAsia="黑体" w:cs="宋体"/>
          <w:szCs w:val="30"/>
        </w:rPr>
        <w:t xml:space="preserve">7.2.1 </w:t>
      </w:r>
      <w:r>
        <w:rPr>
          <w:rFonts w:hint="eastAsia"/>
          <w:lang w:val="en-US" w:eastAsia="zh-CN"/>
        </w:rPr>
        <w:t>项目绩效评价依据</w:t>
      </w:r>
      <w:r>
        <w:tab/>
      </w:r>
      <w:r>
        <w:fldChar w:fldCharType="begin"/>
      </w:r>
      <w:r>
        <w:instrText xml:space="preserve"> PAGEREF _Toc1954 \h </w:instrText>
      </w:r>
      <w:r>
        <w:fldChar w:fldCharType="separate"/>
      </w:r>
      <w:r>
        <w:t>115</w:t>
      </w:r>
      <w:r>
        <w:fldChar w:fldCharType="end"/>
      </w:r>
      <w:r>
        <w:rPr>
          <w:rFonts w:hint="eastAsia" w:ascii="宋体" w:hAnsi="宋体" w:eastAsia="宋体" w:cs="宋体"/>
        </w:rPr>
        <w:fldChar w:fldCharType="end"/>
      </w:r>
    </w:p>
    <w:p>
      <w:pPr>
        <w:pStyle w:val="17"/>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_Toc8790 </w:instrText>
      </w:r>
      <w:r>
        <w:rPr>
          <w:rFonts w:hint="eastAsia" w:ascii="宋体" w:hAnsi="宋体" w:eastAsia="宋体" w:cs="宋体"/>
        </w:rPr>
        <w:fldChar w:fldCharType="separate"/>
      </w:r>
      <w:r>
        <w:rPr>
          <w:rFonts w:hint="eastAsia" w:ascii="Arial" w:hAnsi="Arial" w:eastAsia="黑体" w:cs="宋体"/>
          <w:szCs w:val="30"/>
        </w:rPr>
        <w:t xml:space="preserve">7.2.2 </w:t>
      </w:r>
      <w:r>
        <w:rPr>
          <w:rFonts w:hint="eastAsia"/>
          <w:lang w:val="en-US" w:eastAsia="zh-CN"/>
        </w:rPr>
        <w:t>项目绩效评价原则</w:t>
      </w:r>
      <w:r>
        <w:tab/>
      </w:r>
      <w:r>
        <w:fldChar w:fldCharType="begin"/>
      </w:r>
      <w:r>
        <w:instrText xml:space="preserve"> PAGEREF _Toc8790 \h </w:instrText>
      </w:r>
      <w:r>
        <w:fldChar w:fldCharType="separate"/>
      </w:r>
      <w:r>
        <w:t>116</w:t>
      </w:r>
      <w:r>
        <w:fldChar w:fldCharType="end"/>
      </w:r>
      <w:r>
        <w:rPr>
          <w:rFonts w:hint="eastAsia" w:ascii="宋体" w:hAnsi="宋体" w:eastAsia="宋体" w:cs="宋体"/>
        </w:rPr>
        <w:fldChar w:fldCharType="end"/>
      </w:r>
    </w:p>
    <w:p>
      <w:pPr>
        <w:pStyle w:val="22"/>
        <w:tabs>
          <w:tab w:val="right" w:leader="dot" w:pos="8255"/>
          <w:tab w:val="clear" w:pos="8296"/>
        </w:tabs>
      </w:pPr>
      <w:r>
        <w:rPr>
          <w:rFonts w:hint="eastAsia" w:ascii="宋体" w:hAnsi="宋体" w:eastAsia="宋体" w:cs="宋体"/>
        </w:rPr>
        <w:fldChar w:fldCharType="begin"/>
      </w:r>
      <w:r>
        <w:rPr>
          <w:rFonts w:hint="eastAsia" w:ascii="宋体" w:hAnsi="宋体" w:eastAsia="宋体" w:cs="宋体"/>
        </w:rPr>
        <w:instrText xml:space="preserve"> HYPERLINK \l _Toc19669 </w:instrText>
      </w:r>
      <w:r>
        <w:rPr>
          <w:rFonts w:hint="eastAsia" w:ascii="宋体" w:hAnsi="宋体" w:eastAsia="宋体" w:cs="宋体"/>
        </w:rPr>
        <w:fldChar w:fldCharType="separate"/>
      </w:r>
      <w:r>
        <w:rPr>
          <w:rFonts w:hint="eastAsia" w:ascii="Arial" w:hAnsi="Arial" w:eastAsia="黑体"/>
          <w:lang w:val="en-GB"/>
        </w:rPr>
        <w:t xml:space="preserve">第八章 </w:t>
      </w:r>
      <w:r>
        <w:rPr>
          <w:rFonts w:hint="eastAsia"/>
          <w:lang w:val="en-US" w:eastAsia="zh-CN"/>
        </w:rPr>
        <w:t>附表</w:t>
      </w:r>
      <w:r>
        <w:tab/>
      </w:r>
      <w:r>
        <w:fldChar w:fldCharType="begin"/>
      </w:r>
      <w:r>
        <w:instrText xml:space="preserve"> PAGEREF _Toc19669 \h </w:instrText>
      </w:r>
      <w:r>
        <w:fldChar w:fldCharType="separate"/>
      </w:r>
      <w:r>
        <w:t>117</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_Toc17844 </w:instrText>
      </w:r>
      <w:r>
        <w:rPr>
          <w:rFonts w:hint="eastAsia" w:ascii="宋体" w:hAnsi="宋体" w:eastAsia="宋体" w:cs="宋体"/>
        </w:rPr>
        <w:fldChar w:fldCharType="separate"/>
      </w:r>
      <w:r>
        <w:rPr>
          <w:rFonts w:hint="eastAsia"/>
        </w:rPr>
        <w:t>附表</w:t>
      </w:r>
      <w:r>
        <w:rPr>
          <w:rFonts w:hint="eastAsia" w:ascii="黑体" w:hAnsi="黑体" w:eastAsia="黑体" w:cs="黑体"/>
          <w:lang w:val="en-US" w:eastAsia="zh-CN"/>
        </w:rPr>
        <w:t>1</w:t>
      </w:r>
      <w:r>
        <w:rPr>
          <w:rFonts w:hint="eastAsia" w:ascii="黑体" w:hAnsi="黑体" w:eastAsia="黑体" w:cs="黑体"/>
        </w:rPr>
        <w:t xml:space="preserve"> </w:t>
      </w:r>
      <w:r>
        <w:rPr>
          <w:rFonts w:hint="eastAsia"/>
        </w:rPr>
        <w:t>项目投资概算</w:t>
      </w:r>
      <w:r>
        <w:rPr>
          <w:rFonts w:hint="eastAsia"/>
          <w:lang w:val="en-US" w:eastAsia="zh-CN"/>
        </w:rPr>
        <w:t>总</w:t>
      </w:r>
      <w:r>
        <w:rPr>
          <w:rFonts w:hint="eastAsia"/>
        </w:rPr>
        <w:t>表</w:t>
      </w:r>
      <w:r>
        <w:tab/>
      </w:r>
      <w:r>
        <w:fldChar w:fldCharType="begin"/>
      </w:r>
      <w:r>
        <w:instrText xml:space="preserve"> PAGEREF _Toc17844 \h </w:instrText>
      </w:r>
      <w:r>
        <w:fldChar w:fldCharType="separate"/>
      </w:r>
      <w:r>
        <w:t>117</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_Toc31094 </w:instrText>
      </w:r>
      <w:r>
        <w:rPr>
          <w:rFonts w:hint="eastAsia" w:ascii="宋体" w:hAnsi="宋体" w:eastAsia="宋体" w:cs="宋体"/>
        </w:rPr>
        <w:fldChar w:fldCharType="separate"/>
      </w:r>
      <w:r>
        <w:rPr>
          <w:rFonts w:hint="eastAsia"/>
        </w:rPr>
        <w:t>附表</w:t>
      </w:r>
      <w:r>
        <w:rPr>
          <w:rFonts w:hint="eastAsia"/>
          <w:lang w:val="en-US" w:eastAsia="zh-CN"/>
        </w:rPr>
        <w:t>2</w:t>
      </w:r>
      <w:r>
        <w:rPr>
          <w:rFonts w:hint="eastAsia"/>
        </w:rPr>
        <w:t xml:space="preserve"> </w:t>
      </w:r>
      <w:r>
        <w:rPr>
          <w:rFonts w:hint="eastAsia"/>
          <w:lang w:val="en-US" w:eastAsia="zh-CN"/>
        </w:rPr>
        <w:t>软硬件配置清单</w:t>
      </w:r>
      <w:r>
        <w:tab/>
      </w:r>
      <w:r>
        <w:fldChar w:fldCharType="begin"/>
      </w:r>
      <w:r>
        <w:instrText xml:space="preserve"> PAGEREF _Toc31094 \h </w:instrText>
      </w:r>
      <w:r>
        <w:fldChar w:fldCharType="separate"/>
      </w:r>
      <w:r>
        <w:t>118</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_Toc11459 </w:instrText>
      </w:r>
      <w:r>
        <w:rPr>
          <w:rFonts w:hint="eastAsia" w:ascii="宋体" w:hAnsi="宋体" w:eastAsia="宋体" w:cs="宋体"/>
        </w:rPr>
        <w:fldChar w:fldCharType="separate"/>
      </w:r>
      <w:r>
        <w:rPr>
          <w:rFonts w:hint="eastAsia"/>
          <w:lang w:val="en-US" w:eastAsia="zh-CN"/>
        </w:rPr>
        <w:t>附表3 项目运行维护费</w:t>
      </w:r>
      <w:r>
        <w:tab/>
      </w:r>
      <w:r>
        <w:fldChar w:fldCharType="begin"/>
      </w:r>
      <w:r>
        <w:instrText xml:space="preserve"> PAGEREF _Toc11459 \h </w:instrText>
      </w:r>
      <w:r>
        <w:fldChar w:fldCharType="separate"/>
      </w:r>
      <w:r>
        <w:t>132</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_Toc27151 </w:instrText>
      </w:r>
      <w:r>
        <w:rPr>
          <w:rFonts w:hint="eastAsia" w:ascii="宋体" w:hAnsi="宋体" w:eastAsia="宋体" w:cs="宋体"/>
        </w:rPr>
        <w:fldChar w:fldCharType="separate"/>
      </w:r>
      <w:r>
        <w:rPr>
          <w:rFonts w:hint="eastAsia"/>
          <w:lang w:val="en-US" w:eastAsia="zh-CN"/>
        </w:rPr>
        <w:t>附表4 信息资源共享目录</w:t>
      </w:r>
      <w:r>
        <w:tab/>
      </w:r>
      <w:r>
        <w:fldChar w:fldCharType="begin"/>
      </w:r>
      <w:r>
        <w:instrText xml:space="preserve"> PAGEREF _Toc27151 \h </w:instrText>
      </w:r>
      <w:r>
        <w:fldChar w:fldCharType="separate"/>
      </w:r>
      <w:r>
        <w:t>133</w:t>
      </w:r>
      <w:r>
        <w:fldChar w:fldCharType="end"/>
      </w:r>
      <w:r>
        <w:rPr>
          <w:rFonts w:hint="eastAsia" w:ascii="宋体" w:hAnsi="宋体" w:eastAsia="宋体" w:cs="宋体"/>
        </w:rPr>
        <w:fldChar w:fldCharType="end"/>
      </w:r>
    </w:p>
    <w:p>
      <w:pPr>
        <w:pStyle w:val="24"/>
        <w:tabs>
          <w:tab w:val="right" w:leader="dot" w:pos="8255"/>
          <w:tab w:val="clear" w:pos="8295"/>
        </w:tabs>
      </w:pPr>
      <w:r>
        <w:rPr>
          <w:rFonts w:hint="eastAsia" w:ascii="宋体" w:hAnsi="宋体" w:eastAsia="宋体" w:cs="宋体"/>
        </w:rPr>
        <w:fldChar w:fldCharType="begin"/>
      </w:r>
      <w:r>
        <w:rPr>
          <w:rFonts w:hint="eastAsia" w:ascii="宋体" w:hAnsi="宋体" w:eastAsia="宋体" w:cs="宋体"/>
        </w:rPr>
        <w:instrText xml:space="preserve"> HYPERLINK \l _Toc9151 </w:instrText>
      </w:r>
      <w:r>
        <w:rPr>
          <w:rFonts w:hint="eastAsia" w:ascii="宋体" w:hAnsi="宋体" w:eastAsia="宋体" w:cs="宋体"/>
        </w:rPr>
        <w:fldChar w:fldCharType="separate"/>
      </w:r>
      <w:r>
        <w:rPr>
          <w:rFonts w:hint="eastAsia"/>
          <w:lang w:val="en-US" w:eastAsia="zh-CN"/>
        </w:rPr>
        <w:t>附件5 交流会会议纪要</w:t>
      </w:r>
      <w:r>
        <w:tab/>
      </w:r>
      <w:r>
        <w:fldChar w:fldCharType="begin"/>
      </w:r>
      <w:r>
        <w:instrText xml:space="preserve"> PAGEREF _Toc9151 \h </w:instrText>
      </w:r>
      <w:r>
        <w:fldChar w:fldCharType="separate"/>
      </w:r>
      <w:r>
        <w:t>146</w:t>
      </w:r>
      <w:r>
        <w:fldChar w:fldCharType="end"/>
      </w:r>
      <w:r>
        <w:rPr>
          <w:rFonts w:hint="eastAsia" w:ascii="宋体" w:hAnsi="宋体" w:eastAsia="宋体" w:cs="宋体"/>
        </w:rPr>
        <w:fldChar w:fldCharType="end"/>
      </w:r>
    </w:p>
    <w:p>
      <w:pPr>
        <w:pStyle w:val="43"/>
        <w:rPr>
          <w:rFonts w:hint="default"/>
          <w:color w:val="auto"/>
        </w:rPr>
        <w:sectPr>
          <w:headerReference r:id="rId8" w:type="default"/>
          <w:footerReference r:id="rId9" w:type="default"/>
          <w:pgSz w:w="11849" w:h="16781"/>
          <w:pgMar w:top="1440" w:right="1797" w:bottom="1440" w:left="1797" w:header="850" w:footer="992" w:gutter="0"/>
          <w:pgNumType w:fmt="upperRoman" w:start="1"/>
          <w:cols w:space="0" w:num="1"/>
          <w:rtlGutter w:val="0"/>
          <w:docGrid w:type="lines" w:linePitch="397" w:charSpace="0"/>
        </w:sectPr>
      </w:pPr>
      <w:r>
        <w:rPr>
          <w:rFonts w:hint="eastAsia" w:ascii="宋体" w:hAnsi="宋体" w:eastAsia="宋体" w:cs="宋体"/>
        </w:rPr>
        <w:fldChar w:fldCharType="end"/>
      </w:r>
      <w:bookmarkStart w:id="19" w:name="_Toc16445"/>
      <w:bookmarkStart w:id="20" w:name="_Toc23243"/>
    </w:p>
    <w:p>
      <w:pPr>
        <w:pStyle w:val="4"/>
        <w:spacing w:before="156" w:after="156"/>
        <w:rPr>
          <w:rFonts w:hint="default"/>
          <w:color w:val="auto"/>
        </w:rPr>
      </w:pPr>
      <w:bookmarkStart w:id="21" w:name="_Toc2787"/>
      <w:r>
        <w:rPr>
          <w:color w:val="auto"/>
        </w:rPr>
        <w:t>项目概述</w:t>
      </w:r>
      <w:bookmarkEnd w:id="19"/>
      <w:bookmarkEnd w:id="20"/>
      <w:bookmarkEnd w:id="21"/>
    </w:p>
    <w:p>
      <w:pPr>
        <w:pStyle w:val="5"/>
        <w:rPr>
          <w:rFonts w:hint="default"/>
          <w:color w:val="auto"/>
          <w:lang w:val="en-US" w:eastAsia="zh-CN"/>
        </w:rPr>
      </w:pPr>
      <w:bookmarkStart w:id="22" w:name="_Toc14309"/>
      <w:bookmarkStart w:id="23" w:name="_Toc13207"/>
      <w:bookmarkStart w:id="24" w:name="_Toc2292"/>
      <w:r>
        <w:rPr>
          <w:rFonts w:hint="eastAsia"/>
          <w:color w:val="auto"/>
          <w:lang w:val="en-US" w:eastAsia="zh-CN"/>
        </w:rPr>
        <w:t>项目基本情况说明</w:t>
      </w:r>
      <w:bookmarkEnd w:id="22"/>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41"/>
        <w:gridCol w:w="1860"/>
        <w:gridCol w:w="1763"/>
        <w:gridCol w:w="1470"/>
        <w:gridCol w:w="17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p>
        </w:tc>
        <w:tc>
          <w:tcPr>
            <w:tcW w:w="403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丰都县镇街移民安置区综合应急能力提升项目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项目类型</w:t>
            </w:r>
          </w:p>
        </w:tc>
        <w:tc>
          <w:tcPr>
            <w:tcW w:w="213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□新建</w:t>
            </w:r>
          </w:p>
        </w:tc>
        <w:tc>
          <w:tcPr>
            <w:tcW w:w="18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仿宋" w:hAnsi="仿宋" w:eastAsia="仿宋" w:cs="仿宋"/>
                <w:i w:val="0"/>
                <w:iCs w:val="0"/>
                <w:color w:val="000000"/>
                <w:kern w:val="0"/>
                <w:sz w:val="24"/>
                <w:szCs w:val="24"/>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是否为跨部门应用</w:t>
            </w:r>
          </w:p>
        </w:tc>
        <w:tc>
          <w:tcPr>
            <w:tcW w:w="213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default"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仿宋" w:hAnsi="仿宋" w:eastAsia="仿宋" w:cs="仿宋"/>
                <w:i w:val="0"/>
                <w:iCs w:val="0"/>
                <w:color w:val="000000"/>
                <w:kern w:val="0"/>
                <w:sz w:val="24"/>
                <w:szCs w:val="24"/>
                <w:u w:val="none"/>
                <w:lang w:val="en-US" w:eastAsia="zh-CN" w:bidi="ar"/>
              </w:rPr>
              <w:t>是</w:t>
            </w:r>
          </w:p>
        </w:tc>
        <w:tc>
          <w:tcPr>
            <w:tcW w:w="18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项目性质</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□软件类</w:t>
            </w:r>
          </w:p>
        </w:tc>
        <w:tc>
          <w:tcPr>
            <w:tcW w:w="19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default"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仿宋" w:hAnsi="仿宋" w:eastAsia="仿宋" w:cs="仿宋"/>
                <w:i w:val="0"/>
                <w:iCs w:val="0"/>
                <w:color w:val="000000"/>
                <w:kern w:val="0"/>
                <w:sz w:val="24"/>
                <w:szCs w:val="24"/>
                <w:u w:val="none"/>
                <w:lang w:val="en-US" w:eastAsia="zh-CN" w:bidi="ar"/>
              </w:rPr>
              <w:t>硬件类</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□服务类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拟运行网络</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□政务外网</w:t>
            </w:r>
          </w:p>
        </w:tc>
        <w:tc>
          <w:tcPr>
            <w:tcW w:w="19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default"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仿宋" w:hAnsi="仿宋" w:eastAsia="仿宋" w:cs="仿宋"/>
                <w:i w:val="0"/>
                <w:iCs w:val="0"/>
                <w:color w:val="000000"/>
                <w:kern w:val="0"/>
                <w:sz w:val="24"/>
                <w:szCs w:val="24"/>
                <w:u w:val="none"/>
                <w:lang w:val="en-US" w:eastAsia="zh-CN" w:bidi="ar"/>
              </w:rPr>
              <w:t>业务专网</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□互联网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拟部署地点</w:t>
            </w:r>
          </w:p>
        </w:tc>
        <w:tc>
          <w:tcPr>
            <w:tcW w:w="213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□重庆市政务云</w:t>
            </w:r>
          </w:p>
        </w:tc>
        <w:tc>
          <w:tcPr>
            <w:tcW w:w="18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default"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仿宋" w:hAnsi="仿宋" w:eastAsia="仿宋" w:cs="仿宋"/>
                <w:i w:val="0"/>
                <w:iCs w:val="0"/>
                <w:color w:val="000000"/>
                <w:kern w:val="0"/>
                <w:sz w:val="24"/>
                <w:szCs w:val="24"/>
                <w:u w:val="none"/>
                <w:lang w:val="en-US" w:eastAsia="zh-CN" w:bidi="ar"/>
              </w:rPr>
              <w:t>丰都云平台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系统等保级别</w:t>
            </w:r>
          </w:p>
        </w:tc>
        <w:tc>
          <w:tcPr>
            <w:tcW w:w="403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□无要求 □一级  □二级  </w:t>
            </w:r>
            <w:r>
              <w:rPr>
                <w:rFonts w:hint="default" w:ascii="Wingdings" w:hAnsi="Wingdings" w:eastAsia="仿宋" w:cs="Wingdings"/>
                <w:i w:val="0"/>
                <w:iCs w:val="0"/>
                <w:color w:val="000000"/>
                <w:kern w:val="0"/>
                <w:sz w:val="24"/>
                <w:szCs w:val="24"/>
                <w:u w:val="none"/>
                <w:lang w:val="en-US" w:eastAsia="zh-CN" w:bidi="ar"/>
              </w:rPr>
              <w:t>þ</w:t>
            </w:r>
            <w:r>
              <w:rPr>
                <w:rFonts w:hint="eastAsia" w:ascii="仿宋" w:hAnsi="仿宋" w:eastAsia="仿宋" w:cs="仿宋"/>
                <w:i w:val="0"/>
                <w:iCs w:val="0"/>
                <w:color w:val="000000"/>
                <w:kern w:val="0"/>
                <w:sz w:val="24"/>
                <w:szCs w:val="24"/>
                <w:u w:val="none"/>
                <w:lang w:val="en-US" w:eastAsia="zh-CN" w:bidi="ar"/>
              </w:rPr>
              <w:t>三级  □四级  □五级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69"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用户范围</w:t>
            </w:r>
          </w:p>
        </w:tc>
        <w:tc>
          <w:tcPr>
            <w:tcW w:w="213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default"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仿宋" w:hAnsi="仿宋" w:eastAsia="仿宋" w:cs="仿宋"/>
                <w:i w:val="0"/>
                <w:iCs w:val="0"/>
                <w:color w:val="000000"/>
                <w:kern w:val="0"/>
                <w:sz w:val="24"/>
                <w:szCs w:val="24"/>
                <w:u w:val="none"/>
                <w:lang w:val="en-US" w:eastAsia="zh-CN" w:bidi="ar"/>
              </w:rPr>
              <w:t xml:space="preserve"> 县级工作人员</w:t>
            </w:r>
          </w:p>
        </w:tc>
        <w:tc>
          <w:tcPr>
            <w:tcW w:w="18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村工作人员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69" w:type="pct"/>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213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社区工作人员</w:t>
            </w:r>
          </w:p>
        </w:tc>
        <w:tc>
          <w:tcPr>
            <w:tcW w:w="18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网格员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69"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213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居民/企业</w:t>
            </w:r>
          </w:p>
        </w:tc>
        <w:tc>
          <w:tcPr>
            <w:tcW w:w="18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其他部门或单位工作人员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是否新建对外服务功能</w:t>
            </w:r>
          </w:p>
        </w:tc>
        <w:tc>
          <w:tcPr>
            <w:tcW w:w="213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ascii="Wingdings 2" w:hAnsi="Wingdings 2" w:eastAsia="Wingdings 2" w:cs="Wingdings 2"/>
                <w:i w:val="0"/>
                <w:iCs w:val="0"/>
                <w:color w:val="000000"/>
                <w:sz w:val="24"/>
                <w:szCs w:val="24"/>
                <w:u w:val="none"/>
              </w:rPr>
            </w:pPr>
            <w:r>
              <w:rPr>
                <w:rFonts w:hint="default" w:ascii="Wingdings 2" w:hAnsi="Wingdings 2" w:eastAsia="Wingdings 2" w:cs="Wingdings 2"/>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t>是</w:t>
            </w:r>
          </w:p>
        </w:tc>
        <w:tc>
          <w:tcPr>
            <w:tcW w:w="18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default"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仿宋" w:hAnsi="仿宋" w:eastAsia="仿宋" w:cs="仿宋"/>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是否新建监管或执法类业务功能</w:t>
            </w:r>
          </w:p>
        </w:tc>
        <w:tc>
          <w:tcPr>
            <w:tcW w:w="213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w:t>
            </w:r>
          </w:p>
        </w:tc>
        <w:tc>
          <w:tcPr>
            <w:tcW w:w="18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default"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仿宋" w:hAnsi="仿宋" w:eastAsia="仿宋" w:cs="仿宋"/>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是否新建微信公众号或小程序功能</w:t>
            </w:r>
          </w:p>
        </w:tc>
        <w:tc>
          <w:tcPr>
            <w:tcW w:w="213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w:t>
            </w:r>
          </w:p>
        </w:tc>
        <w:tc>
          <w:tcPr>
            <w:tcW w:w="18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default"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仿宋" w:hAnsi="仿宋" w:eastAsia="仿宋" w:cs="仿宋"/>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是否新建移动应用（IOS或安卓APP）</w:t>
            </w:r>
          </w:p>
        </w:tc>
        <w:tc>
          <w:tcPr>
            <w:tcW w:w="213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w:t>
            </w:r>
          </w:p>
        </w:tc>
        <w:tc>
          <w:tcPr>
            <w:tcW w:w="18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default"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仿宋" w:hAnsi="仿宋" w:eastAsia="仿宋" w:cs="仿宋"/>
                <w:i w:val="0"/>
                <w:iCs w:val="0"/>
                <w:color w:val="000000"/>
                <w:kern w:val="0"/>
                <w:sz w:val="24"/>
                <w:szCs w:val="24"/>
                <w:u w:val="none"/>
                <w:lang w:val="en-US" w:eastAsia="zh-CN" w:bidi="ar"/>
              </w:rPr>
              <w:t>否</w:t>
            </w:r>
          </w:p>
        </w:tc>
      </w:tr>
    </w:tbl>
    <w:p>
      <w:pPr>
        <w:pStyle w:val="16"/>
        <w:rPr>
          <w:rFonts w:hint="default"/>
          <w:lang w:val="en-US" w:eastAsia="zh-CN"/>
        </w:rPr>
        <w:sectPr>
          <w:footerReference r:id="rId10" w:type="default"/>
          <w:pgSz w:w="11849" w:h="16781"/>
          <w:pgMar w:top="1440" w:right="1797" w:bottom="1440" w:left="1797" w:header="850" w:footer="992" w:gutter="0"/>
          <w:pgNumType w:fmt="decimal" w:start="1"/>
          <w:cols w:space="0" w:num="1"/>
          <w:rtlGutter w:val="0"/>
          <w:docGrid w:type="lines" w:linePitch="397" w:charSpace="0"/>
        </w:sectPr>
      </w:pPr>
    </w:p>
    <w:p>
      <w:pPr>
        <w:pStyle w:val="5"/>
        <w:rPr>
          <w:rFonts w:hint="default"/>
          <w:color w:val="auto"/>
        </w:rPr>
      </w:pPr>
      <w:bookmarkStart w:id="25" w:name="_Toc4877"/>
      <w:r>
        <w:rPr>
          <w:color w:val="auto"/>
        </w:rPr>
        <w:t>项目建设单位及</w:t>
      </w:r>
      <w:bookmarkEnd w:id="23"/>
      <w:bookmarkEnd w:id="24"/>
      <w:r>
        <w:rPr>
          <w:rFonts w:hint="eastAsia"/>
          <w:color w:val="auto"/>
          <w:lang w:val="en-US" w:eastAsia="zh-CN"/>
        </w:rPr>
        <w:t>联系人</w:t>
      </w:r>
      <w:bookmarkEnd w:id="25"/>
    </w:p>
    <w:p>
      <w:pPr>
        <w:bidi w:val="0"/>
      </w:pPr>
      <w:bookmarkStart w:id="26" w:name="_Toc30634"/>
      <w:bookmarkStart w:id="27" w:name="_Toc13642"/>
      <w:bookmarkStart w:id="28" w:name="_Toc19055"/>
      <w:bookmarkStart w:id="29" w:name="_Toc25915"/>
      <w:bookmarkStart w:id="30" w:name="_Toc104303254"/>
      <w:bookmarkStart w:id="31" w:name="_Toc2676"/>
      <w:bookmarkStart w:id="32" w:name="_Toc521204012"/>
      <w:bookmarkStart w:id="33" w:name="_Toc138084306"/>
      <w:bookmarkStart w:id="34" w:name="_Toc30105"/>
      <w:bookmarkStart w:id="35" w:name="_Toc196215205"/>
      <w:bookmarkStart w:id="36" w:name="_Toc521203597"/>
      <w:bookmarkStart w:id="37" w:name="_Toc170892483"/>
      <w:bookmarkStart w:id="38" w:name="_Toc8294"/>
      <w:bookmarkStart w:id="39" w:name="_Toc5050"/>
      <w:bookmarkStart w:id="40" w:name="_Toc26922"/>
      <w:bookmarkStart w:id="41" w:name="_Toc15150"/>
      <w:bookmarkStart w:id="42" w:name="_Toc32400"/>
      <w:bookmarkStart w:id="43" w:name="_Toc29857"/>
      <w:bookmarkStart w:id="44" w:name="_Toc12710"/>
      <w:r>
        <w:rPr>
          <w:rFonts w:hint="eastAsia"/>
        </w:rPr>
        <w:t>项目建设单位：</w:t>
      </w:r>
      <w:r>
        <w:rPr>
          <w:rFonts w:hint="eastAsia"/>
          <w:lang w:val="en-US" w:eastAsia="zh-CN"/>
        </w:rPr>
        <w:t>丰都县河库综合事务中心</w:t>
      </w:r>
    </w:p>
    <w:p>
      <w:pPr>
        <w:bidi w:val="0"/>
        <w:rPr>
          <w:rFonts w:hint="eastAsia"/>
        </w:rPr>
      </w:pPr>
      <w:r>
        <w:rPr>
          <w:rFonts w:hint="eastAsia"/>
        </w:rPr>
        <w:t>项目</w:t>
      </w:r>
      <w:r>
        <w:rPr>
          <w:rFonts w:hint="eastAsia"/>
          <w:lang w:val="en-US" w:eastAsia="zh-CN"/>
        </w:rPr>
        <w:t>联系人</w:t>
      </w:r>
      <w:r>
        <w:rPr>
          <w:rFonts w:hint="eastAsia"/>
        </w:rPr>
        <w:t>：刘宇杰</w:t>
      </w:r>
    </w:p>
    <w:p>
      <w:pPr>
        <w:bidi w:val="0"/>
        <w:rPr>
          <w:rFonts w:hint="default"/>
          <w:lang w:val="en-US" w:eastAsia="zh-CN"/>
        </w:rPr>
      </w:pPr>
      <w:r>
        <w:rPr>
          <w:rFonts w:hint="eastAsia"/>
          <w:lang w:val="en-US" w:eastAsia="zh-CN"/>
        </w:rPr>
        <w:t>参与配合单位：丰都县公安局</w:t>
      </w:r>
    </w:p>
    <w:p>
      <w:pPr>
        <w:pStyle w:val="5"/>
        <w:rPr>
          <w:rFonts w:hint="default"/>
          <w:color w:val="auto"/>
          <w:lang w:val="en-GB"/>
        </w:rPr>
      </w:pPr>
      <w:bookmarkStart w:id="45" w:name="_Toc10397"/>
      <w:bookmarkStart w:id="46" w:name="_Toc27169"/>
      <w:bookmarkStart w:id="47" w:name="_Toc12222"/>
      <w:r>
        <w:rPr>
          <w:color w:val="auto"/>
        </w:rPr>
        <w:t>初设及概算编制单位</w:t>
      </w:r>
      <w:bookmarkEnd w:id="45"/>
      <w:bookmarkEnd w:id="46"/>
      <w:bookmarkEnd w:id="47"/>
    </w:p>
    <w:p>
      <w:pPr>
        <w:pStyle w:val="43"/>
        <w:ind w:firstLine="524"/>
        <w:rPr>
          <w:color w:val="auto"/>
        </w:rPr>
      </w:pPr>
      <w:r>
        <w:rPr>
          <w:rFonts w:hint="eastAsia"/>
          <w:color w:val="auto"/>
        </w:rPr>
        <w:t>初设及概算编制单位：重庆信科设计有限公司</w:t>
      </w:r>
    </w:p>
    <w:p>
      <w:pPr>
        <w:spacing w:line="360" w:lineRule="auto"/>
        <w:ind w:firstLine="524" w:firstLineChars="200"/>
        <w:rPr>
          <w:rFonts w:ascii="Times New Roman" w:hAnsi="Times New Roman"/>
          <w:sz w:val="24"/>
        </w:rPr>
      </w:pPr>
      <w:r>
        <w:rPr>
          <w:rFonts w:hint="eastAsia"/>
          <w:sz w:val="24"/>
          <w:lang w:val="en-US" w:eastAsia="zh-CN"/>
        </w:rPr>
        <w:t>重庆信科设计有限公司</w:t>
      </w:r>
      <w:r>
        <w:rPr>
          <w:rFonts w:hint="eastAsia" w:ascii="Times New Roman" w:hAnsi="Times New Roman"/>
          <w:sz w:val="24"/>
          <w:lang w:val="en-US" w:eastAsia="zh-CN"/>
        </w:rPr>
        <w:t>创建于</w:t>
      </w:r>
      <w:r>
        <w:rPr>
          <w:rFonts w:hint="eastAsia" w:ascii="Times New Roman" w:hAnsi="Times New Roman"/>
          <w:sz w:val="24"/>
        </w:rPr>
        <w:t>1982年，</w:t>
      </w:r>
      <w:r>
        <w:rPr>
          <w:rFonts w:hint="eastAsia" w:ascii="Times New Roman" w:hAnsi="Times New Roman"/>
          <w:sz w:val="24"/>
          <w:lang w:val="en-US" w:eastAsia="zh-CN"/>
        </w:rPr>
        <w:t>起源于重庆邮电大学，延续重邮专业严谨的作风、求实创新的精神，以信息网络为基础，以技术创新为驱动，以高质量发展为需求，提供数字化转型、产业智能升级、融合创新服务、智慧疆域拓展，是一家将产学研用与数字经济深度融合的国家高新技术企业。</w:t>
      </w:r>
      <w:r>
        <w:rPr>
          <w:rFonts w:ascii="Times New Roman" w:hAnsi="Times New Roman"/>
          <w:sz w:val="24"/>
        </w:rPr>
        <w:t>公司与本项目咨询的相关资质情况如下：</w:t>
      </w:r>
    </w:p>
    <w:p>
      <w:pPr>
        <w:numPr>
          <w:ilvl w:val="0"/>
          <w:numId w:val="16"/>
        </w:numPr>
        <w:tabs>
          <w:tab w:val="left" w:pos="1134"/>
        </w:tabs>
        <w:spacing w:line="360" w:lineRule="auto"/>
        <w:ind w:left="0" w:firstLine="524" w:firstLineChars="200"/>
        <w:rPr>
          <w:rFonts w:ascii="Times New Roman" w:hAnsi="Times New Roman"/>
          <w:sz w:val="24"/>
        </w:rPr>
      </w:pPr>
      <w:r>
        <w:rPr>
          <w:rFonts w:hint="eastAsia" w:ascii="Times New Roman" w:hAnsi="Times New Roman"/>
          <w:sz w:val="24"/>
          <w:lang w:val="en-US" w:eastAsia="zh-CN"/>
        </w:rPr>
        <w:t>工程咨询单位甲级资信证书（电子、信息工程）；</w:t>
      </w:r>
    </w:p>
    <w:p>
      <w:pPr>
        <w:numPr>
          <w:ilvl w:val="0"/>
          <w:numId w:val="16"/>
        </w:numPr>
        <w:tabs>
          <w:tab w:val="left" w:pos="1134"/>
        </w:tabs>
        <w:spacing w:line="360" w:lineRule="auto"/>
        <w:ind w:left="0" w:firstLine="524" w:firstLineChars="200"/>
        <w:rPr>
          <w:rFonts w:ascii="Times New Roman" w:hAnsi="Times New Roman"/>
          <w:sz w:val="24"/>
        </w:rPr>
      </w:pPr>
      <w:r>
        <w:rPr>
          <w:rFonts w:ascii="Times New Roman" w:hAnsi="Times New Roman"/>
          <w:sz w:val="24"/>
        </w:rPr>
        <w:t>电子通信广电行业（有线通信、无线通信、通信铁塔）工程设计资质甲级；</w:t>
      </w:r>
    </w:p>
    <w:p>
      <w:pPr>
        <w:numPr>
          <w:ilvl w:val="0"/>
          <w:numId w:val="16"/>
        </w:numPr>
        <w:tabs>
          <w:tab w:val="left" w:pos="1134"/>
        </w:tabs>
        <w:spacing w:line="360" w:lineRule="auto"/>
        <w:ind w:left="0" w:firstLine="524" w:firstLineChars="200"/>
        <w:rPr>
          <w:rFonts w:ascii="Times New Roman" w:hAnsi="Times New Roman"/>
          <w:sz w:val="24"/>
        </w:rPr>
      </w:pPr>
      <w:r>
        <w:rPr>
          <w:rFonts w:ascii="Times New Roman" w:hAnsi="Times New Roman"/>
          <w:sz w:val="24"/>
        </w:rPr>
        <w:t>建筑智能化专项设计甲级；</w:t>
      </w:r>
    </w:p>
    <w:p>
      <w:pPr>
        <w:numPr>
          <w:ilvl w:val="0"/>
          <w:numId w:val="16"/>
        </w:numPr>
        <w:tabs>
          <w:tab w:val="left" w:pos="1134"/>
        </w:tabs>
        <w:spacing w:line="360" w:lineRule="auto"/>
        <w:ind w:left="0" w:firstLine="524" w:firstLineChars="200"/>
        <w:rPr>
          <w:rFonts w:ascii="Times New Roman" w:hAnsi="Times New Roman"/>
          <w:sz w:val="24"/>
        </w:rPr>
      </w:pPr>
      <w:r>
        <w:rPr>
          <w:rFonts w:ascii="Times New Roman" w:hAnsi="Times New Roman"/>
          <w:sz w:val="24"/>
        </w:rPr>
        <w:t>工程勘察资质（工程测量）甲级。</w:t>
      </w:r>
    </w:p>
    <w:p>
      <w:pPr>
        <w:pStyle w:val="5"/>
        <w:rPr>
          <w:rFonts w:hint="default"/>
          <w:color w:val="auto"/>
          <w:lang w:val="en-GB"/>
        </w:rPr>
      </w:pPr>
      <w:bookmarkStart w:id="48" w:name="_Toc8292"/>
      <w:bookmarkStart w:id="49" w:name="_Toc25026"/>
      <w:bookmarkStart w:id="50" w:name="_Toc4387"/>
      <w:r>
        <w:rPr>
          <w:color w:val="auto"/>
        </w:rPr>
        <w:t>初设及概算编制依据</w:t>
      </w:r>
      <w:bookmarkEnd w:id="48"/>
      <w:bookmarkEnd w:id="49"/>
      <w:bookmarkEnd w:id="50"/>
    </w:p>
    <w:p>
      <w:pPr>
        <w:pStyle w:val="6"/>
        <w:bidi w:val="0"/>
        <w:ind w:left="0" w:leftChars="0" w:firstLine="0" w:firstLineChars="0"/>
      </w:pPr>
      <w:bookmarkStart w:id="51" w:name="_Toc28758"/>
      <w:bookmarkStart w:id="52" w:name="_Toc32164"/>
      <w:bookmarkStart w:id="53" w:name="_Toc19553"/>
      <w:bookmarkStart w:id="54" w:name="_Toc10228"/>
      <w:bookmarkStart w:id="55" w:name="_Toc16568"/>
      <w:bookmarkStart w:id="56" w:name="_Toc9956"/>
      <w:r>
        <w:rPr>
          <w:rFonts w:hint="eastAsia"/>
        </w:rPr>
        <w:t>政策依据</w:t>
      </w:r>
      <w:bookmarkEnd w:id="51"/>
      <w:bookmarkEnd w:id="52"/>
      <w:bookmarkEnd w:id="53"/>
      <w:bookmarkEnd w:id="54"/>
      <w:bookmarkEnd w:id="55"/>
    </w:p>
    <w:p>
      <w:pPr>
        <w:numPr>
          <w:ilvl w:val="0"/>
          <w:numId w:val="17"/>
        </w:numPr>
        <w:ind w:left="0" w:firstLine="480"/>
        <w:rPr>
          <w:rFonts w:ascii="宋体" w:hAnsi="宋体" w:cs="宋体"/>
        </w:rPr>
      </w:pPr>
      <w:r>
        <w:rPr>
          <w:rFonts w:hint="eastAsia" w:ascii="宋体" w:hAnsi="宋体" w:cs="宋体"/>
        </w:rPr>
        <w:t>《三峡后续工作规划》（2011年5月18日国务院常务会议）；</w:t>
      </w:r>
    </w:p>
    <w:p>
      <w:pPr>
        <w:numPr>
          <w:ilvl w:val="0"/>
          <w:numId w:val="17"/>
        </w:numPr>
        <w:ind w:left="0" w:firstLine="480"/>
        <w:rPr>
          <w:rFonts w:ascii="宋体" w:hAnsi="宋体" w:cs="宋体"/>
        </w:rPr>
      </w:pPr>
      <w:r>
        <w:rPr>
          <w:rFonts w:hint="eastAsia" w:ascii="宋体" w:hAnsi="宋体" w:cs="宋体"/>
        </w:rPr>
        <w:t>《三峡后续工作规划实施管理暂行办法》（2011）；</w:t>
      </w:r>
    </w:p>
    <w:p>
      <w:pPr>
        <w:numPr>
          <w:ilvl w:val="0"/>
          <w:numId w:val="17"/>
        </w:numPr>
        <w:ind w:left="0" w:firstLine="480"/>
        <w:rPr>
          <w:rFonts w:ascii="宋体" w:hAnsi="宋体" w:cs="宋体"/>
        </w:rPr>
      </w:pPr>
      <w:r>
        <w:rPr>
          <w:rFonts w:hint="eastAsia" w:ascii="宋体" w:hAnsi="宋体" w:cs="宋体"/>
        </w:rPr>
        <w:t>《重庆市城乡公共服务设施规划标准》（2014年）；</w:t>
      </w:r>
    </w:p>
    <w:p>
      <w:pPr>
        <w:numPr>
          <w:ilvl w:val="0"/>
          <w:numId w:val="17"/>
        </w:numPr>
        <w:ind w:left="0" w:firstLine="480"/>
        <w:rPr>
          <w:rFonts w:ascii="宋体" w:hAnsi="宋体" w:cs="宋体"/>
        </w:rPr>
      </w:pPr>
      <w:r>
        <w:rPr>
          <w:rFonts w:hint="eastAsia" w:ascii="宋体" w:hAnsi="宋体" w:cs="宋体"/>
        </w:rPr>
        <w:t>《重庆市区县总体规划编制技术导则》；</w:t>
      </w:r>
    </w:p>
    <w:p>
      <w:pPr>
        <w:numPr>
          <w:ilvl w:val="0"/>
          <w:numId w:val="17"/>
        </w:numPr>
        <w:ind w:left="0" w:firstLine="480"/>
        <w:rPr>
          <w:rFonts w:ascii="宋体" w:hAnsi="宋体" w:cs="宋体"/>
        </w:rPr>
      </w:pPr>
      <w:r>
        <w:rPr>
          <w:rFonts w:hint="eastAsia" w:ascii="宋体" w:hAnsi="宋体" w:cs="宋体"/>
        </w:rPr>
        <w:t>《</w:t>
      </w:r>
      <w:r>
        <w:rPr>
          <w:rFonts w:hint="eastAsia"/>
        </w:rPr>
        <w:t>重庆市</w:t>
      </w:r>
      <w:r>
        <w:rPr>
          <w:rFonts w:hint="eastAsia" w:ascii="宋体" w:hAnsi="宋体" w:cs="宋体"/>
        </w:rPr>
        <w:t>城乡总体规划（2007-2020）》（2014年深化）；</w:t>
      </w:r>
    </w:p>
    <w:p>
      <w:pPr>
        <w:keepNext w:val="0"/>
        <w:keepLines w:val="0"/>
        <w:pageBreakBefore w:val="0"/>
        <w:widowControl w:val="0"/>
        <w:numPr>
          <w:ilvl w:val="0"/>
          <w:numId w:val="17"/>
        </w:numPr>
        <w:tabs>
          <w:tab w:val="left" w:pos="0"/>
        </w:tabs>
        <w:kinsoku/>
        <w:wordWrap/>
        <w:overflowPunct/>
        <w:topLinePunct w:val="0"/>
        <w:autoSpaceDE/>
        <w:autoSpaceDN/>
        <w:bidi w:val="0"/>
        <w:adjustRightInd/>
        <w:snapToGrid w:val="0"/>
        <w:ind w:left="0"/>
        <w:textAlignment w:val="auto"/>
        <w:rPr>
          <w:rFonts w:hint="eastAsia"/>
          <w:lang w:val="zh-CN"/>
        </w:rPr>
      </w:pPr>
      <w:r>
        <w:rPr>
          <w:rFonts w:hint="eastAsia" w:ascii="宋体" w:hAnsi="宋体" w:cs="宋体"/>
        </w:rPr>
        <w:t>住</w:t>
      </w:r>
      <w:r>
        <w:rPr>
          <w:rFonts w:hint="eastAsia"/>
        </w:rPr>
        <w:t>建</w:t>
      </w:r>
      <w:r>
        <w:rPr>
          <w:rFonts w:hint="eastAsia" w:ascii="宋体" w:hAnsi="宋体" w:cs="宋体"/>
        </w:rPr>
        <w:t>部关于《智慧社区建设指南》（试行）。</w:t>
      </w:r>
    </w:p>
    <w:p>
      <w:pPr>
        <w:numPr>
          <w:ilvl w:val="0"/>
          <w:numId w:val="17"/>
        </w:numPr>
        <w:ind w:left="0" w:firstLine="480"/>
        <w:rPr>
          <w:rFonts w:hint="eastAsia" w:ascii="宋体" w:hAnsi="宋体" w:eastAsia="宋体" w:cs="宋体"/>
        </w:rPr>
      </w:pPr>
      <w:r>
        <w:rPr>
          <w:rFonts w:hint="eastAsia" w:ascii="宋体" w:hAnsi="宋体" w:eastAsia="宋体" w:cs="宋体"/>
        </w:rPr>
        <w:t>国务院办公厅关于印发《国家政务信息化项目建设管理办法》的通知国办发〔2019〕57号；</w:t>
      </w:r>
    </w:p>
    <w:p>
      <w:pPr>
        <w:numPr>
          <w:ilvl w:val="0"/>
          <w:numId w:val="17"/>
        </w:numPr>
        <w:ind w:left="0" w:firstLine="480"/>
        <w:rPr>
          <w:rFonts w:hint="eastAsia"/>
          <w:lang w:val="zh-CN"/>
        </w:rPr>
      </w:pPr>
      <w:r>
        <w:rPr>
          <w:rFonts w:hint="eastAsia" w:ascii="宋体" w:hAnsi="宋体" w:eastAsia="宋体" w:cs="宋体"/>
        </w:rPr>
        <w:t>《重庆市政务信息资源共享开放管理办法》（重庆市人民政府令第320号）</w:t>
      </w:r>
      <w:r>
        <w:rPr>
          <w:rFonts w:hint="eastAsia" w:ascii="宋体" w:hAnsi="宋体" w:eastAsia="宋体" w:cs="宋体"/>
          <w:lang w:eastAsia="zh-CN"/>
        </w:rPr>
        <w:t>。</w:t>
      </w:r>
    </w:p>
    <w:p>
      <w:pPr>
        <w:pStyle w:val="6"/>
        <w:bidi w:val="0"/>
        <w:ind w:left="0" w:leftChars="0" w:firstLine="0" w:firstLineChars="0"/>
      </w:pPr>
      <w:bookmarkStart w:id="57" w:name="_Toc2073"/>
      <w:r>
        <w:rPr>
          <w:rFonts w:hint="eastAsia"/>
          <w:lang w:val="en-US" w:eastAsia="zh-CN"/>
        </w:rPr>
        <w:t>标准规范</w:t>
      </w:r>
      <w:bookmarkEnd w:id="57"/>
    </w:p>
    <w:p>
      <w:pPr>
        <w:numPr>
          <w:ilvl w:val="0"/>
          <w:numId w:val="18"/>
        </w:numPr>
        <w:adjustRightInd w:val="0"/>
        <w:ind w:firstLine="520"/>
        <w:rPr>
          <w:highlight w:val="none"/>
        </w:rPr>
      </w:pPr>
      <w:r>
        <w:rPr>
          <w:rFonts w:hint="eastAsia"/>
          <w:highlight w:val="none"/>
        </w:rPr>
        <w:t>《公共安全视频监控联网系统信息传输、交换、控制技术要求》（GB/T28181-2016）；</w:t>
      </w:r>
    </w:p>
    <w:p>
      <w:pPr>
        <w:numPr>
          <w:ilvl w:val="0"/>
          <w:numId w:val="18"/>
        </w:numPr>
        <w:adjustRightInd w:val="0"/>
        <w:ind w:firstLine="520"/>
        <w:rPr>
          <w:highlight w:val="none"/>
        </w:rPr>
      </w:pPr>
      <w:r>
        <w:rPr>
          <w:rFonts w:hint="eastAsia"/>
          <w:highlight w:val="none"/>
        </w:rPr>
        <w:t>《公共安全视频监控数字视音频编解码技术要求》（GB/T25724-2017）；</w:t>
      </w:r>
    </w:p>
    <w:p>
      <w:pPr>
        <w:numPr>
          <w:ilvl w:val="0"/>
          <w:numId w:val="18"/>
        </w:numPr>
        <w:adjustRightInd w:val="0"/>
        <w:ind w:firstLine="520"/>
        <w:rPr>
          <w:highlight w:val="none"/>
        </w:rPr>
      </w:pPr>
      <w:r>
        <w:rPr>
          <w:rFonts w:hint="eastAsia"/>
          <w:highlight w:val="none"/>
        </w:rPr>
        <w:t>《公共安全视频图像信息共享交换网络技术要求》；</w:t>
      </w:r>
    </w:p>
    <w:p>
      <w:pPr>
        <w:numPr>
          <w:ilvl w:val="0"/>
          <w:numId w:val="18"/>
        </w:numPr>
        <w:adjustRightInd w:val="0"/>
        <w:ind w:firstLine="520"/>
        <w:rPr>
          <w:highlight w:val="none"/>
        </w:rPr>
      </w:pPr>
      <w:r>
        <w:rPr>
          <w:rFonts w:hint="eastAsia"/>
          <w:highlight w:val="none"/>
        </w:rPr>
        <w:t>《公共安全视频图像信息综合应用服务接口技术要求》；</w:t>
      </w:r>
    </w:p>
    <w:p>
      <w:pPr>
        <w:numPr>
          <w:ilvl w:val="0"/>
          <w:numId w:val="18"/>
        </w:numPr>
        <w:adjustRightInd w:val="0"/>
        <w:ind w:firstLine="520"/>
        <w:rPr>
          <w:highlight w:val="none"/>
        </w:rPr>
      </w:pPr>
      <w:r>
        <w:rPr>
          <w:rFonts w:hint="eastAsia"/>
          <w:highlight w:val="none"/>
        </w:rPr>
        <w:t>《公共安全视频图像分析系统第1部分：通信技术要求》；</w:t>
      </w:r>
    </w:p>
    <w:p>
      <w:pPr>
        <w:numPr>
          <w:ilvl w:val="0"/>
          <w:numId w:val="18"/>
        </w:numPr>
        <w:adjustRightInd w:val="0"/>
        <w:ind w:firstLine="520"/>
        <w:rPr>
          <w:highlight w:val="none"/>
        </w:rPr>
      </w:pPr>
      <w:r>
        <w:rPr>
          <w:rFonts w:hint="eastAsia"/>
          <w:highlight w:val="none"/>
        </w:rPr>
        <w:t>《公共安全视频图像分析系统第2部分：视频图像内容分析及描述技术要求》；</w:t>
      </w:r>
    </w:p>
    <w:p>
      <w:pPr>
        <w:numPr>
          <w:ilvl w:val="0"/>
          <w:numId w:val="18"/>
        </w:numPr>
        <w:adjustRightInd w:val="0"/>
        <w:ind w:firstLine="520"/>
        <w:rPr>
          <w:highlight w:val="none"/>
        </w:rPr>
      </w:pPr>
      <w:r>
        <w:rPr>
          <w:rFonts w:hint="eastAsia"/>
          <w:highlight w:val="none"/>
        </w:rPr>
        <w:t>《公共安全视频图像分析系统第3部分：视频图像增强技术要求》；</w:t>
      </w:r>
    </w:p>
    <w:p>
      <w:pPr>
        <w:numPr>
          <w:ilvl w:val="0"/>
          <w:numId w:val="18"/>
        </w:numPr>
        <w:adjustRightInd w:val="0"/>
        <w:ind w:firstLine="520"/>
        <w:rPr>
          <w:highlight w:val="none"/>
        </w:rPr>
      </w:pPr>
      <w:r>
        <w:rPr>
          <w:rFonts w:hint="eastAsia"/>
          <w:highlight w:val="none"/>
        </w:rPr>
        <w:t>《公共安全视频图像分析系统第4部分：视频图像检索技术要求》；</w:t>
      </w:r>
    </w:p>
    <w:p>
      <w:pPr>
        <w:numPr>
          <w:ilvl w:val="0"/>
          <w:numId w:val="18"/>
        </w:numPr>
        <w:adjustRightInd w:val="0"/>
        <w:ind w:firstLine="520"/>
        <w:rPr>
          <w:highlight w:val="none"/>
        </w:rPr>
      </w:pPr>
      <w:r>
        <w:rPr>
          <w:rFonts w:hint="eastAsia"/>
          <w:highlight w:val="none"/>
        </w:rPr>
        <w:t>《视频安防监控系统技术要求》（GA/T367-2001）；</w:t>
      </w:r>
    </w:p>
    <w:p>
      <w:pPr>
        <w:numPr>
          <w:ilvl w:val="0"/>
          <w:numId w:val="18"/>
        </w:numPr>
        <w:adjustRightInd w:val="0"/>
        <w:ind w:firstLine="520"/>
        <w:rPr>
          <w:highlight w:val="none"/>
        </w:rPr>
      </w:pPr>
      <w:r>
        <w:rPr>
          <w:rFonts w:hint="eastAsia"/>
          <w:highlight w:val="none"/>
        </w:rPr>
        <w:t>《安全防范工程技术标准》(GB50348-2018)；</w:t>
      </w:r>
    </w:p>
    <w:p>
      <w:pPr>
        <w:numPr>
          <w:ilvl w:val="0"/>
          <w:numId w:val="18"/>
        </w:numPr>
        <w:adjustRightInd w:val="0"/>
        <w:ind w:firstLine="520"/>
        <w:rPr>
          <w:highlight w:val="none"/>
        </w:rPr>
      </w:pPr>
      <w:r>
        <w:rPr>
          <w:rFonts w:hint="eastAsia"/>
          <w:highlight w:val="none"/>
        </w:rPr>
        <w:t>《建筑物防雷设计规范》(GB50057-2010)；</w:t>
      </w:r>
    </w:p>
    <w:p>
      <w:pPr>
        <w:numPr>
          <w:ilvl w:val="0"/>
          <w:numId w:val="18"/>
        </w:numPr>
        <w:adjustRightInd w:val="0"/>
        <w:ind w:firstLine="520"/>
        <w:rPr>
          <w:highlight w:val="none"/>
        </w:rPr>
      </w:pPr>
      <w:r>
        <w:rPr>
          <w:rFonts w:hint="eastAsia"/>
          <w:highlight w:val="none"/>
        </w:rPr>
        <w:t>《建筑物电子信息系统防雷技术规范》(GB50343-2012)；</w:t>
      </w:r>
    </w:p>
    <w:p>
      <w:pPr>
        <w:numPr>
          <w:ilvl w:val="0"/>
          <w:numId w:val="18"/>
        </w:numPr>
        <w:adjustRightInd w:val="0"/>
        <w:ind w:firstLine="520"/>
        <w:rPr>
          <w:highlight w:val="none"/>
        </w:rPr>
      </w:pPr>
      <w:r>
        <w:rPr>
          <w:rFonts w:hint="eastAsia"/>
          <w:highlight w:val="none"/>
        </w:rPr>
        <w:t>《安全防范系统雷电浪涌防护技术要求》(GA/T670-2006)；</w:t>
      </w:r>
    </w:p>
    <w:p>
      <w:pPr>
        <w:numPr>
          <w:ilvl w:val="0"/>
          <w:numId w:val="18"/>
        </w:numPr>
        <w:adjustRightInd w:val="0"/>
        <w:ind w:firstLine="520"/>
        <w:rPr>
          <w:highlight w:val="none"/>
          <w:lang w:val="zh-CN"/>
        </w:rPr>
      </w:pPr>
      <w:r>
        <w:rPr>
          <w:rFonts w:hint="eastAsia"/>
          <w:highlight w:val="none"/>
          <w:lang w:val="zh-CN"/>
        </w:rPr>
        <w:t>《重庆市公共安全视频监控建设联网应用工作实施方案》（2017-2020年）；</w:t>
      </w:r>
    </w:p>
    <w:p>
      <w:pPr>
        <w:numPr>
          <w:ilvl w:val="0"/>
          <w:numId w:val="18"/>
        </w:numPr>
        <w:adjustRightInd w:val="0"/>
        <w:ind w:firstLine="520"/>
        <w:rPr>
          <w:highlight w:val="none"/>
          <w:lang w:val="zh-CN"/>
        </w:rPr>
      </w:pPr>
      <w:r>
        <w:rPr>
          <w:rFonts w:hint="eastAsia"/>
          <w:highlight w:val="none"/>
          <w:lang w:val="zh-CN"/>
        </w:rPr>
        <w:t>《视频图像文字标注规范》（GA/T751</w:t>
      </w:r>
      <w:r>
        <w:rPr>
          <w:rFonts w:hint="eastAsia"/>
          <w:highlight w:val="none"/>
        </w:rPr>
        <w:t>-2008</w:t>
      </w:r>
      <w:r>
        <w:rPr>
          <w:rFonts w:hint="eastAsia"/>
          <w:highlight w:val="none"/>
          <w:lang w:val="zh-CN"/>
        </w:rPr>
        <w:t>）；</w:t>
      </w:r>
    </w:p>
    <w:p>
      <w:pPr>
        <w:numPr>
          <w:ilvl w:val="0"/>
          <w:numId w:val="18"/>
        </w:numPr>
        <w:adjustRightInd w:val="0"/>
        <w:ind w:firstLine="520"/>
        <w:rPr>
          <w:highlight w:val="none"/>
          <w:lang w:val="zh-CN"/>
        </w:rPr>
      </w:pPr>
      <w:r>
        <w:rPr>
          <w:rFonts w:hint="eastAsia"/>
          <w:highlight w:val="none"/>
          <w:lang w:val="zh-CN"/>
        </w:rPr>
        <w:t>《公安视频图像信息应用系统第1部分：通用技术要求》（GA/T1400.1-2017）；</w:t>
      </w:r>
    </w:p>
    <w:p>
      <w:pPr>
        <w:numPr>
          <w:ilvl w:val="0"/>
          <w:numId w:val="18"/>
        </w:numPr>
        <w:adjustRightInd w:val="0"/>
        <w:ind w:firstLine="520"/>
        <w:rPr>
          <w:highlight w:val="none"/>
          <w:lang w:val="zh-CN"/>
        </w:rPr>
      </w:pPr>
      <w:r>
        <w:rPr>
          <w:rFonts w:hint="eastAsia"/>
          <w:highlight w:val="none"/>
          <w:lang w:val="zh-CN"/>
        </w:rPr>
        <w:t>《公安视频图像信息应用系统第3部分数据库技术要求》（GA/T1400.3-2017）；</w:t>
      </w:r>
    </w:p>
    <w:p>
      <w:pPr>
        <w:keepNext w:val="0"/>
        <w:keepLines w:val="0"/>
        <w:pageBreakBefore w:val="0"/>
        <w:widowControl w:val="0"/>
        <w:numPr>
          <w:ilvl w:val="0"/>
          <w:numId w:val="18"/>
        </w:numPr>
        <w:kinsoku/>
        <w:wordWrap/>
        <w:overflowPunct/>
        <w:topLinePunct w:val="0"/>
        <w:autoSpaceDE/>
        <w:autoSpaceDN/>
        <w:bidi w:val="0"/>
        <w:adjustRightInd w:val="0"/>
        <w:snapToGrid w:val="0"/>
        <w:ind w:firstLine="520"/>
        <w:textAlignment w:val="auto"/>
        <w:rPr>
          <w:highlight w:val="none"/>
          <w:lang w:val="zh-CN"/>
        </w:rPr>
      </w:pPr>
      <w:r>
        <w:rPr>
          <w:rFonts w:hint="eastAsia"/>
          <w:highlight w:val="none"/>
          <w:lang w:val="zh-CN"/>
        </w:rPr>
        <w:t>《公安视频图像信息应用系统第4部分接口协议要求》（GA/T1400.4-2017）；</w:t>
      </w:r>
    </w:p>
    <w:p>
      <w:pPr>
        <w:numPr>
          <w:ilvl w:val="0"/>
          <w:numId w:val="18"/>
        </w:numPr>
        <w:adjustRightInd w:val="0"/>
        <w:ind w:firstLine="520"/>
        <w:rPr>
          <w:highlight w:val="none"/>
          <w:lang w:val="zh-CN"/>
        </w:rPr>
      </w:pPr>
      <w:r>
        <w:rPr>
          <w:rFonts w:hint="eastAsia"/>
          <w:highlight w:val="none"/>
          <w:lang w:val="zh-CN"/>
        </w:rPr>
        <w:t>《关于印发&lt;重庆公安公共安全视频监控前端布建规范（2020年版）&gt;的通知》(工作通知〔2020〕81号）。</w:t>
      </w:r>
    </w:p>
    <w:p>
      <w:pPr>
        <w:numPr>
          <w:ilvl w:val="0"/>
          <w:numId w:val="18"/>
        </w:numPr>
        <w:adjustRightInd w:val="0"/>
        <w:ind w:firstLine="520"/>
        <w:rPr>
          <w:highlight w:val="none"/>
          <w:lang w:val="zh-CN"/>
        </w:rPr>
      </w:pPr>
      <w:r>
        <w:rPr>
          <w:rFonts w:hint="eastAsia"/>
          <w:highlight w:val="none"/>
        </w:rPr>
        <w:t>《</w:t>
      </w:r>
      <w:r>
        <w:rPr>
          <w:rFonts w:hint="eastAsia"/>
          <w:highlight w:val="none"/>
          <w:lang w:val="zh-CN"/>
        </w:rPr>
        <w:t>公共安全视频监控联网技术测试规范》（GB/T39272-2020）；</w:t>
      </w:r>
    </w:p>
    <w:p>
      <w:pPr>
        <w:numPr>
          <w:ilvl w:val="0"/>
          <w:numId w:val="18"/>
        </w:numPr>
        <w:adjustRightInd w:val="0"/>
        <w:ind w:firstLine="520"/>
        <w:rPr>
          <w:highlight w:val="none"/>
          <w:lang w:val="zh-CN"/>
        </w:rPr>
      </w:pPr>
      <w:r>
        <w:rPr>
          <w:rFonts w:hint="eastAsia"/>
          <w:highlight w:val="none"/>
          <w:lang w:val="zh-CN"/>
        </w:rPr>
        <w:t>《公共安全视频监控数字视音频编解码技术测试规范》（GB/T39274-2020）</w:t>
      </w:r>
      <w:r>
        <w:rPr>
          <w:rFonts w:hint="eastAsia"/>
          <w:highlight w:val="none"/>
          <w:lang w:eastAsia="zh-CN"/>
        </w:rPr>
        <w:t>。</w:t>
      </w:r>
    </w:p>
    <w:p>
      <w:pPr>
        <w:pStyle w:val="6"/>
        <w:rPr>
          <w:rFonts w:hint="eastAsia"/>
          <w:color w:val="auto"/>
        </w:rPr>
      </w:pPr>
      <w:bookmarkStart w:id="58" w:name="_Toc31561"/>
      <w:r>
        <w:rPr>
          <w:rFonts w:hint="eastAsia"/>
          <w:color w:val="auto"/>
        </w:rPr>
        <w:t>投资概算编制依据</w:t>
      </w:r>
      <w:bookmarkEnd w:id="56"/>
      <w:bookmarkEnd w:id="58"/>
    </w:p>
    <w:p>
      <w:pPr>
        <w:pStyle w:val="43"/>
        <w:keepNext w:val="0"/>
        <w:keepLines w:val="0"/>
        <w:pageBreakBefore w:val="0"/>
        <w:widowControl w:val="0"/>
        <w:numPr>
          <w:ilvl w:val="0"/>
          <w:numId w:val="19"/>
        </w:numPr>
        <w:tabs>
          <w:tab w:val="clear" w:pos="425"/>
        </w:tabs>
        <w:kinsoku/>
        <w:wordWrap/>
        <w:overflowPunct/>
        <w:topLinePunct w:val="0"/>
        <w:autoSpaceDE/>
        <w:autoSpaceDN/>
        <w:bidi w:val="0"/>
        <w:adjustRightInd w:val="0"/>
        <w:snapToGrid w:val="0"/>
        <w:ind w:firstLine="524"/>
        <w:textAlignment w:val="baseline"/>
        <w:rPr>
          <w:color w:val="auto"/>
          <w:lang w:val="zh-CN"/>
        </w:rPr>
      </w:pPr>
      <w:r>
        <w:rPr>
          <w:rFonts w:hint="eastAsia"/>
          <w:color w:val="auto"/>
          <w:lang w:val="zh-CN"/>
        </w:rPr>
        <w:t>工业和信息化部</w:t>
      </w:r>
      <w:r>
        <w:rPr>
          <w:rFonts w:hint="eastAsia"/>
          <w:color w:val="auto"/>
        </w:rPr>
        <w:t>工信部通信</w:t>
      </w:r>
      <w:r>
        <w:rPr>
          <w:rFonts w:hint="eastAsia"/>
          <w:color w:val="auto"/>
          <w:lang w:val="zh-CN"/>
        </w:rPr>
        <w:t>[</w:t>
      </w:r>
      <w:r>
        <w:rPr>
          <w:rFonts w:hint="eastAsia"/>
          <w:color w:val="auto"/>
        </w:rPr>
        <w:t>2016</w:t>
      </w:r>
      <w:r>
        <w:rPr>
          <w:rFonts w:hint="eastAsia"/>
          <w:color w:val="auto"/>
          <w:lang w:val="zh-CN"/>
        </w:rPr>
        <w:t>]</w:t>
      </w:r>
      <w:r>
        <w:rPr>
          <w:rFonts w:hint="eastAsia"/>
          <w:color w:val="auto"/>
        </w:rPr>
        <w:t>451</w:t>
      </w:r>
      <w:r>
        <w:rPr>
          <w:rFonts w:hint="eastAsia"/>
          <w:color w:val="auto"/>
          <w:lang w:val="zh-CN"/>
        </w:rPr>
        <w:t>号“关于</w:t>
      </w:r>
      <w:r>
        <w:rPr>
          <w:rFonts w:hint="eastAsia"/>
          <w:color w:val="auto"/>
        </w:rPr>
        <w:t>印发信息</w:t>
      </w:r>
      <w:r>
        <w:rPr>
          <w:rFonts w:hint="eastAsia"/>
          <w:color w:val="auto"/>
          <w:lang w:val="zh-CN"/>
        </w:rPr>
        <w:t>通信建设工程</w:t>
      </w:r>
      <w:r>
        <w:rPr>
          <w:rFonts w:hint="eastAsia"/>
          <w:color w:val="auto"/>
        </w:rPr>
        <w:t>预算定额</w:t>
      </w:r>
      <w:r>
        <w:rPr>
          <w:rFonts w:hint="eastAsia"/>
          <w:color w:val="auto"/>
          <w:lang w:val="zh-CN"/>
        </w:rPr>
        <w:t>、</w:t>
      </w:r>
      <w:r>
        <w:rPr>
          <w:rFonts w:hint="eastAsia"/>
          <w:color w:val="auto"/>
        </w:rPr>
        <w:t>工程费用定额及工程概预算编制规程的通知”。</w:t>
      </w:r>
    </w:p>
    <w:p>
      <w:pPr>
        <w:pStyle w:val="43"/>
        <w:keepNext w:val="0"/>
        <w:keepLines w:val="0"/>
        <w:pageBreakBefore w:val="0"/>
        <w:widowControl w:val="0"/>
        <w:numPr>
          <w:ilvl w:val="0"/>
          <w:numId w:val="19"/>
        </w:numPr>
        <w:tabs>
          <w:tab w:val="clear" w:pos="425"/>
        </w:tabs>
        <w:kinsoku/>
        <w:wordWrap/>
        <w:overflowPunct/>
        <w:topLinePunct w:val="0"/>
        <w:autoSpaceDE/>
        <w:autoSpaceDN/>
        <w:bidi w:val="0"/>
        <w:adjustRightInd w:val="0"/>
        <w:snapToGrid w:val="0"/>
        <w:ind w:firstLine="524"/>
        <w:textAlignment w:val="baseline"/>
        <w:rPr>
          <w:color w:val="auto"/>
          <w:lang w:val="zh-CN"/>
        </w:rPr>
      </w:pPr>
      <w:r>
        <w:rPr>
          <w:rFonts w:hint="eastAsia"/>
          <w:color w:val="auto"/>
          <w:lang w:val="zh-CN"/>
        </w:rPr>
        <w:t>财政部[2016]81号文《基本建设财务规则》；</w:t>
      </w:r>
    </w:p>
    <w:p>
      <w:pPr>
        <w:pStyle w:val="43"/>
        <w:keepNext w:val="0"/>
        <w:keepLines w:val="0"/>
        <w:pageBreakBefore w:val="0"/>
        <w:widowControl w:val="0"/>
        <w:numPr>
          <w:ilvl w:val="0"/>
          <w:numId w:val="19"/>
        </w:numPr>
        <w:tabs>
          <w:tab w:val="clear" w:pos="425"/>
        </w:tabs>
        <w:kinsoku/>
        <w:wordWrap/>
        <w:overflowPunct/>
        <w:topLinePunct w:val="0"/>
        <w:autoSpaceDE/>
        <w:autoSpaceDN/>
        <w:bidi w:val="0"/>
        <w:adjustRightInd w:val="0"/>
        <w:snapToGrid w:val="0"/>
        <w:ind w:firstLine="524"/>
        <w:textAlignment w:val="baseline"/>
        <w:rPr>
          <w:color w:val="auto"/>
          <w:lang w:val="zh-CN"/>
        </w:rPr>
      </w:pPr>
      <w:r>
        <w:rPr>
          <w:rFonts w:hint="eastAsia"/>
          <w:color w:val="auto"/>
          <w:lang w:val="zh-CN"/>
        </w:rPr>
        <w:t>国家发展改革委发改价格[2015]299号《关于进一步放开建设项目专业服务价格的通知》；</w:t>
      </w:r>
    </w:p>
    <w:p>
      <w:pPr>
        <w:pStyle w:val="43"/>
        <w:keepNext w:val="0"/>
        <w:keepLines w:val="0"/>
        <w:pageBreakBefore w:val="0"/>
        <w:widowControl w:val="0"/>
        <w:numPr>
          <w:ilvl w:val="0"/>
          <w:numId w:val="19"/>
        </w:numPr>
        <w:tabs>
          <w:tab w:val="clear" w:pos="425"/>
        </w:tabs>
        <w:kinsoku/>
        <w:wordWrap/>
        <w:overflowPunct/>
        <w:topLinePunct w:val="0"/>
        <w:autoSpaceDE/>
        <w:autoSpaceDN/>
        <w:bidi w:val="0"/>
        <w:adjustRightInd w:val="0"/>
        <w:snapToGrid w:val="0"/>
        <w:ind w:firstLine="524"/>
        <w:textAlignment w:val="baseline"/>
        <w:rPr>
          <w:color w:val="auto"/>
          <w:lang w:val="zh-CN"/>
        </w:rPr>
      </w:pPr>
      <w:r>
        <w:rPr>
          <w:color w:val="auto"/>
          <w:lang w:val="zh-CN"/>
        </w:rPr>
        <w:t>《企业安全生产费用提取和使用管理办法》</w:t>
      </w:r>
      <w:r>
        <w:rPr>
          <w:rFonts w:hint="eastAsia"/>
          <w:color w:val="auto"/>
          <w:lang w:val="zh-CN"/>
        </w:rPr>
        <w:t>（财资〔2022〕136号）</w:t>
      </w:r>
      <w:r>
        <w:rPr>
          <w:color w:val="auto"/>
          <w:lang w:val="zh-CN"/>
        </w:rPr>
        <w:t>；</w:t>
      </w:r>
    </w:p>
    <w:p>
      <w:pPr>
        <w:pStyle w:val="43"/>
        <w:keepNext w:val="0"/>
        <w:keepLines w:val="0"/>
        <w:pageBreakBefore w:val="0"/>
        <w:widowControl w:val="0"/>
        <w:numPr>
          <w:ilvl w:val="0"/>
          <w:numId w:val="19"/>
        </w:numPr>
        <w:tabs>
          <w:tab w:val="clear" w:pos="425"/>
        </w:tabs>
        <w:kinsoku/>
        <w:wordWrap/>
        <w:overflowPunct/>
        <w:topLinePunct w:val="0"/>
        <w:autoSpaceDE/>
        <w:autoSpaceDN/>
        <w:bidi w:val="0"/>
        <w:adjustRightInd w:val="0"/>
        <w:snapToGrid w:val="0"/>
        <w:ind w:firstLine="524"/>
        <w:textAlignment w:val="baseline"/>
        <w:rPr>
          <w:rFonts w:hint="eastAsia"/>
          <w:color w:val="auto"/>
          <w:lang w:val="zh-CN"/>
        </w:rPr>
      </w:pPr>
      <w:r>
        <w:rPr>
          <w:rFonts w:hint="eastAsia"/>
          <w:color w:val="auto"/>
          <w:lang w:val="zh-CN"/>
        </w:rPr>
        <w:t>财政部税务总局财税〔2018〕32号“关于调整增值税税率的通知”；</w:t>
      </w:r>
    </w:p>
    <w:p>
      <w:pPr>
        <w:pStyle w:val="43"/>
        <w:keepNext w:val="0"/>
        <w:keepLines w:val="0"/>
        <w:pageBreakBefore w:val="0"/>
        <w:widowControl w:val="0"/>
        <w:numPr>
          <w:ilvl w:val="0"/>
          <w:numId w:val="19"/>
        </w:numPr>
        <w:tabs>
          <w:tab w:val="clear" w:pos="425"/>
        </w:tabs>
        <w:kinsoku/>
        <w:wordWrap/>
        <w:overflowPunct/>
        <w:topLinePunct w:val="0"/>
        <w:autoSpaceDE/>
        <w:autoSpaceDN/>
        <w:bidi w:val="0"/>
        <w:adjustRightInd w:val="0"/>
        <w:snapToGrid w:val="0"/>
        <w:ind w:firstLine="524"/>
        <w:textAlignment w:val="baseline"/>
        <w:rPr>
          <w:color w:val="auto"/>
          <w:lang w:val="zh-CN"/>
        </w:rPr>
      </w:pPr>
      <w:r>
        <w:rPr>
          <w:rFonts w:hint="eastAsia"/>
          <w:color w:val="auto"/>
        </w:rPr>
        <w:t>项目所在地的地方性经济法规、规定；</w:t>
      </w:r>
    </w:p>
    <w:p>
      <w:pPr>
        <w:pStyle w:val="43"/>
        <w:keepNext w:val="0"/>
        <w:keepLines w:val="0"/>
        <w:pageBreakBefore w:val="0"/>
        <w:widowControl w:val="0"/>
        <w:numPr>
          <w:ilvl w:val="0"/>
          <w:numId w:val="19"/>
        </w:numPr>
        <w:tabs>
          <w:tab w:val="clear" w:pos="425"/>
        </w:tabs>
        <w:kinsoku/>
        <w:wordWrap/>
        <w:overflowPunct/>
        <w:topLinePunct w:val="0"/>
        <w:autoSpaceDE/>
        <w:autoSpaceDN/>
        <w:bidi w:val="0"/>
        <w:adjustRightInd w:val="0"/>
        <w:snapToGrid w:val="0"/>
        <w:ind w:firstLine="524"/>
        <w:textAlignment w:val="baseline"/>
        <w:rPr>
          <w:color w:val="auto"/>
          <w:lang w:val="zh-CN"/>
        </w:rPr>
      </w:pPr>
      <w:r>
        <w:rPr>
          <w:rFonts w:hint="eastAsia"/>
          <w:color w:val="auto"/>
          <w:lang w:val="en-US" w:eastAsia="zh-CN"/>
        </w:rPr>
        <w:t>丰都县河库综合事务中心</w:t>
      </w:r>
      <w:r>
        <w:rPr>
          <w:rFonts w:hint="eastAsia"/>
          <w:color w:val="auto"/>
          <w:lang w:val="zh-CN"/>
        </w:rPr>
        <w:t>提供和确认的各项费用和费率；</w:t>
      </w:r>
    </w:p>
    <w:p>
      <w:pPr>
        <w:pStyle w:val="43"/>
        <w:keepNext w:val="0"/>
        <w:keepLines w:val="0"/>
        <w:pageBreakBefore w:val="0"/>
        <w:widowControl w:val="0"/>
        <w:numPr>
          <w:ilvl w:val="0"/>
          <w:numId w:val="19"/>
        </w:numPr>
        <w:tabs>
          <w:tab w:val="clear" w:pos="425"/>
        </w:tabs>
        <w:kinsoku/>
        <w:wordWrap/>
        <w:overflowPunct/>
        <w:topLinePunct w:val="0"/>
        <w:autoSpaceDE/>
        <w:autoSpaceDN/>
        <w:bidi w:val="0"/>
        <w:adjustRightInd w:val="0"/>
        <w:snapToGrid w:val="0"/>
        <w:ind w:firstLine="524"/>
        <w:textAlignment w:val="baseline"/>
        <w:rPr>
          <w:color w:val="auto"/>
          <w:lang w:val="zh-CN"/>
        </w:rPr>
      </w:pPr>
      <w:r>
        <w:rPr>
          <w:rFonts w:hint="eastAsia"/>
          <w:color w:val="auto"/>
          <w:lang w:val="zh-CN"/>
        </w:rPr>
        <w:t>向相关设备厂商及软件开发商咨询的设备价格。</w:t>
      </w:r>
    </w:p>
    <w:p>
      <w:pPr>
        <w:pStyle w:val="5"/>
        <w:rPr>
          <w:rFonts w:hint="default"/>
          <w:color w:val="auto"/>
        </w:rPr>
      </w:pPr>
      <w:bookmarkStart w:id="59" w:name="_Toc14551"/>
      <w:bookmarkStart w:id="60" w:name="_Toc5139"/>
      <w:bookmarkStart w:id="61" w:name="_Toc8882"/>
      <w:r>
        <w:rPr>
          <w:color w:val="auto"/>
        </w:rPr>
        <w:t>建设目标、规模、内容、建设期</w:t>
      </w:r>
      <w:bookmarkEnd w:id="59"/>
      <w:bookmarkEnd w:id="60"/>
      <w:bookmarkEnd w:id="61"/>
    </w:p>
    <w:p>
      <w:pPr>
        <w:pStyle w:val="6"/>
        <w:rPr>
          <w:color w:val="auto"/>
        </w:rPr>
      </w:pPr>
      <w:bookmarkStart w:id="62" w:name="_Toc10203"/>
      <w:bookmarkStart w:id="63" w:name="_Toc21182"/>
      <w:r>
        <w:rPr>
          <w:rFonts w:hint="eastAsia"/>
          <w:color w:val="auto"/>
        </w:rPr>
        <w:t>建设目标</w:t>
      </w:r>
      <w:bookmarkEnd w:id="62"/>
      <w:bookmarkEnd w:id="63"/>
    </w:p>
    <w:p>
      <w:pPr>
        <w:ind w:firstLine="524"/>
        <w:rPr>
          <w:rFonts w:hint="eastAsia"/>
        </w:rPr>
      </w:pPr>
      <w:bookmarkStart w:id="64" w:name="_Toc26341"/>
      <w:r>
        <w:rPr>
          <w:rFonts w:hint="eastAsia"/>
        </w:rPr>
        <w:t>改革开放以来，我国社会发生了翻天覆地的变化，在经济迅速发展、人民生活逐步提高的同时，社会治安形势也发生了深刻的变化，新的形势对社区治理工作提出了更高的要求。开展三峡库区镇街移民安置区综合应急能力提升项目建设是实现科技创安的重要组成部分，是从科技对安全的保障上增强移民群众的安全感。</w:t>
      </w:r>
    </w:p>
    <w:p>
      <w:pPr>
        <w:bidi w:val="0"/>
        <w:rPr>
          <w:rFonts w:hint="eastAsia"/>
          <w:lang w:eastAsia="zh-CN"/>
        </w:rPr>
      </w:pPr>
      <w:r>
        <w:rPr>
          <w:rFonts w:hint="eastAsia"/>
          <w:lang w:val="en-US" w:eastAsia="zh-CN"/>
        </w:rPr>
        <w:t>本项目</w:t>
      </w:r>
      <w:r>
        <w:rPr>
          <w:rFonts w:hint="eastAsia"/>
        </w:rPr>
        <w:t>以习近平新时代中国特色社会主义思想为指导，深入贯彻落实党的十九大、十九届二中、三中、四中、五中全会精神和习近平总书记关于应急管理重要论述，坚持人民至上、生命至上，着力解决乡镇（街道）、村（社区）应急力量不足、装备配备不到位、综合应急能力不强等问题，进一步明确任务、落实责任，整合资源，夯实应急管理基层基础，</w:t>
      </w:r>
      <w:r>
        <w:rPr>
          <w:rFonts w:hint="eastAsia"/>
          <w:lang w:val="en-US" w:eastAsia="zh-CN"/>
        </w:rPr>
        <w:t>从</w:t>
      </w:r>
      <w:r>
        <w:rPr>
          <w:rFonts w:hint="eastAsia"/>
        </w:rPr>
        <w:t>“治安防控”、“社会管理”、“服务民生”三个维度出发，开展乡镇（街道）和社区视频监控建设，</w:t>
      </w:r>
      <w:r>
        <w:rPr>
          <w:rFonts w:hint="eastAsia"/>
          <w:lang w:val="en-US" w:eastAsia="zh-CN"/>
        </w:rPr>
        <w:t>实现</w:t>
      </w:r>
      <w:r>
        <w:rPr>
          <w:rFonts w:hint="eastAsia"/>
        </w:rPr>
        <w:t>视频图像联网可调可存可控可用，基本实现“全域覆盖、全网共享、全时可用、全程可控、全面应用”的公共安全视频监控建设联网应用格局</w:t>
      </w:r>
      <w:r>
        <w:rPr>
          <w:rFonts w:hint="eastAsia"/>
          <w:lang w:eastAsia="zh-CN"/>
        </w:rPr>
        <w:t>，</w:t>
      </w:r>
      <w:r>
        <w:rPr>
          <w:rFonts w:hint="eastAsia"/>
        </w:rPr>
        <w:t>切实加强移民</w:t>
      </w:r>
      <w:r>
        <w:rPr>
          <w:rFonts w:hint="eastAsia"/>
          <w:lang w:val="en-US" w:eastAsia="zh-CN"/>
        </w:rPr>
        <w:t>安置区</w:t>
      </w:r>
      <w:r>
        <w:rPr>
          <w:rFonts w:hint="eastAsia"/>
        </w:rPr>
        <w:t>的安全保障能力和应急响应能力</w:t>
      </w:r>
      <w:r>
        <w:rPr>
          <w:rFonts w:hint="eastAsia"/>
          <w:lang w:eastAsia="zh-CN"/>
        </w:rPr>
        <w:t>。</w:t>
      </w:r>
    </w:p>
    <w:p>
      <w:pPr>
        <w:bidi w:val="0"/>
        <w:rPr>
          <w:rFonts w:hint="default"/>
          <w:lang w:val="en-US" w:eastAsia="zh-CN"/>
        </w:rPr>
      </w:pPr>
      <w:r>
        <w:rPr>
          <w:rFonts w:hint="eastAsia"/>
          <w:lang w:val="en-US" w:eastAsia="zh-CN"/>
        </w:rPr>
        <w:t>为提升丰都县移民安置区综合应急能力，丰都县河库综合事务中心</w:t>
      </w:r>
      <w:r>
        <w:rPr>
          <w:rFonts w:hint="eastAsia"/>
        </w:rPr>
        <w:t>拟通过本项目的建设，</w:t>
      </w:r>
      <w:r>
        <w:rPr>
          <w:rFonts w:hint="eastAsia"/>
          <w:lang w:val="en-US" w:eastAsia="zh-CN"/>
        </w:rPr>
        <w:t>完成丰都县移民安置区区域内三合街道、名山街道、高家镇城市监控的运行维护和升级改造，通过将原有的重点监控点位升级为智能结构化镜头，并将其统一接入丰都县</w:t>
      </w:r>
      <w:r>
        <w:rPr>
          <w:rFonts w:hint="eastAsia" w:ascii="宋体" w:hAnsi="宋体" w:cs="宋体"/>
          <w:color w:val="000000" w:themeColor="text1"/>
          <w14:textFill>
            <w14:solidFill>
              <w14:schemeClr w14:val="tx1"/>
            </w14:solidFill>
          </w14:textFill>
        </w:rPr>
        <w:t>公共安全视频图像联网信息平台</w:t>
      </w:r>
      <w:r>
        <w:rPr>
          <w:rFonts w:hint="eastAsia"/>
          <w:lang w:val="en-US" w:eastAsia="zh-CN"/>
        </w:rPr>
        <w:t>，保证各个社区视频监控的</w:t>
      </w:r>
      <w:r>
        <w:rPr>
          <w:rFonts w:hint="eastAsia"/>
        </w:rPr>
        <w:t>可调可存可控可用</w:t>
      </w:r>
      <w:r>
        <w:rPr>
          <w:rFonts w:hint="eastAsia"/>
          <w:lang w:val="en-US" w:eastAsia="zh-CN"/>
        </w:rPr>
        <w:t>；同时对丰都县水质站及其他设施设备进行维护升级，更换升级部分前端硬件采集设备，保证网络平台、检测数据及系统质量控制正常运行等，提升移民安置区的综合应急能力，保护移民社区安全生活。</w:t>
      </w:r>
    </w:p>
    <w:p>
      <w:pPr>
        <w:pStyle w:val="6"/>
        <w:rPr>
          <w:color w:val="auto"/>
        </w:rPr>
      </w:pPr>
      <w:bookmarkStart w:id="65" w:name="_Toc5174"/>
      <w:r>
        <w:rPr>
          <w:rFonts w:hint="eastAsia"/>
          <w:color w:val="auto"/>
        </w:rPr>
        <w:t>建设规模及内容</w:t>
      </w:r>
      <w:bookmarkEnd w:id="64"/>
      <w:bookmarkEnd w:id="65"/>
    </w:p>
    <w:p>
      <w:pPr>
        <w:bidi w:val="0"/>
        <w:rPr>
          <w:rFonts w:hint="eastAsia"/>
        </w:rPr>
      </w:pPr>
      <w:r>
        <w:rPr>
          <w:rFonts w:hint="eastAsia"/>
        </w:rPr>
        <w:t>本项目主要</w:t>
      </w:r>
      <w:r>
        <w:rPr>
          <w:rFonts w:hint="eastAsia"/>
          <w:lang w:val="en-US" w:eastAsia="zh-CN"/>
        </w:rPr>
        <w:t>对移民安置区范围内的丰都县三合街道、名山街道、高家镇进行综合应急能力提升建设。</w:t>
      </w:r>
      <w:r>
        <w:rPr>
          <w:rFonts w:hint="eastAsia"/>
        </w:rPr>
        <w:t>在国家强有力的持续支持下，三峡移民全力建设新家园，移民社区基础设施和社会面貌有所</w:t>
      </w:r>
      <w:r>
        <w:rPr>
          <w:rFonts w:hint="eastAsia"/>
          <w:lang w:val="en-US" w:eastAsia="zh-CN"/>
        </w:rPr>
        <w:t>改观</w:t>
      </w:r>
      <w:r>
        <w:rPr>
          <w:rFonts w:hint="eastAsia"/>
        </w:rPr>
        <w:t>，但随着城市现代化进程，产</w:t>
      </w:r>
      <w:r>
        <w:rPr>
          <w:rFonts w:hint="eastAsia"/>
          <w:lang w:val="en-US" w:eastAsia="zh-CN"/>
        </w:rPr>
        <w:t>生</w:t>
      </w:r>
      <w:r>
        <w:rPr>
          <w:rFonts w:hint="eastAsia"/>
        </w:rPr>
        <w:t>了新的问题与矛盾，为提升</w:t>
      </w:r>
      <w:r>
        <w:rPr>
          <w:rFonts w:hint="eastAsia"/>
          <w:lang w:val="en-US" w:eastAsia="zh-CN"/>
        </w:rPr>
        <w:t>移民安置区的综合应急能力</w:t>
      </w:r>
      <w:r>
        <w:rPr>
          <w:rFonts w:hint="eastAsia"/>
        </w:rPr>
        <w:t>，进行了可行性的论证，规划了建设内容，主要建设内容如下：</w:t>
      </w:r>
    </w:p>
    <w:p>
      <w:pPr>
        <w:bidi w:val="0"/>
        <w:rPr>
          <w:rFonts w:hint="eastAsia"/>
          <w:lang w:val="en-US" w:eastAsia="zh-CN"/>
        </w:rPr>
      </w:pPr>
      <w:r>
        <w:rPr>
          <w:rFonts w:hint="eastAsia"/>
          <w:lang w:val="en-US" w:eastAsia="zh-CN"/>
        </w:rPr>
        <w:t>（1）前端及配套建设：本项目的前端建设在丰都县综合帮扶项目的基础上，对丰都县三合街道、名山街道、高家镇原有的260个前端点位进行智能化监控改造，即本次需要建设309路结构化镜头（130路结构化枪机、179路结构化球机）、260个智能机箱、30根3米立杆、69根0.5米支臂和150根2米支臂等。</w:t>
      </w:r>
    </w:p>
    <w:p>
      <w:pPr>
        <w:bidi w:val="0"/>
        <w:rPr>
          <w:rFonts w:hint="default"/>
          <w:lang w:val="en-US" w:eastAsia="zh-CN"/>
        </w:rPr>
      </w:pPr>
      <w:r>
        <w:rPr>
          <w:rFonts w:hint="eastAsia"/>
          <w:lang w:val="en-US" w:eastAsia="zh-CN"/>
        </w:rPr>
        <w:t>（2）终端系统：为提升三合街道、名山街道、高家镇等移民安置区的应急事件处理能力需要增加15台操作终端、6个移动设备终端满足丰都县水利局使用需求。同时为保障丰都县水质监测站的正常运行，需要采购氨氮仪器触摸屏3个、</w:t>
      </w:r>
      <w:r>
        <w:rPr>
          <w:rFonts w:hint="eastAsia"/>
          <w:lang w:val="en-US" w:eastAsia="zh-CN"/>
        </w:rPr>
        <w:tab/>
      </w:r>
      <w:r>
        <w:rPr>
          <w:rFonts w:hint="eastAsia"/>
          <w:lang w:val="en-US" w:eastAsia="zh-CN"/>
        </w:rPr>
        <w:t>氨氮仪器液位传感器1个、</w:t>
      </w:r>
      <w:r>
        <w:rPr>
          <w:rFonts w:hint="eastAsia"/>
          <w:lang w:val="en-US" w:eastAsia="zh-CN"/>
        </w:rPr>
        <w:tab/>
      </w:r>
      <w:r>
        <w:rPr>
          <w:rFonts w:hint="eastAsia"/>
          <w:lang w:val="en-US" w:eastAsia="zh-CN"/>
        </w:rPr>
        <w:t>氨氮仪器沉淀池进样电磁阀2个</w:t>
      </w:r>
      <w:r>
        <w:rPr>
          <w:rFonts w:hint="eastAsia"/>
          <w:lang w:val="en-US" w:eastAsia="zh-CN"/>
        </w:rPr>
        <w:tab/>
      </w:r>
      <w:r>
        <w:rPr>
          <w:rFonts w:hint="eastAsia"/>
          <w:lang w:val="en-US" w:eastAsia="zh-CN"/>
        </w:rPr>
        <w:t>、总磷仪器触摸屏3个、</w:t>
      </w:r>
      <w:r>
        <w:rPr>
          <w:rFonts w:hint="eastAsia"/>
          <w:lang w:val="en-US" w:eastAsia="zh-CN"/>
        </w:rPr>
        <w:tab/>
      </w:r>
      <w:r>
        <w:rPr>
          <w:rFonts w:hint="eastAsia"/>
          <w:lang w:val="en-US" w:eastAsia="zh-CN"/>
        </w:rPr>
        <w:t>五参数仪器PH探头</w:t>
      </w:r>
      <w:r>
        <w:rPr>
          <w:rFonts w:hint="eastAsia"/>
          <w:lang w:val="en-US" w:eastAsia="zh-CN"/>
        </w:rPr>
        <w:tab/>
      </w:r>
      <w:r>
        <w:rPr>
          <w:rFonts w:hint="eastAsia"/>
          <w:lang w:val="en-US" w:eastAsia="zh-CN"/>
        </w:rPr>
        <w:t>3个、五参数仪器浊度探头2个、</w:t>
      </w:r>
      <w:r>
        <w:rPr>
          <w:rFonts w:hint="eastAsia"/>
          <w:lang w:val="en-US" w:eastAsia="zh-CN"/>
        </w:rPr>
        <w:tab/>
      </w:r>
      <w:r>
        <w:rPr>
          <w:rFonts w:hint="eastAsia"/>
          <w:lang w:val="en-US" w:eastAsia="zh-CN"/>
        </w:rPr>
        <w:t>五参数仪器溶解氧探头2个、</w:t>
      </w:r>
      <w:r>
        <w:rPr>
          <w:rFonts w:hint="eastAsia"/>
          <w:lang w:val="en-US" w:eastAsia="zh-CN"/>
        </w:rPr>
        <w:tab/>
      </w:r>
      <w:r>
        <w:rPr>
          <w:rFonts w:hint="eastAsia"/>
          <w:lang w:val="en-US" w:eastAsia="zh-CN"/>
        </w:rPr>
        <w:t>潜水泵1个、</w:t>
      </w:r>
      <w:r>
        <w:rPr>
          <w:rFonts w:hint="eastAsia"/>
          <w:lang w:val="en-US" w:eastAsia="zh-CN"/>
        </w:rPr>
        <w:tab/>
      </w:r>
      <w:r>
        <w:rPr>
          <w:rFonts w:hint="eastAsia"/>
          <w:lang w:val="en-US" w:eastAsia="zh-CN"/>
        </w:rPr>
        <w:t>总磷仪器主板</w:t>
      </w:r>
      <w:r>
        <w:rPr>
          <w:rFonts w:hint="eastAsia"/>
          <w:lang w:val="en-US" w:eastAsia="zh-CN"/>
        </w:rPr>
        <w:tab/>
      </w:r>
      <w:r>
        <w:rPr>
          <w:rFonts w:hint="eastAsia"/>
          <w:lang w:val="en-US" w:eastAsia="zh-CN"/>
        </w:rPr>
        <w:t>1套、氨氮仪器主板1套、</w:t>
      </w:r>
      <w:r>
        <w:rPr>
          <w:rFonts w:hint="eastAsia"/>
          <w:lang w:val="en-US" w:eastAsia="zh-CN"/>
        </w:rPr>
        <w:tab/>
      </w:r>
      <w:r>
        <w:rPr>
          <w:rFonts w:hint="eastAsia"/>
          <w:lang w:val="en-US" w:eastAsia="zh-CN"/>
        </w:rPr>
        <w:t>COD十通阀液位传感器1套。</w:t>
      </w:r>
    </w:p>
    <w:p>
      <w:pPr>
        <w:bidi w:val="0"/>
        <w:rPr>
          <w:rFonts w:hint="default"/>
          <w:lang w:val="en-US" w:eastAsia="zh-CN"/>
        </w:rPr>
      </w:pPr>
      <w:r>
        <w:rPr>
          <w:rFonts w:hint="eastAsia"/>
          <w:lang w:val="en-US" w:eastAsia="zh-CN"/>
        </w:rPr>
        <w:t>（3）数据处理及存储系统：为满足视频监控和丰都县水利局服务器存储需求，本次项目建设4台云存储节点、32块8TB硬盘分别用于公安局视频云存储扩容和水利局服务器数据存储、视频存储。</w:t>
      </w:r>
    </w:p>
    <w:p>
      <w:pPr>
        <w:bidi w:val="0"/>
        <w:rPr>
          <w:rFonts w:hint="default"/>
          <w:lang w:val="en-US" w:eastAsia="zh-CN"/>
        </w:rPr>
      </w:pPr>
      <w:r>
        <w:rPr>
          <w:rFonts w:hint="eastAsia"/>
          <w:lang w:val="en-US" w:eastAsia="zh-CN"/>
        </w:rPr>
        <w:t>（4）运维服务：完善的视频监控系统需要完备的运维服务机制，项目通过运维服务采购的方式，实现</w:t>
      </w:r>
      <w:r>
        <w:rPr>
          <w:rFonts w:hint="eastAsia"/>
        </w:rPr>
        <w:t>视频图像信息的全时可用</w:t>
      </w:r>
      <w:r>
        <w:rPr>
          <w:rFonts w:hint="eastAsia"/>
          <w:lang w:eastAsia="zh-CN"/>
        </w:rPr>
        <w:t>。</w:t>
      </w:r>
      <w:r>
        <w:rPr>
          <w:rFonts w:hint="eastAsia"/>
          <w:lang w:val="en-US" w:eastAsia="zh-CN"/>
        </w:rPr>
        <w:t>运维服务工作内包含外场维护、内场运维、备品备件和考核方案等。</w:t>
      </w:r>
    </w:p>
    <w:p>
      <w:pPr>
        <w:pStyle w:val="6"/>
        <w:rPr>
          <w:color w:val="auto"/>
        </w:rPr>
      </w:pPr>
      <w:bookmarkStart w:id="66" w:name="_Toc21885"/>
      <w:bookmarkStart w:id="67" w:name="_Toc19877"/>
      <w:r>
        <w:rPr>
          <w:rFonts w:hint="eastAsia"/>
          <w:color w:val="auto"/>
        </w:rPr>
        <w:t>建设期</w:t>
      </w:r>
      <w:bookmarkEnd w:id="66"/>
      <w:bookmarkEnd w:id="67"/>
    </w:p>
    <w:p>
      <w:pPr>
        <w:bidi w:val="0"/>
      </w:pPr>
      <w:bookmarkStart w:id="68" w:name="_Toc22209"/>
      <w:bookmarkStart w:id="69" w:name="_Toc12463"/>
      <w:r>
        <w:t>本项目建设周期为</w:t>
      </w:r>
      <w:r>
        <w:rPr>
          <w:rFonts w:hint="eastAsia"/>
          <w:lang w:val="en-US" w:eastAsia="zh-CN"/>
        </w:rPr>
        <w:t>9</w:t>
      </w:r>
      <w:r>
        <w:t>个月，详细实施进度计划安排如下：</w:t>
      </w:r>
    </w:p>
    <w:p>
      <w:pPr>
        <w:bidi w:val="0"/>
      </w:pPr>
      <w:r>
        <w:rPr>
          <w:rFonts w:hint="eastAsia"/>
        </w:rPr>
        <w:t>(1)项目准备期(202</w:t>
      </w:r>
      <w:r>
        <w:rPr>
          <w:rFonts w:hint="eastAsia"/>
          <w:lang w:val="en-US" w:eastAsia="zh-CN"/>
        </w:rPr>
        <w:t>3</w:t>
      </w:r>
      <w:r>
        <w:rPr>
          <w:rFonts w:hint="eastAsia"/>
        </w:rPr>
        <w:t>年</w:t>
      </w:r>
      <w:r>
        <w:rPr>
          <w:rFonts w:hint="eastAsia"/>
          <w:lang w:val="en-US" w:eastAsia="zh-CN"/>
        </w:rPr>
        <w:t>3</w:t>
      </w:r>
      <w:r>
        <w:rPr>
          <w:rFonts w:hint="eastAsia"/>
        </w:rPr>
        <w:t>月</w:t>
      </w:r>
      <w:r>
        <w:rPr>
          <w:rFonts w:hint="eastAsia"/>
          <w:lang w:val="en-US" w:eastAsia="zh-CN"/>
        </w:rPr>
        <w:t>-5月</w:t>
      </w:r>
      <w:r>
        <w:rPr>
          <w:rFonts w:hint="eastAsia"/>
        </w:rPr>
        <w:t>)，完成项目调研，编制项目调研报告，编制设计文件、预算。</w:t>
      </w:r>
    </w:p>
    <w:p>
      <w:pPr>
        <w:bidi w:val="0"/>
      </w:pPr>
      <w:r>
        <w:rPr>
          <w:rFonts w:hint="eastAsia"/>
        </w:rPr>
        <w:t>(2)项目招标期（202</w:t>
      </w:r>
      <w:r>
        <w:rPr>
          <w:rFonts w:hint="eastAsia"/>
          <w:lang w:val="en-US" w:eastAsia="zh-CN"/>
        </w:rPr>
        <w:t>3</w:t>
      </w:r>
      <w:r>
        <w:rPr>
          <w:rFonts w:hint="eastAsia"/>
        </w:rPr>
        <w:t>年</w:t>
      </w:r>
      <w:r>
        <w:rPr>
          <w:rFonts w:hint="eastAsia"/>
          <w:lang w:val="en-US" w:eastAsia="zh-CN"/>
        </w:rPr>
        <w:t>6</w:t>
      </w:r>
      <w:r>
        <w:rPr>
          <w:rFonts w:hint="eastAsia"/>
        </w:rPr>
        <w:t>月）：完成评审工作</w:t>
      </w:r>
      <w:r>
        <w:rPr>
          <w:rFonts w:hint="eastAsia"/>
          <w:lang w:eastAsia="zh-CN"/>
        </w:rPr>
        <w:t>、</w:t>
      </w:r>
      <w:r>
        <w:rPr>
          <w:rFonts w:hint="eastAsia"/>
        </w:rPr>
        <w:t>完成项目招标。</w:t>
      </w:r>
    </w:p>
    <w:p>
      <w:pPr>
        <w:bidi w:val="0"/>
      </w:pPr>
      <w:r>
        <w:rPr>
          <w:rFonts w:hint="eastAsia"/>
        </w:rPr>
        <w:t>(3)项目实施期(202</w:t>
      </w:r>
      <w:r>
        <w:rPr>
          <w:rFonts w:hint="eastAsia"/>
          <w:lang w:val="en-US" w:eastAsia="zh-CN"/>
        </w:rPr>
        <w:t>3</w:t>
      </w:r>
      <w:r>
        <w:rPr>
          <w:rFonts w:hint="eastAsia"/>
        </w:rPr>
        <w:t>年</w:t>
      </w:r>
      <w:r>
        <w:rPr>
          <w:rFonts w:hint="eastAsia"/>
          <w:lang w:val="en-US" w:eastAsia="zh-CN"/>
        </w:rPr>
        <w:t>7</w:t>
      </w:r>
      <w:r>
        <w:rPr>
          <w:rFonts w:hint="eastAsia"/>
        </w:rPr>
        <w:t>月-202</w:t>
      </w:r>
      <w:r>
        <w:rPr>
          <w:rFonts w:hint="eastAsia"/>
          <w:lang w:val="en-US" w:eastAsia="zh-CN"/>
        </w:rPr>
        <w:t>3</w:t>
      </w:r>
      <w:r>
        <w:rPr>
          <w:rFonts w:hint="eastAsia"/>
        </w:rPr>
        <w:t>年</w:t>
      </w:r>
      <w:r>
        <w:rPr>
          <w:rFonts w:hint="eastAsia"/>
          <w:lang w:val="en-US" w:eastAsia="zh-CN"/>
        </w:rPr>
        <w:t>10</w:t>
      </w:r>
      <w:r>
        <w:rPr>
          <w:rFonts w:hint="eastAsia"/>
        </w:rPr>
        <w:t>月)，完成产品设计、开发测试、设备部署等项目实施。</w:t>
      </w:r>
    </w:p>
    <w:p>
      <w:pPr>
        <w:bidi w:val="0"/>
      </w:pPr>
      <w:r>
        <w:rPr>
          <w:rFonts w:hint="eastAsia"/>
        </w:rPr>
        <w:t>(4)项目验收期(202</w:t>
      </w:r>
      <w:r>
        <w:rPr>
          <w:rFonts w:hint="eastAsia"/>
          <w:lang w:val="en-US" w:eastAsia="zh-CN"/>
        </w:rPr>
        <w:t>3</w:t>
      </w:r>
      <w:r>
        <w:rPr>
          <w:rFonts w:hint="eastAsia"/>
        </w:rPr>
        <w:t>年</w:t>
      </w:r>
      <w:r>
        <w:rPr>
          <w:rFonts w:hint="eastAsia"/>
          <w:lang w:val="en-US" w:eastAsia="zh-CN"/>
        </w:rPr>
        <w:t>11</w:t>
      </w:r>
      <w:r>
        <w:rPr>
          <w:rFonts w:hint="eastAsia"/>
        </w:rPr>
        <w:t>月)，项目试运行，系统优化调整，完成项目测评，委托专业的咨询机构对本工程进行竣工验收。</w:t>
      </w:r>
    </w:p>
    <w:p>
      <w:pPr>
        <w:pStyle w:val="5"/>
        <w:rPr>
          <w:rFonts w:hint="default"/>
          <w:color w:val="auto"/>
        </w:rPr>
      </w:pPr>
      <w:bookmarkStart w:id="70" w:name="_Toc4029"/>
      <w:r>
        <w:rPr>
          <w:color w:val="auto"/>
        </w:rPr>
        <w:t>总投资及资金来源</w:t>
      </w:r>
      <w:bookmarkEnd w:id="68"/>
      <w:bookmarkEnd w:id="69"/>
      <w:bookmarkEnd w:id="70"/>
    </w:p>
    <w:p>
      <w:pPr>
        <w:bidi w:val="0"/>
      </w:pPr>
      <w:r>
        <w:rPr>
          <w:rFonts w:hint="eastAsia"/>
        </w:rPr>
        <w:t>本项目投资</w:t>
      </w:r>
      <w:r>
        <w:rPr>
          <w:rFonts w:hint="eastAsia"/>
          <w:lang w:val="en-US" w:eastAsia="zh-CN"/>
        </w:rPr>
        <w:t>概算</w:t>
      </w:r>
      <w:r>
        <w:rPr>
          <w:rFonts w:hint="eastAsia"/>
        </w:rPr>
        <w:t>总额为</w:t>
      </w:r>
      <w:r>
        <w:rPr>
          <w:rFonts w:hint="eastAsia"/>
          <w:lang w:val="en-US" w:eastAsia="zh-CN"/>
        </w:rPr>
        <w:t>612.91</w:t>
      </w:r>
      <w:r>
        <w:rPr>
          <w:rFonts w:hint="eastAsia"/>
        </w:rPr>
        <w:t>万元，其中</w:t>
      </w:r>
      <w:r>
        <w:rPr>
          <w:rFonts w:hint="eastAsia"/>
          <w:lang w:val="en-US" w:eastAsia="zh-CN"/>
        </w:rPr>
        <w:t>运维升级建设费</w:t>
      </w:r>
      <w:r>
        <w:rPr>
          <w:rFonts w:hint="eastAsia"/>
        </w:rPr>
        <w:t>为</w:t>
      </w:r>
      <w:r>
        <w:rPr>
          <w:rFonts w:hint="eastAsia"/>
          <w:lang w:val="en-US" w:eastAsia="zh-CN"/>
        </w:rPr>
        <w:t>348.19</w:t>
      </w:r>
      <w:r>
        <w:rPr>
          <w:rFonts w:hint="eastAsia"/>
        </w:rPr>
        <w:t>万元，</w:t>
      </w:r>
      <w:r>
        <w:rPr>
          <w:rFonts w:hint="eastAsia"/>
          <w:lang w:val="en-US" w:eastAsia="zh-CN"/>
        </w:rPr>
        <w:t>运维升级建设</w:t>
      </w:r>
      <w:r>
        <w:rPr>
          <w:rFonts w:hint="eastAsia"/>
        </w:rPr>
        <w:t>其他费为</w:t>
      </w:r>
      <w:r>
        <w:rPr>
          <w:rFonts w:hint="eastAsia"/>
          <w:lang w:val="en-US" w:eastAsia="zh-CN"/>
        </w:rPr>
        <w:t>41.73</w:t>
      </w:r>
      <w:r>
        <w:rPr>
          <w:rFonts w:hint="eastAsia"/>
        </w:rPr>
        <w:t>万元</w:t>
      </w:r>
      <w:r>
        <w:rPr>
          <w:rFonts w:hint="eastAsia"/>
          <w:lang w:eastAsia="zh-CN"/>
        </w:rPr>
        <w:t>，</w:t>
      </w:r>
      <w:r>
        <w:rPr>
          <w:rFonts w:hint="eastAsia"/>
          <w:lang w:val="en-US" w:eastAsia="zh-CN"/>
        </w:rPr>
        <w:t>运维费222.99万元</w:t>
      </w:r>
      <w:r>
        <w:rPr>
          <w:rFonts w:hint="eastAsia"/>
        </w:rPr>
        <w:t>。</w:t>
      </w:r>
    </w:p>
    <w:p>
      <w:pPr>
        <w:bidi w:val="0"/>
        <w:rPr>
          <w:rFonts w:hint="default"/>
        </w:rPr>
      </w:pPr>
      <w:r>
        <w:rPr>
          <w:rFonts w:hint="eastAsia"/>
        </w:rPr>
        <w:t>资金来源：</w:t>
      </w:r>
      <w:r>
        <w:rPr>
          <w:rFonts w:hint="eastAsia"/>
          <w:lang w:val="en-US" w:eastAsia="zh-CN"/>
        </w:rPr>
        <w:t>丰都县三峡移民应急</w:t>
      </w:r>
      <w:r>
        <w:rPr>
          <w:rFonts w:hint="eastAsia"/>
        </w:rPr>
        <w:t>资金。</w:t>
      </w:r>
    </w:p>
    <w:p>
      <w:pPr>
        <w:pStyle w:val="5"/>
        <w:rPr>
          <w:color w:val="auto"/>
        </w:rPr>
      </w:pPr>
      <w:bookmarkStart w:id="71" w:name="_Toc15165"/>
      <w:bookmarkStart w:id="72" w:name="_Toc672"/>
      <w:bookmarkStart w:id="73" w:name="_Toc1657"/>
      <w:r>
        <w:rPr>
          <w:color w:val="auto"/>
        </w:rPr>
        <w:t>效益及风险</w:t>
      </w:r>
      <w:bookmarkEnd w:id="71"/>
      <w:bookmarkEnd w:id="72"/>
      <w:bookmarkEnd w:id="73"/>
    </w:p>
    <w:p>
      <w:pPr>
        <w:pStyle w:val="6"/>
        <w:bidi w:val="0"/>
        <w:ind w:left="0" w:leftChars="0" w:firstLine="0" w:firstLineChars="0"/>
      </w:pPr>
      <w:bookmarkStart w:id="74" w:name="_Toc13528"/>
      <w:bookmarkStart w:id="75" w:name="_Toc30211"/>
      <w:bookmarkStart w:id="76" w:name="_Toc24535"/>
      <w:bookmarkStart w:id="77" w:name="_Toc4780"/>
      <w:r>
        <w:rPr>
          <w:rFonts w:hint="eastAsia"/>
        </w:rPr>
        <w:t>项目效益</w:t>
      </w:r>
      <w:bookmarkEnd w:id="74"/>
      <w:bookmarkEnd w:id="75"/>
      <w:bookmarkEnd w:id="76"/>
      <w:bookmarkEnd w:id="77"/>
    </w:p>
    <w:p>
      <w:pPr>
        <w:pStyle w:val="7"/>
        <w:tabs>
          <w:tab w:val="clear" w:pos="0"/>
        </w:tabs>
        <w:bidi w:val="0"/>
        <w:ind w:left="0" w:leftChars="0" w:firstLine="0" w:firstLineChars="0"/>
        <w:rPr>
          <w:rFonts w:hint="default"/>
        </w:rPr>
      </w:pPr>
      <w:r>
        <w:t>经济效益</w:t>
      </w:r>
    </w:p>
    <w:p>
      <w:pPr>
        <w:bidi w:val="0"/>
      </w:pPr>
      <w:r>
        <w:rPr>
          <w:rFonts w:hint="eastAsia"/>
        </w:rPr>
        <w:t>本项目的建设，不会产生直接的经济效益，加强</w:t>
      </w:r>
      <w:r>
        <w:rPr>
          <w:rFonts w:hint="eastAsia"/>
          <w:lang w:val="en-US" w:eastAsia="zh-CN"/>
        </w:rPr>
        <w:t>丰都县镇街移民安置区综合应急能力提升建设</w:t>
      </w:r>
      <w:r>
        <w:rPr>
          <w:rFonts w:hint="eastAsia"/>
        </w:rPr>
        <w:t>，</w:t>
      </w:r>
      <w:r>
        <w:rPr>
          <w:rFonts w:hint="eastAsia"/>
          <w:lang w:val="en-US" w:eastAsia="zh-CN"/>
        </w:rPr>
        <w:t>可以</w:t>
      </w:r>
      <w:r>
        <w:rPr>
          <w:rFonts w:hint="eastAsia"/>
        </w:rPr>
        <w:t>提升工作效率，更好地服务和促进</w:t>
      </w:r>
      <w:r>
        <w:rPr>
          <w:rFonts w:hint="eastAsia"/>
          <w:lang w:val="en-US" w:eastAsia="zh-CN"/>
        </w:rPr>
        <w:t>地区</w:t>
      </w:r>
      <w:r>
        <w:rPr>
          <w:rFonts w:hint="eastAsia"/>
        </w:rPr>
        <w:t>高质量发展、维护社会治安持续稳定。</w:t>
      </w:r>
    </w:p>
    <w:p>
      <w:pPr>
        <w:bidi w:val="0"/>
        <w:rPr>
          <w:rFonts w:hint="eastAsia"/>
        </w:rPr>
      </w:pPr>
      <w:r>
        <w:rPr>
          <w:rFonts w:hint="eastAsia"/>
          <w:lang w:val="en-US" w:eastAsia="zh-CN"/>
        </w:rPr>
        <w:t>本项目为</w:t>
      </w:r>
      <w:r>
        <w:rPr>
          <w:rFonts w:hint="eastAsia"/>
        </w:rPr>
        <w:t>加强</w:t>
      </w:r>
      <w:r>
        <w:rPr>
          <w:rFonts w:hint="eastAsia"/>
          <w:lang w:val="en-US" w:eastAsia="zh-CN"/>
        </w:rPr>
        <w:t>丰都县镇街移民安置区综合应急能力提升建设，通过对丰都县移民安置区前端监控系统和水质监测站的运行维护和升级改造建设，极大的加强了区域内的水质安全和各镇街派出所</w:t>
      </w:r>
      <w:r>
        <w:rPr>
          <w:rFonts w:hint="eastAsia"/>
        </w:rPr>
        <w:t>对于执法盲区、监控盲区的治理，</w:t>
      </w:r>
      <w:r>
        <w:rPr>
          <w:rFonts w:hint="eastAsia"/>
          <w:lang w:val="en-US" w:eastAsia="zh-CN"/>
        </w:rPr>
        <w:t>加强了水资源的保护和</w:t>
      </w:r>
      <w:r>
        <w:rPr>
          <w:rFonts w:hint="eastAsia"/>
        </w:rPr>
        <w:t>降低</w:t>
      </w:r>
      <w:r>
        <w:rPr>
          <w:rFonts w:hint="eastAsia"/>
          <w:lang w:val="en-US" w:eastAsia="zh-CN"/>
        </w:rPr>
        <w:t>了</w:t>
      </w:r>
      <w:r>
        <w:rPr>
          <w:rFonts w:hint="eastAsia"/>
        </w:rPr>
        <w:t>案件发生率，从根源上遏制犯罪行为的发生，一定程度上保障了公众的生命财产安全。项目建成后，可为各级财政节约大量经费，主要体现在案件赔偿和财产损失方面的经济效益。</w:t>
      </w:r>
    </w:p>
    <w:p>
      <w:pPr>
        <w:pStyle w:val="7"/>
        <w:tabs>
          <w:tab w:val="clear" w:pos="0"/>
        </w:tabs>
        <w:bidi w:val="0"/>
        <w:ind w:left="0" w:leftChars="0" w:firstLine="0" w:firstLineChars="0"/>
        <w:rPr>
          <w:rFonts w:hint="default"/>
        </w:rPr>
      </w:pPr>
      <w:r>
        <w:t>社会效益</w:t>
      </w:r>
    </w:p>
    <w:p>
      <w:pPr>
        <w:bidi w:val="0"/>
      </w:pPr>
      <w:r>
        <w:rPr>
          <w:rFonts w:hint="eastAsia"/>
        </w:rPr>
        <w:t>本项目为</w:t>
      </w:r>
      <w:r>
        <w:rPr>
          <w:rFonts w:hint="eastAsia"/>
          <w:lang w:val="en-US" w:eastAsia="zh-CN"/>
        </w:rPr>
        <w:t>丰都县</w:t>
      </w:r>
      <w:r>
        <w:rPr>
          <w:rFonts w:hint="eastAsia"/>
        </w:rPr>
        <w:t>民生工程，为非盈利性社会事业项目。坚持“有机合理的整合所有资源，防止重复投资，实现联动一体化”的建设思路，坚持属地管理为主的队伍和资源建设，为</w:t>
      </w:r>
      <w:r>
        <w:rPr>
          <w:rFonts w:hint="eastAsia"/>
          <w:lang w:val="en-US" w:eastAsia="zh-CN"/>
        </w:rPr>
        <w:t>丰都县移民安置区</w:t>
      </w:r>
      <w:r>
        <w:rPr>
          <w:rFonts w:hint="eastAsia"/>
        </w:rPr>
        <w:t>的社会治安和可持续发展奠定基础，具有极大的社会效益。</w:t>
      </w:r>
    </w:p>
    <w:p>
      <w:pPr>
        <w:keepNext w:val="0"/>
        <w:keepLines w:val="0"/>
        <w:pageBreakBefore w:val="0"/>
        <w:widowControl w:val="0"/>
        <w:numPr>
          <w:ilvl w:val="0"/>
          <w:numId w:val="20"/>
        </w:numPr>
        <w:kinsoku/>
        <w:wordWrap/>
        <w:overflowPunct/>
        <w:topLinePunct w:val="0"/>
        <w:autoSpaceDE/>
        <w:autoSpaceDN/>
        <w:bidi w:val="0"/>
        <w:adjustRightInd/>
        <w:snapToGrid w:val="0"/>
        <w:ind w:left="0"/>
        <w:textAlignment w:val="auto"/>
      </w:pPr>
      <w:r>
        <w:rPr>
          <w:rFonts w:hint="eastAsia"/>
          <w:lang w:val="en-US" w:eastAsia="zh-CN"/>
        </w:rPr>
        <w:t>本</w:t>
      </w:r>
      <w:r>
        <w:rPr>
          <w:rFonts w:hint="eastAsia"/>
        </w:rPr>
        <w:t>项目</w:t>
      </w:r>
      <w:r>
        <w:rPr>
          <w:rFonts w:hint="eastAsia"/>
          <w:lang w:val="en-US" w:eastAsia="zh-CN"/>
        </w:rPr>
        <w:t>通过对丰都县镇街移民安置区综合应急能力提升的</w:t>
      </w:r>
      <w:r>
        <w:rPr>
          <w:rFonts w:hint="eastAsia"/>
        </w:rPr>
        <w:t>建设能够深入推进</w:t>
      </w:r>
      <w:r>
        <w:rPr>
          <w:rFonts w:hint="eastAsia"/>
          <w:lang w:val="en-US" w:eastAsia="zh-CN"/>
        </w:rPr>
        <w:t>丰都县移民安置区的</w:t>
      </w:r>
      <w:r>
        <w:rPr>
          <w:rFonts w:hint="eastAsia"/>
        </w:rPr>
        <w:t>治安防控体系建设，促进</w:t>
      </w:r>
      <w:r>
        <w:rPr>
          <w:rFonts w:hint="eastAsia"/>
          <w:lang w:val="en-US" w:eastAsia="zh-CN"/>
        </w:rPr>
        <w:t>丰都县移民安置区</w:t>
      </w:r>
      <w:r>
        <w:rPr>
          <w:rFonts w:hint="eastAsia"/>
        </w:rPr>
        <w:t>视频监控建设及联网整合工作，充分发挥科技信息化维护安全稳定的技术支撑作用，预防社会治安</w:t>
      </w:r>
      <w:r>
        <w:rPr>
          <w:rFonts w:hint="eastAsia"/>
          <w:lang w:val="en-US" w:eastAsia="zh-CN"/>
        </w:rPr>
        <w:t>的</w:t>
      </w:r>
      <w:r>
        <w:rPr>
          <w:rFonts w:hint="eastAsia"/>
        </w:rPr>
        <w:t>安全隐患对群众生命财产安全产生的威胁，消除多种矛盾相互交织而诱发的社会危机</w:t>
      </w:r>
      <w:r>
        <w:rPr>
          <w:rFonts w:hint="eastAsia"/>
          <w:lang w:eastAsia="zh-CN"/>
        </w:rPr>
        <w:t>，</w:t>
      </w:r>
      <w:r>
        <w:rPr>
          <w:rFonts w:hint="eastAsia"/>
        </w:rPr>
        <w:t>更好地服务保障</w:t>
      </w:r>
      <w:r>
        <w:rPr>
          <w:rFonts w:hint="eastAsia"/>
          <w:lang w:val="en-US" w:eastAsia="zh-CN"/>
        </w:rPr>
        <w:t>地区</w:t>
      </w:r>
      <w:r>
        <w:rPr>
          <w:rFonts w:hint="eastAsia"/>
        </w:rPr>
        <w:t>高质量、可持续发展。</w:t>
      </w:r>
    </w:p>
    <w:p>
      <w:pPr>
        <w:keepNext w:val="0"/>
        <w:keepLines w:val="0"/>
        <w:pageBreakBefore w:val="0"/>
        <w:widowControl w:val="0"/>
        <w:numPr>
          <w:ilvl w:val="0"/>
          <w:numId w:val="20"/>
        </w:numPr>
        <w:kinsoku/>
        <w:wordWrap/>
        <w:overflowPunct/>
        <w:topLinePunct w:val="0"/>
        <w:autoSpaceDE/>
        <w:autoSpaceDN/>
        <w:bidi w:val="0"/>
        <w:adjustRightInd/>
        <w:snapToGrid w:val="0"/>
        <w:ind w:left="0"/>
        <w:textAlignment w:val="auto"/>
      </w:pPr>
      <w:r>
        <w:rPr>
          <w:rFonts w:hint="eastAsia"/>
          <w:lang w:val="en-US" w:eastAsia="zh-CN"/>
        </w:rPr>
        <w:t>本</w:t>
      </w:r>
      <w:r>
        <w:rPr>
          <w:rFonts w:hint="eastAsia"/>
        </w:rPr>
        <w:t>项目</w:t>
      </w:r>
      <w:r>
        <w:rPr>
          <w:rFonts w:hint="eastAsia"/>
          <w:lang w:val="en-US" w:eastAsia="zh-CN"/>
        </w:rPr>
        <w:t>的建设可以</w:t>
      </w:r>
      <w:r>
        <w:rPr>
          <w:rFonts w:hint="eastAsia"/>
        </w:rPr>
        <w:t>提升</w:t>
      </w:r>
      <w:r>
        <w:rPr>
          <w:rFonts w:hint="eastAsia"/>
          <w:lang w:val="en-US" w:eastAsia="zh-CN"/>
        </w:rPr>
        <w:t>丰都县移民安置区的</w:t>
      </w:r>
      <w:r>
        <w:rPr>
          <w:rFonts w:hint="eastAsia"/>
        </w:rPr>
        <w:t>视频监控资源共享水平，有效提升城市管理水平</w:t>
      </w:r>
      <w:r>
        <w:rPr>
          <w:rFonts w:hint="eastAsia"/>
          <w:lang w:eastAsia="zh-CN"/>
        </w:rPr>
        <w:t>，</w:t>
      </w:r>
      <w:r>
        <w:rPr>
          <w:rFonts w:hint="eastAsia"/>
        </w:rPr>
        <w:t>提高各业务部门精确管理能力，使服务更加便捷，可以有效提高居民的满意度。</w:t>
      </w:r>
    </w:p>
    <w:p>
      <w:pPr>
        <w:keepNext w:val="0"/>
        <w:keepLines w:val="0"/>
        <w:pageBreakBefore w:val="0"/>
        <w:widowControl w:val="0"/>
        <w:numPr>
          <w:ilvl w:val="0"/>
          <w:numId w:val="20"/>
        </w:numPr>
        <w:kinsoku/>
        <w:wordWrap/>
        <w:overflowPunct/>
        <w:topLinePunct w:val="0"/>
        <w:autoSpaceDE/>
        <w:autoSpaceDN/>
        <w:bidi w:val="0"/>
        <w:adjustRightInd/>
        <w:snapToGrid w:val="0"/>
        <w:ind w:left="0"/>
        <w:textAlignment w:val="auto"/>
      </w:pPr>
      <w:r>
        <w:rPr>
          <w:rFonts w:hint="eastAsia"/>
          <w:lang w:val="en-US" w:eastAsia="zh-CN"/>
        </w:rPr>
        <w:t>本项目的建设可以进一步完善丰都县的水质检测数据收集、存储和分析，帮助我们快速识别潜在的水质风险，加强对水资源的保护和管理，保障水资源安全。</w:t>
      </w:r>
    </w:p>
    <w:p>
      <w:pPr>
        <w:pStyle w:val="6"/>
        <w:bidi w:val="0"/>
        <w:ind w:left="0" w:leftChars="0" w:firstLine="0" w:firstLineChars="0"/>
      </w:pPr>
      <w:bookmarkStart w:id="78" w:name="_Toc24042"/>
      <w:bookmarkStart w:id="79" w:name="_Toc11287"/>
      <w:bookmarkStart w:id="80" w:name="_Toc4000"/>
      <w:bookmarkStart w:id="81" w:name="_Toc26254"/>
      <w:r>
        <w:rPr>
          <w:rFonts w:hint="eastAsia"/>
        </w:rPr>
        <w:t>项目风险</w:t>
      </w:r>
      <w:bookmarkEnd w:id="78"/>
      <w:bookmarkEnd w:id="79"/>
      <w:bookmarkEnd w:id="80"/>
      <w:bookmarkEnd w:id="81"/>
    </w:p>
    <w:p>
      <w:pPr>
        <w:bidi w:val="0"/>
      </w:pPr>
      <w:r>
        <w:rPr>
          <w:rFonts w:hint="eastAsia"/>
        </w:rPr>
        <w:t>本项目工程较大，内容较为复杂，为综合性建设项目。同时由于环境的可变性、项目自身的动态性、主观认识能力的局限性等因素，使项目在建设过程中可面临资金、管理、政策、技术、安全等风险，这些因素对项目实施后的实际结果可能在一定程度上偏离设计方案。本项目过程中的风险包括组织风险、管理风险、业务风险、技术风险等多个层面。项目建设单位应加强对项目风险管控，保证项目的进度和质量满足项目建设目标。</w:t>
      </w:r>
    </w:p>
    <w:p>
      <w:pPr>
        <w:pStyle w:val="5"/>
        <w:rPr>
          <w:rFonts w:hint="default"/>
          <w:color w:val="auto"/>
        </w:rPr>
      </w:pPr>
      <w:bookmarkStart w:id="82" w:name="_Toc10116"/>
      <w:bookmarkStart w:id="83" w:name="_Toc15718"/>
      <w:bookmarkStart w:id="84" w:name="_Toc25702"/>
      <w:r>
        <w:rPr>
          <w:color w:val="auto"/>
        </w:rPr>
        <w:t>主要结论与建议</w:t>
      </w:r>
      <w:bookmarkEnd w:id="82"/>
      <w:bookmarkEnd w:id="83"/>
      <w:bookmarkEnd w:id="84"/>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Pr>
        <w:pStyle w:val="6"/>
        <w:spacing w:before="156" w:after="156"/>
      </w:pPr>
      <w:bookmarkStart w:id="85" w:name="_Toc1873"/>
      <w:bookmarkStart w:id="86" w:name="_Toc12904"/>
      <w:bookmarkStart w:id="87" w:name="_Toc5529"/>
      <w:bookmarkStart w:id="88" w:name="_Toc30807"/>
      <w:bookmarkStart w:id="89" w:name="_Toc32630"/>
      <w:r>
        <w:rPr>
          <w:rFonts w:hint="eastAsia"/>
        </w:rPr>
        <w:t>主要结论</w:t>
      </w:r>
      <w:bookmarkEnd w:id="85"/>
      <w:bookmarkEnd w:id="86"/>
      <w:bookmarkEnd w:id="87"/>
    </w:p>
    <w:p>
      <w:pPr>
        <w:bidi w:val="0"/>
        <w:rPr>
          <w:rFonts w:hint="eastAsia"/>
        </w:rPr>
      </w:pPr>
      <w:bookmarkStart w:id="90" w:name="_Toc25212"/>
      <w:r>
        <w:rPr>
          <w:rFonts w:hint="eastAsia"/>
        </w:rPr>
        <w:t>根据前述内容对本项目各方面进行的研究分析与评价，可以得出如下结论：</w:t>
      </w:r>
    </w:p>
    <w:p>
      <w:pPr>
        <w:keepNext w:val="0"/>
        <w:keepLines w:val="0"/>
        <w:pageBreakBefore w:val="0"/>
        <w:widowControl w:val="0"/>
        <w:numPr>
          <w:ilvl w:val="0"/>
          <w:numId w:val="21"/>
        </w:numPr>
        <w:kinsoku/>
        <w:wordWrap/>
        <w:overflowPunct/>
        <w:topLinePunct w:val="0"/>
        <w:autoSpaceDE/>
        <w:autoSpaceDN/>
        <w:bidi w:val="0"/>
        <w:adjustRightInd/>
        <w:snapToGrid w:val="0"/>
        <w:ind w:left="0" w:leftChars="0" w:firstLine="524" w:firstLineChars="200"/>
        <w:textAlignment w:val="auto"/>
        <w:rPr>
          <w:rFonts w:hint="eastAsia"/>
        </w:rPr>
      </w:pPr>
      <w:r>
        <w:rPr>
          <w:rFonts w:hint="eastAsia"/>
          <w:lang w:eastAsia="zh-CN"/>
        </w:rPr>
        <w:t>丰都县镇街移民安置区综合应急能力提升项目</w:t>
      </w:r>
      <w:r>
        <w:rPr>
          <w:rFonts w:hint="eastAsia"/>
        </w:rPr>
        <w:t>的建设是顺应智慧城市发展的大势所趋。项目的建设将有效地促进政府社会管理职能的实现，加强</w:t>
      </w:r>
      <w:r>
        <w:rPr>
          <w:rFonts w:hint="eastAsia"/>
          <w:lang w:val="en-US" w:eastAsia="zh-CN"/>
        </w:rPr>
        <w:t>移民安置区</w:t>
      </w:r>
      <w:r>
        <w:rPr>
          <w:rFonts w:hint="eastAsia"/>
        </w:rPr>
        <w:t>信息化水平，提高</w:t>
      </w:r>
      <w:r>
        <w:rPr>
          <w:rFonts w:hint="eastAsia"/>
          <w:lang w:val="en-US" w:eastAsia="zh-CN"/>
        </w:rPr>
        <w:t>移民安置区</w:t>
      </w:r>
      <w:r>
        <w:rPr>
          <w:rFonts w:hint="eastAsia"/>
        </w:rPr>
        <w:t>平安指数，更好地为政府领导的决策提供及时准确的支持性信息，便于领导掌握全局，大大提高决策的科学性和效率。通过该项目的建设，</w:t>
      </w:r>
      <w:r>
        <w:rPr>
          <w:rFonts w:hint="eastAsia"/>
          <w:lang w:val="en-US" w:eastAsia="zh-CN"/>
        </w:rPr>
        <w:t>安置区</w:t>
      </w:r>
      <w:r>
        <w:rPr>
          <w:rFonts w:hint="eastAsia"/>
        </w:rPr>
        <w:t>居民将享受到安全、便捷及均等化的服务。</w:t>
      </w:r>
    </w:p>
    <w:p>
      <w:pPr>
        <w:keepNext w:val="0"/>
        <w:keepLines w:val="0"/>
        <w:pageBreakBefore w:val="0"/>
        <w:widowControl w:val="0"/>
        <w:numPr>
          <w:ilvl w:val="0"/>
          <w:numId w:val="21"/>
        </w:numPr>
        <w:kinsoku/>
        <w:wordWrap/>
        <w:overflowPunct/>
        <w:topLinePunct w:val="0"/>
        <w:autoSpaceDE/>
        <w:autoSpaceDN/>
        <w:bidi w:val="0"/>
        <w:adjustRightInd/>
        <w:snapToGrid w:val="0"/>
        <w:ind w:left="0" w:leftChars="0" w:firstLine="524" w:firstLineChars="200"/>
        <w:textAlignment w:val="auto"/>
        <w:rPr>
          <w:rFonts w:hint="eastAsia"/>
        </w:rPr>
      </w:pPr>
      <w:r>
        <w:rPr>
          <w:rFonts w:hint="eastAsia"/>
          <w:lang w:val="en-US" w:eastAsia="zh-CN"/>
        </w:rPr>
        <w:t>本</w:t>
      </w:r>
      <w:r>
        <w:rPr>
          <w:rFonts w:hint="eastAsia"/>
          <w:lang w:eastAsia="zh-CN"/>
        </w:rPr>
        <w:t>项目</w:t>
      </w:r>
      <w:r>
        <w:rPr>
          <w:rFonts w:hint="eastAsia"/>
          <w:lang w:val="en-US" w:eastAsia="zh-CN"/>
        </w:rPr>
        <w:t>可研代初步设计及概算方案</w:t>
      </w:r>
      <w:r>
        <w:rPr>
          <w:rFonts w:hint="eastAsia"/>
        </w:rPr>
        <w:t>的规划充分考虑了现有的信息化建设现状，并根据业务应用需求的分析，通过调研</w:t>
      </w:r>
      <w:r>
        <w:rPr>
          <w:rFonts w:hint="eastAsia"/>
          <w:lang w:val="en-US" w:eastAsia="zh-CN"/>
        </w:rPr>
        <w:t>丰都县移民安置区</w:t>
      </w:r>
      <w:r>
        <w:rPr>
          <w:rFonts w:hint="eastAsia"/>
        </w:rPr>
        <w:t>信息化发展现状及移民社区的详细情况，尽量利用政府已经投资的基础设施，减少重复投资的浪费。</w:t>
      </w:r>
    </w:p>
    <w:p>
      <w:pPr>
        <w:bidi w:val="0"/>
      </w:pPr>
      <w:r>
        <w:rPr>
          <w:rFonts w:hint="eastAsia"/>
        </w:rPr>
        <w:t>综上所述，</w:t>
      </w:r>
      <w:r>
        <w:rPr>
          <w:rFonts w:hint="eastAsia"/>
          <w:lang w:eastAsia="zh-CN"/>
        </w:rPr>
        <w:t>丰都县镇街移民安置区综合应急能力提升项目</w:t>
      </w:r>
      <w:r>
        <w:rPr>
          <w:rFonts w:hint="eastAsia"/>
        </w:rPr>
        <w:t>建设条件已成熟，本</w:t>
      </w:r>
      <w:r>
        <w:rPr>
          <w:rFonts w:hint="eastAsia"/>
          <w:lang w:val="en-US" w:eastAsia="zh-CN"/>
        </w:rPr>
        <w:t>方案</w:t>
      </w:r>
      <w:r>
        <w:rPr>
          <w:rFonts w:hint="eastAsia"/>
        </w:rPr>
        <w:t>能为项目建设提供技术框架，作为指导性参考文件，</w:t>
      </w:r>
      <w:r>
        <w:rPr>
          <w:rFonts w:hint="eastAsia"/>
          <w:lang w:eastAsia="zh-CN"/>
        </w:rPr>
        <w:t>丰都县镇街移民安置区综合应急能力提升项目</w:t>
      </w:r>
      <w:r>
        <w:rPr>
          <w:rFonts w:hint="eastAsia"/>
        </w:rPr>
        <w:t>最终能够收到预期效果。</w:t>
      </w:r>
    </w:p>
    <w:p>
      <w:pPr>
        <w:pStyle w:val="6"/>
        <w:spacing w:before="156" w:after="156"/>
      </w:pPr>
      <w:bookmarkStart w:id="91" w:name="_Toc27695"/>
      <w:bookmarkStart w:id="92" w:name="_Toc31805"/>
      <w:r>
        <w:rPr>
          <w:rFonts w:hint="eastAsia"/>
        </w:rPr>
        <w:t>建议</w:t>
      </w:r>
      <w:bookmarkEnd w:id="90"/>
      <w:bookmarkEnd w:id="91"/>
      <w:bookmarkEnd w:id="92"/>
    </w:p>
    <w:p>
      <w:pPr>
        <w:ind w:firstLine="655" w:firstLineChars="250"/>
        <w:rPr>
          <w:rFonts w:ascii="宋体" w:hAnsi="宋体" w:cs="宋体"/>
        </w:rPr>
      </w:pPr>
      <w:r>
        <w:rPr>
          <w:rFonts w:hint="eastAsia" w:ascii="宋体" w:hAnsi="宋体" w:cs="宋体"/>
        </w:rPr>
        <w:t>根</w:t>
      </w:r>
      <w:bookmarkStart w:id="93" w:name="_Toc27048"/>
      <w:bookmarkStart w:id="94" w:name="_Toc496771556"/>
      <w:r>
        <w:rPr>
          <w:rFonts w:hint="eastAsia" w:ascii="宋体" w:hAnsi="宋体" w:cs="宋体"/>
        </w:rPr>
        <w:t>据本</w:t>
      </w:r>
      <w:bookmarkEnd w:id="93"/>
      <w:bookmarkEnd w:id="94"/>
      <w:r>
        <w:rPr>
          <w:rFonts w:hint="eastAsia" w:ascii="宋体" w:hAnsi="宋体" w:cs="宋体"/>
        </w:rPr>
        <w:t>项目的特点，提出以下建议：</w:t>
      </w:r>
    </w:p>
    <w:p>
      <w:pPr>
        <w:numPr>
          <w:ilvl w:val="0"/>
          <w:numId w:val="22"/>
        </w:numPr>
        <w:ind w:left="0" w:firstLine="480"/>
      </w:pPr>
      <w:r>
        <w:rPr>
          <w:rFonts w:hint="eastAsia"/>
        </w:rPr>
        <w:t>做好项目实施安排，保证项目建设制定项目整体实施进度计划，保证项目建设的质量、进度和成本按计划完成。</w:t>
      </w:r>
    </w:p>
    <w:p>
      <w:pPr>
        <w:numPr>
          <w:ilvl w:val="0"/>
          <w:numId w:val="22"/>
        </w:numPr>
        <w:ind w:left="0" w:firstLine="480"/>
      </w:pPr>
      <w:r>
        <w:rPr>
          <w:rFonts w:hint="eastAsia"/>
        </w:rPr>
        <w:t>加强全员培训，保证应用效果在工程建设的同时，要针对系统的使用开展对各级管理人员的应用培训，保证使用者在最短的时间内掌握应用软件的使用，确保系统的应用效果。</w:t>
      </w:r>
    </w:p>
    <w:p>
      <w:pPr>
        <w:numPr>
          <w:ilvl w:val="0"/>
          <w:numId w:val="22"/>
        </w:numPr>
        <w:ind w:left="0" w:firstLine="480"/>
      </w:pPr>
      <w:r>
        <w:rPr>
          <w:rFonts w:hint="eastAsia"/>
        </w:rPr>
        <w:t>落实维护经费，保障系统正常运行。本系统建设完成后，完善的运行维护工作是保证系统正常运转的基本条件。为了保证系统得到正常的运行维护，必须要提供足够的运行维护经费。由于应用需求紧迫，建议尽早安排本项目的建设。</w:t>
      </w:r>
    </w:p>
    <w:bookmarkEnd w:id="88"/>
    <w:bookmarkEnd w:id="89"/>
    <w:p>
      <w:pPr>
        <w:pStyle w:val="4"/>
        <w:spacing w:before="156" w:after="156"/>
        <w:rPr>
          <w:rFonts w:hint="default"/>
          <w:color w:val="auto"/>
        </w:rPr>
      </w:pPr>
      <w:bookmarkStart w:id="95" w:name="_Toc8901"/>
      <w:bookmarkStart w:id="96" w:name="_Toc7538"/>
      <w:bookmarkStart w:id="97" w:name="_Toc10827"/>
      <w:r>
        <w:rPr>
          <w:rFonts w:hint="eastAsia"/>
          <w:color w:val="auto"/>
          <w:lang w:val="en-US" w:eastAsia="zh-CN"/>
        </w:rPr>
        <w:t>项目建设现状及必要性分析</w:t>
      </w:r>
      <w:bookmarkEnd w:id="95"/>
      <w:bookmarkEnd w:id="96"/>
      <w:bookmarkEnd w:id="97"/>
    </w:p>
    <w:p>
      <w:pPr>
        <w:pStyle w:val="5"/>
        <w:bidi w:val="0"/>
        <w:rPr>
          <w:rFonts w:hint="default"/>
          <w:lang w:val="en-GB"/>
        </w:rPr>
      </w:pPr>
      <w:bookmarkStart w:id="98" w:name="_Toc19661"/>
      <w:bookmarkStart w:id="99" w:name="_Toc8113"/>
      <w:bookmarkStart w:id="100" w:name="_Toc1323"/>
      <w:bookmarkStart w:id="101" w:name="_Toc2691"/>
      <w:bookmarkStart w:id="102" w:name="_Toc14948"/>
      <w:bookmarkStart w:id="103" w:name="_Toc11027"/>
      <w:bookmarkStart w:id="104" w:name="_Toc31827"/>
      <w:bookmarkStart w:id="105" w:name="_Toc521204066"/>
      <w:bookmarkStart w:id="106" w:name="_Toc16357"/>
      <w:bookmarkStart w:id="107" w:name="_Toc31415"/>
      <w:bookmarkStart w:id="108" w:name="_Toc10008"/>
      <w:bookmarkStart w:id="109" w:name="_Toc30996"/>
      <w:bookmarkStart w:id="110" w:name="_Toc170892513"/>
      <w:bookmarkStart w:id="111" w:name="_Toc29280"/>
      <w:bookmarkStart w:id="112" w:name="_Toc521203651"/>
      <w:bookmarkStart w:id="113" w:name="_Toc11140"/>
      <w:bookmarkStart w:id="114" w:name="_Toc26124"/>
      <w:r>
        <w:rPr>
          <w:rFonts w:hint="eastAsia"/>
          <w:lang w:val="en-US" w:eastAsia="zh-CN"/>
        </w:rPr>
        <w:t>项目建设背景</w:t>
      </w:r>
      <w:bookmarkEnd w:id="98"/>
    </w:p>
    <w:p>
      <w:pPr>
        <w:ind w:firstLine="524"/>
        <w:rPr>
          <w:rFonts w:hint="eastAsia"/>
        </w:rPr>
      </w:pPr>
      <w:r>
        <w:rPr>
          <w:rFonts w:hint="eastAsia"/>
        </w:rPr>
        <w:t>跨越两个世纪、持续18年的三峡移民大工程，至2010年宣告结束。百万移民安置任务全面完成，曾经横亘在中国政府和三峡建设者面前的“世界级难题”，终告破解。回首迁建之路，上有国家不断修正、完善安置政策，努力维护移民群众利益的举动</w:t>
      </w:r>
      <w:r>
        <w:rPr>
          <w:rFonts w:hint="eastAsia"/>
          <w:lang w:eastAsia="zh-CN"/>
        </w:rPr>
        <w:t>；</w:t>
      </w:r>
      <w:r>
        <w:rPr>
          <w:rFonts w:hint="eastAsia"/>
        </w:rPr>
        <w:t>下有移民群众“舍小家、顾大家”，为三峡建设作出重大贡献的行为</w:t>
      </w:r>
      <w:r>
        <w:rPr>
          <w:rFonts w:hint="eastAsia"/>
          <w:lang w:eastAsia="zh-CN"/>
        </w:rPr>
        <w:t>，</w:t>
      </w:r>
      <w:r>
        <w:rPr>
          <w:rFonts w:hint="eastAsia"/>
        </w:rPr>
        <w:t>最终促成了这一百万移民顺利搬迁的壮举。</w:t>
      </w:r>
    </w:p>
    <w:p>
      <w:pPr>
        <w:ind w:firstLine="524"/>
        <w:rPr>
          <w:rFonts w:hint="eastAsia"/>
        </w:rPr>
      </w:pPr>
      <w:r>
        <w:rPr>
          <w:rFonts w:hint="eastAsia"/>
        </w:rPr>
        <w:t>近几年来，在中央强有力的持续支持下，三峡库区人民负重前行，全力建设新家园，库区基础设施和社会面貌大为改观，特色产业日渐兴起，百万移民逐渐走上安稳致富路。</w:t>
      </w:r>
    </w:p>
    <w:p>
      <w:pPr>
        <w:ind w:firstLine="524"/>
        <w:rPr>
          <w:rFonts w:hint="default"/>
          <w:lang w:val="en-US" w:eastAsia="zh-CN"/>
        </w:rPr>
      </w:pPr>
      <w:r>
        <w:rPr>
          <w:rFonts w:hint="eastAsia"/>
          <w:lang w:val="en-US" w:eastAsia="zh-CN"/>
        </w:rPr>
        <w:t>但丰都县三合街道、名山街道、高家镇作为三峡库区移民安置区之一，其基础建设还不够完善。丰都县综合帮扶项目建设的监控系统由于时间比较久，大部分监控没有视频展示环境，并且前端监控系统的镜头、传输、供电、以及收发装置中有不同程度的损坏，严重影响智慧社区、平安社区的建设。因此本项目在丰都县综合帮扶项目的基础上，对三合街道、名山街道、高家镇已建设的监控进行运行维护和升级改造，进一步完善丰都县三峡库区移民安置区的基础设施，提高三峡库区移民安置区的综合应急能力。</w:t>
      </w:r>
    </w:p>
    <w:p>
      <w:pPr>
        <w:pStyle w:val="5"/>
        <w:bidi w:val="0"/>
        <w:rPr>
          <w:rFonts w:hint="default"/>
          <w:lang w:val="en-US" w:eastAsia="zh-CN"/>
        </w:rPr>
      </w:pPr>
      <w:bookmarkStart w:id="115" w:name="_Toc25002"/>
      <w:r>
        <w:rPr>
          <w:rFonts w:hint="eastAsia"/>
          <w:lang w:val="en-US" w:eastAsia="zh-CN"/>
        </w:rPr>
        <w:t>现状及存在的问题</w:t>
      </w:r>
      <w:bookmarkEnd w:id="115"/>
    </w:p>
    <w:p>
      <w:pPr>
        <w:pStyle w:val="6"/>
        <w:rPr>
          <w:rFonts w:hint="default"/>
          <w:color w:val="auto"/>
          <w:highlight w:val="none"/>
          <w:lang w:val="en-US" w:eastAsia="zh-CN"/>
        </w:rPr>
      </w:pPr>
      <w:bookmarkStart w:id="116" w:name="_Toc16935"/>
      <w:r>
        <w:rPr>
          <w:rFonts w:hint="eastAsia"/>
          <w:color w:val="auto"/>
          <w:highlight w:val="none"/>
          <w:lang w:val="en-US" w:eastAsia="zh-CN"/>
        </w:rPr>
        <w:t>公安局现状</w:t>
      </w:r>
      <w:bookmarkEnd w:id="116"/>
    </w:p>
    <w:p>
      <w:pPr>
        <w:pStyle w:val="7"/>
        <w:bidi w:val="0"/>
        <w:rPr>
          <w:rFonts w:hint="default"/>
          <w:lang w:val="en-US" w:eastAsia="zh-CN"/>
        </w:rPr>
      </w:pPr>
      <w:r>
        <w:rPr>
          <w:rFonts w:hint="eastAsia"/>
          <w:lang w:val="en-US" w:eastAsia="zh-CN"/>
        </w:rPr>
        <w:t>点位建设现状</w:t>
      </w:r>
    </w:p>
    <w:p>
      <w:pPr>
        <w:rPr>
          <w:rFonts w:hint="eastAsia"/>
          <w:color w:val="auto"/>
          <w:highlight w:val="none"/>
          <w:lang w:val="en-US" w:eastAsia="zh-CN"/>
        </w:rPr>
      </w:pPr>
      <w:r>
        <w:rPr>
          <w:rFonts w:hint="eastAsia"/>
          <w:color w:val="auto"/>
          <w:highlight w:val="none"/>
          <w:lang w:val="en-US" w:eastAsia="zh-CN"/>
        </w:rPr>
        <w:t>丰都县公安局通过应指工程建设有</w:t>
      </w:r>
      <w:r>
        <w:rPr>
          <w:rFonts w:hint="eastAsia" w:ascii="宋体" w:hAnsi="宋体"/>
        </w:rPr>
        <w:t>539个镜头，其中含有43个</w:t>
      </w:r>
      <w:r>
        <w:rPr>
          <w:rFonts w:hint="eastAsia"/>
        </w:rPr>
        <w:t>人像</w:t>
      </w:r>
      <w:r>
        <w:rPr>
          <w:rFonts w:hint="eastAsia"/>
          <w:lang w:val="en-US" w:eastAsia="zh-CN"/>
        </w:rPr>
        <w:t>镜头。雪亮工程规划</w:t>
      </w:r>
      <w:r>
        <w:rPr>
          <w:rFonts w:hint="eastAsia"/>
        </w:rPr>
        <w:t>新增前端视频监控摄像头</w:t>
      </w:r>
      <w:r>
        <w:t>2255</w:t>
      </w:r>
      <w:r>
        <w:rPr>
          <w:rFonts w:hint="eastAsia"/>
        </w:rPr>
        <w:t>路，其中人像抓拍一体机</w:t>
      </w:r>
      <w:r>
        <w:t>249</w:t>
      </w:r>
      <w:r>
        <w:rPr>
          <w:rFonts w:hint="eastAsia"/>
        </w:rPr>
        <w:t>路、微卡口</w:t>
      </w:r>
      <w:r>
        <w:t>951</w:t>
      </w:r>
      <w:r>
        <w:rPr>
          <w:rFonts w:hint="eastAsia"/>
        </w:rPr>
        <w:t>路、普通治安摄像头2</w:t>
      </w:r>
      <w:r>
        <w:t>61</w:t>
      </w:r>
      <w:r>
        <w:rPr>
          <w:rFonts w:hint="eastAsia"/>
        </w:rPr>
        <w:t>路（枪机2</w:t>
      </w:r>
      <w:r>
        <w:t>60</w:t>
      </w:r>
      <w:r>
        <w:rPr>
          <w:rFonts w:hint="eastAsia"/>
        </w:rPr>
        <w:t>路，球机1路），结构化视频分析摄像头794路（结构化枪机7</w:t>
      </w:r>
      <w:r>
        <w:t>80</w:t>
      </w:r>
      <w:r>
        <w:rPr>
          <w:rFonts w:hint="eastAsia"/>
        </w:rPr>
        <w:t>路，结构化球机1</w:t>
      </w:r>
      <w:r>
        <w:t>4</w:t>
      </w:r>
      <w:r>
        <w:rPr>
          <w:rFonts w:hint="eastAsia"/>
        </w:rPr>
        <w:t>路）。</w:t>
      </w:r>
      <w:r>
        <w:rPr>
          <w:rFonts w:hint="eastAsia"/>
          <w:lang w:val="en-US" w:eastAsia="zh-CN"/>
        </w:rPr>
        <w:t>即</w:t>
      </w:r>
      <w:r>
        <w:rPr>
          <w:rFonts w:hint="eastAsia"/>
          <w:color w:val="auto"/>
          <w:highlight w:val="none"/>
          <w:lang w:val="en-US" w:eastAsia="zh-CN"/>
        </w:rPr>
        <w:t>应指工程和雪亮工程共建设2794路。</w:t>
      </w:r>
    </w:p>
    <w:p>
      <w:pPr>
        <w:pStyle w:val="16"/>
        <w:ind w:left="0" w:leftChars="0" w:firstLine="0" w:firstLineChars="0"/>
        <w:rPr>
          <w:rFonts w:hint="eastAsia"/>
          <w:lang w:val="en-US" w:eastAsia="zh-CN"/>
        </w:rPr>
        <w:sectPr>
          <w:footerReference r:id="rId11" w:type="default"/>
          <w:pgSz w:w="11849" w:h="16781"/>
          <w:pgMar w:top="1440" w:right="1797" w:bottom="1440" w:left="1797" w:header="850" w:footer="992" w:gutter="0"/>
          <w:pgNumType w:fmt="decimal"/>
          <w:cols w:space="0" w:num="1"/>
          <w:rtlGutter w:val="0"/>
          <w:docGrid w:type="lines" w:linePitch="397" w:charSpace="0"/>
        </w:sectPr>
      </w:pPr>
    </w:p>
    <w:p>
      <w:pPr>
        <w:pStyle w:val="7"/>
        <w:bidi w:val="0"/>
        <w:rPr>
          <w:rFonts w:hint="default"/>
          <w:lang w:val="en-US" w:eastAsia="zh-CN"/>
        </w:rPr>
      </w:pPr>
      <w:r>
        <w:rPr>
          <w:rFonts w:hint="eastAsia"/>
          <w:lang w:val="en-US" w:eastAsia="zh-CN"/>
        </w:rPr>
        <w:t>网络现状</w:t>
      </w:r>
    </w:p>
    <w:p>
      <w:pPr>
        <w:pStyle w:val="16"/>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lang w:val="en-US" w:eastAsia="zh-CN"/>
        </w:rPr>
      </w:pPr>
      <w:r>
        <w:rPr>
          <w:rFonts w:hint="default" w:ascii="宋体" w:hAnsi="宋体" w:eastAsia="宋体" w:cs="宋体"/>
          <w:lang w:val="en-US" w:eastAsia="zh-CN"/>
        </w:rPr>
        <w:object>
          <v:shape id="_x0000_i1025" o:spt="75" type="#_x0000_t75" style="height:336.65pt;width:530.95pt;" o:ole="t" filled="f" o:preferrelative="t" stroked="f" coordsize="21600,21600">
            <v:path/>
            <v:fill on="f" focussize="0,0"/>
            <v:stroke on="f"/>
            <v:imagedata r:id="rId14" o:title=""/>
            <o:lock v:ext="edit" aspectratio="f"/>
            <w10:wrap type="none"/>
            <w10:anchorlock/>
          </v:shape>
          <o:OLEObject Type="Embed" ProgID="Visio.Drawing.15" ShapeID="_x0000_i1025" DrawAspect="Content" ObjectID="_1468075725" r:id="rId13">
            <o:LockedField>false</o:LockedField>
          </o:OLEObject>
        </w:object>
      </w:r>
    </w:p>
    <w:p>
      <w:pPr>
        <w:pStyle w:val="49"/>
        <w:numPr>
          <w:ilvl w:val="0"/>
          <w:numId w:val="23"/>
        </w:numPr>
        <w:bidi w:val="0"/>
        <w:ind w:left="0" w:leftChars="0" w:firstLine="0" w:firstLineChars="0"/>
        <w:rPr>
          <w:rFonts w:hint="default"/>
          <w:lang w:val="en-US" w:eastAsia="zh-CN"/>
        </w:rPr>
      </w:pPr>
      <w:r>
        <w:rPr>
          <w:rFonts w:hint="eastAsia"/>
          <w:lang w:val="en-US" w:eastAsia="zh-CN"/>
        </w:rPr>
        <w:t>丰都县公安局网络现状</w:t>
      </w:r>
    </w:p>
    <w:p>
      <w:pPr>
        <w:pStyle w:val="7"/>
        <w:rPr>
          <w:rFonts w:hint="default"/>
          <w:lang w:val="en-US" w:eastAsia="zh-CN"/>
        </w:rPr>
        <w:sectPr>
          <w:pgSz w:w="16781" w:h="11849" w:orient="landscape"/>
          <w:pgMar w:top="1797" w:right="1440" w:bottom="1797" w:left="1440" w:header="850" w:footer="992" w:gutter="0"/>
          <w:pgNumType w:fmt="decimal"/>
          <w:cols w:space="0" w:num="1"/>
          <w:rtlGutter w:val="0"/>
          <w:docGrid w:type="lines" w:linePitch="397" w:charSpace="0"/>
        </w:sectPr>
      </w:pPr>
    </w:p>
    <w:p>
      <w:pPr>
        <w:pStyle w:val="7"/>
        <w:tabs>
          <w:tab w:val="clear" w:pos="575"/>
        </w:tabs>
        <w:bidi w:val="0"/>
        <w:ind w:left="0" w:leftChars="0" w:firstLine="0" w:firstLineChars="0"/>
      </w:pPr>
      <w:bookmarkStart w:id="117" w:name="_Toc6508"/>
      <w:r>
        <w:rPr>
          <w:rFonts w:hint="eastAsia"/>
        </w:rPr>
        <w:t>解析系统现状</w:t>
      </w:r>
      <w:bookmarkEnd w:id="117"/>
    </w:p>
    <w:p>
      <w:pPr>
        <w:rPr>
          <w:rFonts w:hint="eastAsia"/>
          <w:highlight w:val="none"/>
          <w:lang w:val="en-US" w:eastAsia="zh-CN"/>
        </w:rPr>
      </w:pPr>
      <w:r>
        <w:rPr>
          <w:rFonts w:hint="eastAsia" w:asciiTheme="minorEastAsia" w:hAnsiTheme="minorEastAsia" w:eastAsiaTheme="minorEastAsia"/>
          <w:lang w:val="en-US" w:eastAsia="zh-CN"/>
        </w:rPr>
        <w:t>丰</w:t>
      </w:r>
      <w:r>
        <w:rPr>
          <w:rFonts w:hint="eastAsia" w:asciiTheme="minorEastAsia" w:hAnsiTheme="minorEastAsia" w:eastAsiaTheme="minorEastAsia"/>
        </w:rPr>
        <w:t>都雪亮</w:t>
      </w:r>
      <w:r>
        <w:rPr>
          <w:rFonts w:asciiTheme="minorEastAsia" w:hAnsiTheme="minorEastAsia" w:eastAsiaTheme="minorEastAsia"/>
        </w:rPr>
        <w:t>工程</w:t>
      </w:r>
      <w:r>
        <w:rPr>
          <w:rFonts w:hint="eastAsia" w:asciiTheme="minorEastAsia" w:hAnsiTheme="minorEastAsia" w:eastAsiaTheme="minorEastAsia"/>
          <w:lang w:val="en-US" w:eastAsia="zh-CN"/>
        </w:rPr>
        <w:t>建设</w:t>
      </w:r>
      <w:r>
        <w:rPr>
          <w:rFonts w:asciiTheme="minorEastAsia" w:hAnsiTheme="minorEastAsia" w:eastAsiaTheme="minorEastAsia"/>
        </w:rPr>
        <w:t>5</w:t>
      </w:r>
      <w:r>
        <w:rPr>
          <w:rFonts w:hint="eastAsia" w:asciiTheme="minorEastAsia" w:hAnsiTheme="minorEastAsia" w:eastAsiaTheme="minorEastAsia"/>
        </w:rPr>
        <w:t>0路视频结构化</w:t>
      </w:r>
      <w:r>
        <w:rPr>
          <w:rFonts w:hint="eastAsia" w:asciiTheme="minorEastAsia" w:hAnsiTheme="minorEastAsia" w:eastAsiaTheme="minorEastAsia"/>
          <w:lang w:val="en-US" w:eastAsia="zh-CN"/>
        </w:rPr>
        <w:t>并发</w:t>
      </w:r>
      <w:r>
        <w:rPr>
          <w:rFonts w:hint="eastAsia" w:asciiTheme="minorEastAsia" w:hAnsiTheme="minorEastAsia" w:eastAsiaTheme="minorEastAsia"/>
        </w:rPr>
        <w:t>路数</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目前已全部使用</w:t>
      </w:r>
      <w:r>
        <w:rPr>
          <w:rFonts w:hint="eastAsia"/>
          <w:highlight w:val="none"/>
          <w:lang w:val="en-US" w:eastAsia="zh-CN"/>
        </w:rPr>
        <w:t>。</w:t>
      </w:r>
    </w:p>
    <w:p>
      <w:pPr>
        <w:pStyle w:val="7"/>
        <w:tabs>
          <w:tab w:val="clear" w:pos="575"/>
        </w:tabs>
        <w:bidi w:val="0"/>
        <w:ind w:left="0" w:leftChars="0" w:firstLine="0" w:firstLineChars="0"/>
      </w:pPr>
      <w:bookmarkStart w:id="118" w:name="_Toc25735"/>
      <w:r>
        <w:rPr>
          <w:rFonts w:hint="eastAsia"/>
        </w:rPr>
        <w:t>存储现状</w:t>
      </w:r>
      <w:bookmarkEnd w:id="118"/>
    </w:p>
    <w:p>
      <w:pPr>
        <w:bidi w:val="0"/>
        <w:rPr>
          <w:rFonts w:hint="eastAsia"/>
        </w:rPr>
      </w:pPr>
      <w:r>
        <w:rPr>
          <w:rFonts w:hint="eastAsia"/>
        </w:rPr>
        <w:t>应指云</w:t>
      </w:r>
      <w:r>
        <w:rPr>
          <w:rFonts w:hint="eastAsia"/>
          <w:lang w:val="en-US" w:eastAsia="zh-CN"/>
        </w:rPr>
        <w:t>建设</w:t>
      </w:r>
      <w:r>
        <w:rPr>
          <w:rFonts w:hint="eastAsia"/>
        </w:rPr>
        <w:t>存储设备一共 2170TB存储空间，目前剩余422TB左右。</w:t>
      </w:r>
    </w:p>
    <w:p>
      <w:pPr>
        <w:bidi w:val="0"/>
      </w:pPr>
      <w:r>
        <w:rPr>
          <w:rFonts w:hint="eastAsia"/>
          <w:lang w:val="en-US" w:eastAsia="zh-CN"/>
        </w:rPr>
        <w:t>雪亮工程建设</w:t>
      </w:r>
      <w:r>
        <w:rPr>
          <w:rFonts w:hint="eastAsia"/>
        </w:rPr>
        <w:t>云存储设备一共</w:t>
      </w:r>
      <w:r>
        <w:rPr>
          <w:rFonts w:hint="eastAsia"/>
          <w:lang w:val="en-US" w:eastAsia="zh-CN"/>
        </w:rPr>
        <w:t>11520</w:t>
      </w:r>
      <w:r>
        <w:rPr>
          <w:rFonts w:hint="eastAsia"/>
        </w:rPr>
        <w:t>TB存储空间，目前剩余</w:t>
      </w:r>
      <w:r>
        <w:rPr>
          <w:rFonts w:hint="eastAsia"/>
          <w:lang w:val="en-US" w:eastAsia="zh-CN"/>
        </w:rPr>
        <w:t>402</w:t>
      </w:r>
      <w:r>
        <w:rPr>
          <w:rFonts w:hint="eastAsia"/>
        </w:rPr>
        <w:t>TB左右。</w:t>
      </w:r>
    </w:p>
    <w:p>
      <w:pPr>
        <w:pStyle w:val="7"/>
        <w:tabs>
          <w:tab w:val="clear" w:pos="575"/>
        </w:tabs>
        <w:bidi w:val="0"/>
        <w:ind w:left="0" w:leftChars="0" w:firstLine="0" w:firstLineChars="0"/>
      </w:pPr>
      <w:bookmarkStart w:id="119" w:name="_Toc31363"/>
      <w:r>
        <w:rPr>
          <w:rFonts w:hint="eastAsia"/>
        </w:rPr>
        <w:t>安全系统现状</w:t>
      </w:r>
      <w:bookmarkEnd w:id="119"/>
    </w:p>
    <w:p>
      <w:pPr>
        <w:bidi w:val="0"/>
        <w:rPr>
          <w:rFonts w:hint="default"/>
          <w:lang w:val="en-US" w:eastAsia="zh-CN"/>
        </w:rPr>
      </w:pPr>
      <w:r>
        <w:rPr>
          <w:rFonts w:hint="eastAsia"/>
          <w:lang w:val="en-US" w:eastAsia="zh-CN"/>
        </w:rPr>
        <w:tab/>
      </w:r>
      <w:r>
        <w:rPr>
          <w:rFonts w:hint="eastAsia"/>
          <w:lang w:val="en-US" w:eastAsia="zh-CN"/>
        </w:rPr>
        <w:t>应指工程</w:t>
      </w:r>
      <w:r>
        <w:rPr>
          <w:rFonts w:hint="eastAsia"/>
        </w:rPr>
        <w:t>视频专网部署有千兆防火墙、入侵检测设备、网络安全审计设备、政府单位接入防火墙、安全接入平台防火墙、入侵检测系统、网络安全审计系统、漏洞扫描系统、安全认证网关等安全设备，公安网部署了视频边界接入设备（后置），能基本保障系统的安全运行。</w:t>
      </w:r>
    </w:p>
    <w:p>
      <w:pPr>
        <w:bidi w:val="0"/>
        <w:rPr>
          <w:rFonts w:hint="eastAsia"/>
        </w:rPr>
      </w:pPr>
      <w:r>
        <w:rPr>
          <w:rFonts w:hint="eastAsia"/>
          <w:lang w:val="en-US" w:eastAsia="zh-CN"/>
        </w:rPr>
        <w:t>雪亮工程安全系统</w:t>
      </w:r>
      <w:r>
        <w:rPr>
          <w:rFonts w:hint="eastAsia"/>
        </w:rPr>
        <w:t>按照《重庆公安视频云建设技术规范（试行）》进行设计，主要建设内容包括：安全管理、前端接入安全防护、横向边界安全防护、系统应用安全防护和视频数据应用防护等内容。</w:t>
      </w:r>
    </w:p>
    <w:p>
      <w:pPr>
        <w:bidi w:val="0"/>
      </w:pPr>
      <w:r>
        <w:rPr>
          <w:rFonts w:hint="eastAsia"/>
          <w:lang w:val="en-US" w:eastAsia="zh-CN"/>
        </w:rPr>
        <w:t>其中</w:t>
      </w:r>
      <w:r>
        <w:t>视频安全准入管理系统</w:t>
      </w:r>
      <w:r>
        <w:rPr>
          <w:rFonts w:hint="eastAsia"/>
          <w:lang w:val="en-US" w:eastAsia="zh-CN"/>
        </w:rPr>
        <w:t>由</w:t>
      </w:r>
      <w:r>
        <w:rPr>
          <w:rFonts w:hint="eastAsia"/>
        </w:rPr>
        <w:t>雪亮</w:t>
      </w:r>
      <w:r>
        <w:rPr>
          <w:rFonts w:hint="eastAsia"/>
          <w:lang w:val="en-US" w:eastAsia="zh-CN"/>
        </w:rPr>
        <w:t>工程</w:t>
      </w:r>
      <w:r>
        <w:t>建设，</w:t>
      </w:r>
      <w:r>
        <w:rPr>
          <w:rFonts w:hint="eastAsia"/>
          <w:lang w:val="en-US" w:eastAsia="zh-CN"/>
        </w:rPr>
        <w:t>共计建设4</w:t>
      </w:r>
      <w:r>
        <w:rPr>
          <w:rFonts w:hint="eastAsia"/>
        </w:rPr>
        <w:t>000路视频</w:t>
      </w:r>
      <w:r>
        <w:rPr>
          <w:rFonts w:hint="eastAsia"/>
          <w:lang w:val="en-US" w:eastAsia="zh-CN"/>
        </w:rPr>
        <w:t>安全准入</w:t>
      </w:r>
      <w:r>
        <w:rPr>
          <w:rFonts w:hint="eastAsia"/>
          <w:lang w:eastAsia="zh-CN"/>
        </w:rPr>
        <w:t>，</w:t>
      </w:r>
      <w:r>
        <w:rPr>
          <w:rFonts w:hint="eastAsia"/>
          <w:lang w:val="en-US" w:eastAsia="zh-CN"/>
        </w:rPr>
        <w:t>目前已使用接近3000路</w:t>
      </w:r>
      <w:r>
        <w:t>。</w:t>
      </w:r>
    </w:p>
    <w:p>
      <w:pPr>
        <w:pStyle w:val="7"/>
        <w:tabs>
          <w:tab w:val="clear" w:pos="575"/>
        </w:tabs>
        <w:bidi w:val="0"/>
        <w:ind w:left="0" w:leftChars="0" w:firstLine="0" w:firstLineChars="0"/>
      </w:pPr>
      <w:bookmarkStart w:id="120" w:name="_Toc9417"/>
      <w:bookmarkStart w:id="121" w:name="_Toc17893"/>
      <w:r>
        <w:rPr>
          <w:rFonts w:hint="eastAsia"/>
        </w:rPr>
        <w:t>机房现状</w:t>
      </w:r>
      <w:bookmarkEnd w:id="120"/>
      <w:bookmarkEnd w:id="121"/>
    </w:p>
    <w:p>
      <w:pPr>
        <w:bidi w:val="0"/>
        <w:rPr>
          <w:rFonts w:hint="default"/>
          <w:lang w:val="en-US" w:eastAsia="zh-CN"/>
        </w:rPr>
      </w:pPr>
      <w:r>
        <w:rPr>
          <w:rFonts w:hint="eastAsia"/>
          <w:lang w:val="en-US" w:eastAsia="zh-CN"/>
        </w:rPr>
        <w:t>1、应指机房</w:t>
      </w:r>
    </w:p>
    <w:p>
      <w:pPr>
        <w:bidi w:val="0"/>
      </w:pPr>
      <w:r>
        <w:rPr>
          <w:rFonts w:hint="eastAsia"/>
        </w:rPr>
        <w:t>丰都县应指工程视频网相关机房系统，建设了一个主机房、一个配电室、一个UPS电池室，一个柴发室，在公安局大楼负一楼。机房详细情况如下：</w:t>
      </w:r>
    </w:p>
    <w:p>
      <w:pPr>
        <w:bidi w:val="0"/>
      </w:pPr>
      <w:r>
        <w:rPr>
          <w:rFonts w:hint="eastAsia"/>
        </w:rPr>
        <w:t>配电室：建筑面积30平方米，配5 KW基站空调3台、配电柜5台、300KVA UPS 2台、铅酸蓄电池240节。</w:t>
      </w:r>
    </w:p>
    <w:p>
      <w:pPr>
        <w:bidi w:val="0"/>
        <w:rPr>
          <w:rFonts w:hint="eastAsia"/>
        </w:rPr>
      </w:pPr>
      <w:r>
        <w:rPr>
          <w:rFonts w:hint="eastAsia"/>
        </w:rPr>
        <w:t>应指机房：建筑面积160平方米，配9.6 KW精密空调8 台，42U标准机柜32个，其中空余机柜仅剩余1个，其余部分机柜为半柜状态，故总体机柜剩余容量约为6个标准机柜空间。</w:t>
      </w:r>
    </w:p>
    <w:p>
      <w:pPr>
        <w:bidi w:val="0"/>
        <w:rPr>
          <w:rFonts w:hint="default"/>
          <w:lang w:val="en-US" w:eastAsia="zh-CN"/>
        </w:rPr>
      </w:pPr>
      <w:r>
        <w:rPr>
          <w:rFonts w:hint="eastAsia"/>
          <w:lang w:val="en-US" w:eastAsia="zh-CN"/>
        </w:rPr>
        <w:t>2、雪亮机房</w:t>
      </w:r>
    </w:p>
    <w:p>
      <w:pPr>
        <w:bidi w:val="0"/>
        <w:rPr>
          <w:rFonts w:hint="eastAsia"/>
          <w:lang w:val="en-US" w:eastAsia="zh-CN"/>
        </w:rPr>
      </w:pPr>
      <w:r>
        <w:rPr>
          <w:rFonts w:hint="eastAsia"/>
        </w:rPr>
        <w:t>丰都县</w:t>
      </w:r>
      <w:r>
        <w:rPr>
          <w:rFonts w:hint="eastAsia"/>
          <w:lang w:val="en-US" w:eastAsia="zh-CN"/>
        </w:rPr>
        <w:t>雪亮工程机房建设</w:t>
      </w:r>
      <w:r>
        <w:rPr>
          <w:rFonts w:hint="eastAsia"/>
        </w:rPr>
        <w:t>位于公安分局</w:t>
      </w:r>
      <w:r>
        <w:rPr>
          <w:rFonts w:hint="eastAsia"/>
          <w:lang w:val="en-US" w:eastAsia="zh-CN"/>
        </w:rPr>
        <w:t>六楼</w:t>
      </w:r>
      <w:r>
        <w:rPr>
          <w:rFonts w:hint="eastAsia"/>
        </w:rPr>
        <w:t>，机房长</w:t>
      </w:r>
      <w:r>
        <w:rPr>
          <w:rFonts w:hint="eastAsia"/>
          <w:lang w:val="en-US" w:eastAsia="zh-CN"/>
        </w:rPr>
        <w:t>10</w:t>
      </w:r>
      <w:r>
        <w:rPr>
          <w:rFonts w:hint="eastAsia"/>
        </w:rPr>
        <w:t>.</w:t>
      </w:r>
      <w:r>
        <w:rPr>
          <w:rFonts w:hint="eastAsia"/>
          <w:lang w:val="en-US" w:eastAsia="zh-CN"/>
        </w:rPr>
        <w:t>5</w:t>
      </w:r>
      <w:r>
        <w:rPr>
          <w:rFonts w:hint="eastAsia"/>
        </w:rPr>
        <w:t>m，宽7m</w:t>
      </w:r>
      <w:r>
        <w:rPr>
          <w:rFonts w:hint="eastAsia"/>
          <w:lang w:eastAsia="zh-CN"/>
        </w:rPr>
        <w:t>，</w:t>
      </w:r>
      <w:r>
        <w:rPr>
          <w:rFonts w:hint="eastAsia"/>
        </w:rPr>
        <w:t>面积</w:t>
      </w:r>
      <w:r>
        <w:rPr>
          <w:rFonts w:hint="eastAsia"/>
          <w:lang w:val="en-US" w:eastAsia="zh-CN"/>
        </w:rPr>
        <w:t>73.5</w:t>
      </w:r>
      <w:r>
        <w:rPr>
          <w:rFonts w:hint="eastAsia"/>
        </w:rPr>
        <w:t>㎡，</w:t>
      </w:r>
      <w:r>
        <w:rPr>
          <w:rFonts w:hint="eastAsia"/>
          <w:lang w:val="en-US" w:eastAsia="zh-CN"/>
        </w:rPr>
        <w:t>配置20个标准服务机柜。</w:t>
      </w:r>
    </w:p>
    <w:p>
      <w:pPr>
        <w:pStyle w:val="18"/>
        <w:rPr>
          <w:rFonts w:hint="default"/>
          <w:lang w:val="en-US" w:eastAsia="zh-CN"/>
        </w:rPr>
      </w:pPr>
      <w:r>
        <w:rPr>
          <w:rFonts w:hint="eastAsia"/>
          <w:lang w:val="en-US" w:eastAsia="zh-CN"/>
        </w:rPr>
        <w:t>雪亮机房配置有2台额定功率为152KW的列头柜用于机房机柜供电，其中雪亮工程建设的设备预计总功率为59KW。</w:t>
      </w:r>
    </w:p>
    <w:p>
      <w:pPr>
        <w:pStyle w:val="6"/>
        <w:rPr>
          <w:rFonts w:hint="eastAsia"/>
          <w:color w:val="auto"/>
          <w:highlight w:val="none"/>
          <w:lang w:val="en-US" w:eastAsia="zh-CN"/>
        </w:rPr>
      </w:pPr>
      <w:bookmarkStart w:id="122" w:name="_Toc27743"/>
      <w:r>
        <w:rPr>
          <w:rFonts w:hint="eastAsia"/>
          <w:color w:val="auto"/>
          <w:highlight w:val="none"/>
          <w:lang w:val="en-US" w:eastAsia="zh-CN"/>
        </w:rPr>
        <w:t>综合帮扶项目监控系统现状</w:t>
      </w:r>
      <w:bookmarkEnd w:id="122"/>
    </w:p>
    <w:p>
      <w:pPr>
        <w:pStyle w:val="7"/>
        <w:bidi w:val="0"/>
        <w:rPr>
          <w:rFonts w:hint="eastAsia"/>
          <w:lang w:val="en-US" w:eastAsia="zh-CN"/>
        </w:rPr>
      </w:pPr>
      <w:r>
        <w:rPr>
          <w:rFonts w:hint="eastAsia"/>
          <w:lang w:val="en-US" w:eastAsia="zh-CN"/>
        </w:rPr>
        <w:t>前端点位建设现状</w:t>
      </w:r>
    </w:p>
    <w:p>
      <w:pPr>
        <w:rPr>
          <w:rFonts w:hint="eastAsia"/>
          <w:color w:val="auto"/>
          <w:highlight w:val="none"/>
          <w:lang w:val="en-US" w:eastAsia="zh-CN"/>
        </w:rPr>
      </w:pPr>
      <w:r>
        <w:rPr>
          <w:rFonts w:hint="eastAsia"/>
          <w:color w:val="auto"/>
          <w:highlight w:val="none"/>
          <w:lang w:val="en-US" w:eastAsia="zh-CN"/>
        </w:rPr>
        <w:t>经过前期调研勘察，发现</w:t>
      </w:r>
      <w:r>
        <w:rPr>
          <w:rFonts w:hint="eastAsia"/>
          <w:lang w:val="en-US" w:eastAsia="zh-CN"/>
        </w:rPr>
        <w:t>各个镇街、社区无监控视频展示环境，并且前端监控系统的镜头、传输、供电、以及收发装置中有不同程度的损坏。监控建设具体</w:t>
      </w:r>
      <w:r>
        <w:rPr>
          <w:rFonts w:hint="eastAsia"/>
          <w:color w:val="auto"/>
          <w:highlight w:val="none"/>
          <w:lang w:val="en-US" w:eastAsia="zh-CN"/>
        </w:rPr>
        <w:t>现状如下：</w:t>
      </w:r>
    </w:p>
    <w:p>
      <w:pPr>
        <w:pStyle w:val="40"/>
        <w:bidi w:val="0"/>
        <w:rPr>
          <w:rFonts w:hint="eastAsia"/>
          <w:lang w:val="en-US" w:eastAsia="zh-CN"/>
        </w:rPr>
      </w:pPr>
      <w:r>
        <w:rPr>
          <w:rFonts w:hint="eastAsia"/>
          <w:lang w:val="en-US" w:eastAsia="zh-CN"/>
        </w:rPr>
        <w:t>监控现状</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87"/>
        <w:gridCol w:w="709"/>
        <w:gridCol w:w="1152"/>
        <w:gridCol w:w="600"/>
        <w:gridCol w:w="654"/>
        <w:gridCol w:w="641"/>
        <w:gridCol w:w="689"/>
        <w:gridCol w:w="683"/>
        <w:gridCol w:w="1027"/>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0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41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镇街</w:t>
            </w:r>
          </w:p>
        </w:tc>
        <w:tc>
          <w:tcPr>
            <w:tcW w:w="67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w:t>
            </w:r>
          </w:p>
        </w:tc>
        <w:tc>
          <w:tcPr>
            <w:tcW w:w="3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球机</w:t>
            </w:r>
          </w:p>
        </w:tc>
        <w:tc>
          <w:tcPr>
            <w:tcW w:w="38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枪机</w:t>
            </w:r>
          </w:p>
        </w:tc>
        <w:tc>
          <w:tcPr>
            <w:tcW w:w="37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立杆3米</w:t>
            </w:r>
          </w:p>
        </w:tc>
        <w:tc>
          <w:tcPr>
            <w:tcW w:w="4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立杆5米</w:t>
            </w:r>
          </w:p>
        </w:tc>
        <w:tc>
          <w:tcPr>
            <w:tcW w:w="40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立杆6米</w:t>
            </w:r>
          </w:p>
        </w:tc>
        <w:tc>
          <w:tcPr>
            <w:tcW w:w="6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机箱</w:t>
            </w:r>
          </w:p>
        </w:tc>
        <w:tc>
          <w:tcPr>
            <w:tcW w:w="96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0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8"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三合街道</w:t>
            </w:r>
          </w:p>
        </w:tc>
        <w:tc>
          <w:tcPr>
            <w:tcW w:w="67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南天湖东路社区</w:t>
            </w:r>
          </w:p>
        </w:tc>
        <w:tc>
          <w:tcPr>
            <w:tcW w:w="3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38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37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40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06"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50</w:t>
            </w:r>
          </w:p>
        </w:tc>
        <w:tc>
          <w:tcPr>
            <w:tcW w:w="961"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0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8"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67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w:t>
            </w:r>
          </w:p>
        </w:tc>
        <w:tc>
          <w:tcPr>
            <w:tcW w:w="3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38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7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606"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28</w:t>
            </w:r>
          </w:p>
        </w:tc>
        <w:tc>
          <w:tcPr>
            <w:tcW w:w="961"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both"/>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0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18"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67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w:t>
            </w:r>
          </w:p>
        </w:tc>
        <w:tc>
          <w:tcPr>
            <w:tcW w:w="3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8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37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06"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71</w:t>
            </w:r>
          </w:p>
        </w:tc>
        <w:tc>
          <w:tcPr>
            <w:tcW w:w="961"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both"/>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0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18"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67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w:t>
            </w:r>
          </w:p>
        </w:tc>
        <w:tc>
          <w:tcPr>
            <w:tcW w:w="3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8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7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4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06"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24</w:t>
            </w:r>
          </w:p>
        </w:tc>
        <w:tc>
          <w:tcPr>
            <w:tcW w:w="961"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both"/>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0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8"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67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w:t>
            </w:r>
          </w:p>
        </w:tc>
        <w:tc>
          <w:tcPr>
            <w:tcW w:w="3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38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7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40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87</w:t>
            </w:r>
          </w:p>
        </w:tc>
        <w:tc>
          <w:tcPr>
            <w:tcW w:w="96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缺失6个球机监控点位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0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18"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67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w:t>
            </w:r>
          </w:p>
        </w:tc>
        <w:tc>
          <w:tcPr>
            <w:tcW w:w="3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r>
              <w:rPr>
                <w:rFonts w:hint="eastAsia" w:cs="宋体"/>
                <w:i w:val="0"/>
                <w:iCs w:val="0"/>
                <w:color w:val="000000"/>
                <w:kern w:val="0"/>
                <w:sz w:val="21"/>
                <w:szCs w:val="21"/>
                <w:u w:val="none"/>
                <w:lang w:val="en-US" w:eastAsia="zh-CN" w:bidi="ar"/>
              </w:rPr>
              <w:t>4</w:t>
            </w:r>
          </w:p>
        </w:tc>
        <w:tc>
          <w:tcPr>
            <w:tcW w:w="38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6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96</w:t>
            </w:r>
          </w:p>
        </w:tc>
        <w:tc>
          <w:tcPr>
            <w:tcW w:w="96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3个点位无镜头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0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418"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67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w:t>
            </w:r>
          </w:p>
        </w:tc>
        <w:tc>
          <w:tcPr>
            <w:tcW w:w="3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8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37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06"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40</w:t>
            </w:r>
          </w:p>
        </w:tc>
        <w:tc>
          <w:tcPr>
            <w:tcW w:w="961"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both"/>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18"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67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w:t>
            </w:r>
          </w:p>
        </w:tc>
        <w:tc>
          <w:tcPr>
            <w:tcW w:w="3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38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7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606"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70</w:t>
            </w:r>
          </w:p>
        </w:tc>
        <w:tc>
          <w:tcPr>
            <w:tcW w:w="961"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both"/>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418"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67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w:t>
            </w:r>
          </w:p>
        </w:tc>
        <w:tc>
          <w:tcPr>
            <w:tcW w:w="3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38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7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4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75</w:t>
            </w:r>
          </w:p>
        </w:tc>
        <w:tc>
          <w:tcPr>
            <w:tcW w:w="96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杆体损坏1根，1个点位无镜头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18"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67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w:t>
            </w:r>
          </w:p>
        </w:tc>
        <w:tc>
          <w:tcPr>
            <w:tcW w:w="3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8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7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40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06"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30</w:t>
            </w:r>
          </w:p>
        </w:tc>
        <w:tc>
          <w:tcPr>
            <w:tcW w:w="961"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both"/>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418"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名山街道</w:t>
            </w:r>
          </w:p>
        </w:tc>
        <w:tc>
          <w:tcPr>
            <w:tcW w:w="67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w:t>
            </w:r>
          </w:p>
        </w:tc>
        <w:tc>
          <w:tcPr>
            <w:tcW w:w="3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38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7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0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12</w:t>
            </w:r>
          </w:p>
        </w:tc>
        <w:tc>
          <w:tcPr>
            <w:tcW w:w="96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两个监控杆损坏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18"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67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花园社区</w:t>
            </w:r>
          </w:p>
        </w:tc>
        <w:tc>
          <w:tcPr>
            <w:tcW w:w="3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8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7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10</w:t>
            </w:r>
          </w:p>
        </w:tc>
        <w:tc>
          <w:tcPr>
            <w:tcW w:w="96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处于拆迁区域，损坏严重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41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w:t>
            </w:r>
          </w:p>
        </w:tc>
        <w:tc>
          <w:tcPr>
            <w:tcW w:w="679"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38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7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40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56</w:t>
            </w:r>
          </w:p>
        </w:tc>
        <w:tc>
          <w:tcPr>
            <w:tcW w:w="96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高家镇由镇统一建设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5"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14</w:t>
            </w:r>
          </w:p>
        </w:tc>
        <w:tc>
          <w:tcPr>
            <w:tcW w:w="41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679"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r>
              <w:rPr>
                <w:rFonts w:hint="eastAsia" w:cs="宋体"/>
                <w:i w:val="0"/>
                <w:iCs w:val="0"/>
                <w:color w:val="000000"/>
                <w:kern w:val="0"/>
                <w:sz w:val="21"/>
                <w:szCs w:val="21"/>
                <w:u w:val="none"/>
                <w:lang w:val="en-US" w:eastAsia="zh-CN" w:bidi="ar"/>
              </w:rPr>
              <w:t>4</w:t>
            </w:r>
          </w:p>
        </w:tc>
        <w:tc>
          <w:tcPr>
            <w:tcW w:w="38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343</w:t>
            </w:r>
          </w:p>
        </w:tc>
        <w:tc>
          <w:tcPr>
            <w:tcW w:w="37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40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215</w:t>
            </w:r>
          </w:p>
        </w:tc>
        <w:tc>
          <w:tcPr>
            <w:tcW w:w="40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w:t>
            </w:r>
          </w:p>
        </w:tc>
        <w:tc>
          <w:tcPr>
            <w:tcW w:w="606"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649</w:t>
            </w:r>
          </w:p>
        </w:tc>
        <w:tc>
          <w:tcPr>
            <w:tcW w:w="961" w:type="pct"/>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宋体" w:hAnsi="宋体" w:eastAsia="宋体" w:cs="宋体"/>
                <w:i w:val="0"/>
                <w:iCs w:val="0"/>
                <w:color w:val="000000"/>
                <w:sz w:val="21"/>
                <w:szCs w:val="21"/>
                <w:u w:val="none"/>
                <w:lang w:val="en-US" w:eastAsia="zh-CN"/>
              </w:rPr>
            </w:pPr>
          </w:p>
        </w:tc>
      </w:tr>
    </w:tbl>
    <w:p>
      <w:pPr>
        <w:pStyle w:val="7"/>
        <w:bidi w:val="0"/>
        <w:rPr>
          <w:rFonts w:hint="default"/>
          <w:lang w:val="en-US" w:eastAsia="zh-CN"/>
        </w:rPr>
      </w:pPr>
      <w:r>
        <w:rPr>
          <w:rFonts w:hint="eastAsia"/>
          <w:lang w:val="en-US" w:eastAsia="zh-CN"/>
        </w:rPr>
        <w:t>网络现状</w:t>
      </w:r>
    </w:p>
    <w:p>
      <w:pPr>
        <w:rPr>
          <w:rFonts w:hint="default"/>
          <w:color w:val="auto"/>
          <w:lang w:val="en-US" w:eastAsia="zh-CN"/>
        </w:rPr>
      </w:pPr>
      <w:r>
        <w:rPr>
          <w:rFonts w:hint="eastAsia"/>
          <w:color w:val="auto"/>
          <w:lang w:val="en-US" w:eastAsia="zh-CN"/>
        </w:rPr>
        <w:t>三合街道南天湖东路社区、雪玉路社区、滨江西路社区、南天湖西路社区、南天湖中路社区、滨江东路社区、滨江中路社区、平都东路社区、平都中路社区、平都西路社区以及名山街道双桂社区、花园社区的前端摄像机均通过自建光缆直接接入各个社区监控室。高家镇前端摄像机通过自建光缆接入高家镇政府监控指挥室。如下图所示：</w:t>
      </w:r>
    </w:p>
    <w:p>
      <w:pPr>
        <w:pStyle w:val="27"/>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hint="default"/>
          <w:lang w:val="en-US"/>
        </w:rPr>
      </w:pPr>
      <w:r>
        <w:rPr>
          <w:rFonts w:hint="default"/>
          <w:lang w:val="en-US"/>
        </w:rPr>
        <w:object>
          <v:shape id="_x0000_i1026" o:spt="75" type="#_x0000_t75" style="height:189.3pt;width:412.05pt;" o:ole="t" filled="f" o:preferrelative="t" stroked="f" coordsize="21600,21600">
            <v:path/>
            <v:fill on="f" focussize="0,0"/>
            <v:stroke on="f"/>
            <v:imagedata r:id="rId16" o:title=""/>
            <o:lock v:ext="edit" aspectratio="f"/>
            <w10:wrap type="none"/>
            <w10:anchorlock/>
          </v:shape>
          <o:OLEObject Type="Embed" ProgID="Visio.Drawing.15" ShapeID="_x0000_i1026" DrawAspect="Content" ObjectID="_1468075726" r:id="rId15">
            <o:LockedField>false</o:LockedField>
          </o:OLEObject>
        </w:object>
      </w:r>
    </w:p>
    <w:p>
      <w:pPr>
        <w:pStyle w:val="49"/>
        <w:numPr>
          <w:ilvl w:val="0"/>
          <w:numId w:val="23"/>
        </w:numPr>
        <w:bidi w:val="0"/>
        <w:ind w:left="0" w:leftChars="0" w:firstLine="0" w:firstLineChars="0"/>
        <w:rPr>
          <w:rFonts w:hint="default"/>
          <w:lang w:val="en-US" w:eastAsia="zh-CN"/>
        </w:rPr>
      </w:pPr>
      <w:r>
        <w:rPr>
          <w:rFonts w:hint="eastAsia"/>
          <w:lang w:val="en-US" w:eastAsia="zh-CN"/>
        </w:rPr>
        <w:t>帮扶工程监控网络现状</w:t>
      </w:r>
    </w:p>
    <w:bookmarkEnd w:id="99"/>
    <w:p>
      <w:pPr>
        <w:pStyle w:val="6"/>
        <w:bidi w:val="0"/>
        <w:rPr>
          <w:rFonts w:hint="default"/>
          <w:lang w:val="en-US" w:eastAsia="zh-CN"/>
        </w:rPr>
      </w:pPr>
      <w:bookmarkStart w:id="123" w:name="_Toc20441"/>
      <w:bookmarkStart w:id="124" w:name="_Toc452127484"/>
      <w:bookmarkStart w:id="125" w:name="_Toc29890"/>
      <w:r>
        <w:rPr>
          <w:rFonts w:hint="eastAsia"/>
          <w:lang w:val="en-US" w:eastAsia="zh-CN"/>
        </w:rPr>
        <w:t>自动水质监测站现状</w:t>
      </w:r>
      <w:bookmarkEnd w:id="123"/>
    </w:p>
    <w:p>
      <w:pPr>
        <w:bidi w:val="0"/>
        <w:rPr>
          <w:rFonts w:hint="default" w:eastAsia="宋体"/>
          <w:lang w:val="en-US" w:eastAsia="zh-CN"/>
        </w:rPr>
      </w:pPr>
      <w:r>
        <w:rPr>
          <w:rFonts w:hint="eastAsia"/>
        </w:rPr>
        <w:t>针对河流的重点断面（乡镇界断面、汇流口断面等）、重点水源地水库建设水质自动监测站，通过取水、原水预处理、分析仪表测定、数据采集等过程，实现常规五参数（水温、PH值、电导率、溶解氧、浊度）、氨氮、高锰酸盐指数、总磷、总氮等，完成水质遥测数据收集、存储和分析（且监测项目可根据实际需求进行增减），同时为各级河长及时、全面、准确地掌握重点断面的水质时空变化、水环境质量状况和提高决策管理效率提供自动化科技手段。</w:t>
      </w:r>
      <w:r>
        <w:rPr>
          <w:rFonts w:hint="eastAsia"/>
          <w:lang w:val="en-US" w:eastAsia="zh-CN"/>
        </w:rPr>
        <w:t>目前丰都县碧溪河流域建设有</w:t>
      </w:r>
      <w:r>
        <w:rPr>
          <w:rFonts w:hint="eastAsia"/>
        </w:rPr>
        <w:t>社坛上杨家桥</w:t>
      </w:r>
      <w:r>
        <w:rPr>
          <w:rFonts w:hint="eastAsia"/>
          <w:lang w:eastAsia="zh-CN"/>
        </w:rPr>
        <w:t>、</w:t>
      </w:r>
      <w:r>
        <w:rPr>
          <w:rFonts w:hint="eastAsia"/>
        </w:rPr>
        <w:t>保合三星桥</w:t>
      </w:r>
      <w:r>
        <w:rPr>
          <w:rFonts w:hint="eastAsia"/>
          <w:lang w:val="en-US" w:eastAsia="zh-CN"/>
        </w:rPr>
        <w:t>和</w:t>
      </w:r>
      <w:r>
        <w:rPr>
          <w:rFonts w:hint="eastAsia"/>
        </w:rPr>
        <w:t>仁沙磨滩</w:t>
      </w:r>
      <w:r>
        <w:rPr>
          <w:rFonts w:hint="eastAsia"/>
          <w:lang w:val="en-US" w:eastAsia="zh-CN"/>
        </w:rPr>
        <w:t>三个水质监测站，分别在配置各个水质监测站配置五参数分析仪、</w:t>
      </w:r>
      <w:r>
        <w:rPr>
          <w:rFonts w:hint="eastAsia"/>
        </w:rPr>
        <w:t>氨氮水质在线分析仪</w:t>
      </w:r>
      <w:r>
        <w:rPr>
          <w:rFonts w:hint="eastAsia"/>
          <w:lang w:eastAsia="zh-CN"/>
        </w:rPr>
        <w:t>、</w:t>
      </w:r>
      <w:r>
        <w:rPr>
          <w:rFonts w:hint="eastAsia"/>
        </w:rPr>
        <w:t>高锰酸盐指数水质在线分析仪</w:t>
      </w:r>
      <w:r>
        <w:rPr>
          <w:rFonts w:hint="eastAsia"/>
          <w:lang w:eastAsia="zh-CN"/>
        </w:rPr>
        <w:t>、</w:t>
      </w:r>
      <w:r>
        <w:rPr>
          <w:rFonts w:hint="eastAsia"/>
        </w:rPr>
        <w:t>总磷水质在线分析仪</w:t>
      </w:r>
      <w:r>
        <w:rPr>
          <w:rFonts w:hint="eastAsia"/>
          <w:lang w:eastAsia="zh-CN"/>
        </w:rPr>
        <w:t>、</w:t>
      </w:r>
      <w:r>
        <w:rPr>
          <w:rFonts w:hint="eastAsia"/>
        </w:rPr>
        <w:t>总氮水质在线分析仪</w:t>
      </w:r>
      <w:r>
        <w:rPr>
          <w:rFonts w:hint="eastAsia"/>
          <w:lang w:val="en-US" w:eastAsia="zh-CN"/>
        </w:rPr>
        <w:t>等五台设备各一台。具体的品牌型号如下：</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5"/>
        <w:gridCol w:w="3636"/>
        <w:gridCol w:w="1611"/>
        <w:gridCol w:w="22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blHeader/>
        </w:trPr>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设备名称</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品牌</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五参数分析仪</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理工环科</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WQMS2000-MS5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氨氮水质在线分析仪</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理工环科</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WQMS2000-NHN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高锰酸盐指数水质在线分析仪</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理工环科</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WQMS2000-CODmn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总磷水质在线分析仪</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理工环科</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WQMS2000-TP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总氮水质在线分析仪</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理工环科</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WQMS2000-TN</w:t>
            </w:r>
          </w:p>
        </w:tc>
      </w:tr>
    </w:tbl>
    <w:p>
      <w:pPr>
        <w:bidi w:val="0"/>
        <w:ind w:left="0" w:leftChars="0" w:firstLine="0" w:firstLineChars="0"/>
        <w:rPr>
          <w:rFonts w:hint="eastAsia"/>
          <w:lang w:val="en-US" w:eastAsia="zh-CN"/>
        </w:rPr>
      </w:pPr>
    </w:p>
    <w:p>
      <w:pPr>
        <w:bidi w:val="0"/>
        <w:rPr>
          <w:rFonts w:hint="default"/>
          <w:lang w:val="en-US" w:eastAsia="zh-CN"/>
        </w:rPr>
      </w:pPr>
      <w:r>
        <w:rPr>
          <w:rFonts w:hint="eastAsia"/>
          <w:lang w:val="en-US" w:eastAsia="zh-CN"/>
        </w:rPr>
        <w:t>目前丰都水利局在进行水质自动监测站维护工作时，发现三个水质监测站内仪器设施有不同程度的缺失、损坏等情况。</w:t>
      </w:r>
    </w:p>
    <w:p>
      <w:pPr>
        <w:pStyle w:val="7"/>
        <w:bidi w:val="0"/>
        <w:rPr>
          <w:rFonts w:hint="eastAsia"/>
          <w:lang w:val="en-US" w:eastAsia="zh-CN"/>
        </w:rPr>
      </w:pPr>
      <w:r>
        <w:rPr>
          <w:rFonts w:hint="eastAsia"/>
          <w:lang w:val="en-US" w:eastAsia="zh-CN"/>
        </w:rPr>
        <w:t>社坛上杨家桥水质监测站</w:t>
      </w:r>
    </w:p>
    <w:p>
      <w:pPr>
        <w:rPr>
          <w:rFonts w:hint="eastAsia"/>
          <w:lang w:val="en-US" w:eastAsia="zh-CN"/>
        </w:rPr>
      </w:pPr>
      <w:r>
        <w:rPr>
          <w:rFonts w:hint="eastAsia"/>
          <w:lang w:val="en-US" w:eastAsia="zh-CN"/>
        </w:rPr>
        <w:t>丰都水利局在进行水质自动监测站维护工作时，发现有些设备存在如下问题：</w:t>
      </w:r>
    </w:p>
    <w:p>
      <w:pPr>
        <w:keepNext w:val="0"/>
        <w:keepLines w:val="0"/>
        <w:pageBreakBefore w:val="0"/>
        <w:widowControl w:val="0"/>
        <w:numPr>
          <w:ilvl w:val="0"/>
          <w:numId w:val="24"/>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default"/>
          <w:lang w:val="en-US" w:eastAsia="zh-CN"/>
        </w:rPr>
        <w:t>氨氮仪器</w:t>
      </w:r>
      <w:r>
        <w:rPr>
          <w:rFonts w:hint="eastAsia"/>
          <w:lang w:val="en-US" w:eastAsia="zh-CN"/>
        </w:rPr>
        <w:t>：氨氮仪器屏幕略微失灵，重启后仪器时间变成2000年01月1日，同时仪器内数据丢失只能从工控机查看数据；设备缺少液位传感器导致偶尔报出低试剂预警。</w:t>
      </w:r>
    </w:p>
    <w:p>
      <w:pPr>
        <w:keepNext w:val="0"/>
        <w:keepLines w:val="0"/>
        <w:pageBreakBefore w:val="0"/>
        <w:widowControl w:val="0"/>
        <w:numPr>
          <w:ilvl w:val="0"/>
          <w:numId w:val="24"/>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eastAsia"/>
          <w:lang w:val="en-US" w:eastAsia="zh-CN"/>
        </w:rPr>
        <w:t>COD：COD十通阀存在串液问题，在吸取标液时会误吸纯水导致测标液时零值，该问题一直存在，需更换一套COD液位传感器。</w:t>
      </w:r>
    </w:p>
    <w:p>
      <w:pPr>
        <w:keepNext w:val="0"/>
        <w:keepLines w:val="0"/>
        <w:pageBreakBefore w:val="0"/>
        <w:widowControl w:val="0"/>
        <w:numPr>
          <w:ilvl w:val="0"/>
          <w:numId w:val="24"/>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default"/>
          <w:lang w:val="en-US" w:eastAsia="zh-CN"/>
        </w:rPr>
        <w:t>总磷仪器</w:t>
      </w:r>
      <w:r>
        <w:rPr>
          <w:rFonts w:hint="eastAsia"/>
          <w:lang w:val="en-US" w:eastAsia="zh-CN"/>
        </w:rPr>
        <w:t>：总磷仪器屏幕大部分失灵无法点击，重启后仪器时间变成2000年01月1日，同时仪器内数据丢失只能从工控机查看数据。</w:t>
      </w:r>
    </w:p>
    <w:p>
      <w:pPr>
        <w:keepNext w:val="0"/>
        <w:keepLines w:val="0"/>
        <w:pageBreakBefore w:val="0"/>
        <w:widowControl w:val="0"/>
        <w:numPr>
          <w:ilvl w:val="0"/>
          <w:numId w:val="24"/>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default"/>
          <w:lang w:val="en-US" w:eastAsia="zh-CN"/>
        </w:rPr>
        <w:t>五参数仪器</w:t>
      </w:r>
      <w:r>
        <w:rPr>
          <w:rFonts w:hint="eastAsia"/>
          <w:lang w:val="en-US" w:eastAsia="zh-CN"/>
        </w:rPr>
        <w:t>：监测站</w:t>
      </w:r>
      <w:r>
        <w:rPr>
          <w:rFonts w:hint="default"/>
          <w:lang w:val="en-US" w:eastAsia="zh-CN"/>
        </w:rPr>
        <w:t>五参数中PH、浊度</w:t>
      </w:r>
      <w:r>
        <w:rPr>
          <w:rFonts w:hint="eastAsia"/>
          <w:lang w:val="en-US" w:eastAsia="zh-CN"/>
        </w:rPr>
        <w:t>数据异常，</w:t>
      </w:r>
      <w:r>
        <w:rPr>
          <w:rFonts w:hint="default"/>
          <w:lang w:val="en-US" w:eastAsia="zh-CN"/>
        </w:rPr>
        <w:t>探头电极需更换。</w:t>
      </w:r>
    </w:p>
    <w:p>
      <w:pPr>
        <w:pStyle w:val="7"/>
        <w:bidi w:val="0"/>
        <w:rPr>
          <w:rFonts w:hint="eastAsia"/>
          <w:lang w:val="en-US" w:eastAsia="zh-CN"/>
        </w:rPr>
      </w:pPr>
      <w:r>
        <w:rPr>
          <w:rFonts w:hint="eastAsia"/>
          <w:lang w:val="en-US" w:eastAsia="zh-CN"/>
        </w:rPr>
        <w:t>保合三星桥水质监测站</w:t>
      </w:r>
    </w:p>
    <w:p>
      <w:pPr>
        <w:keepNext w:val="0"/>
        <w:keepLines w:val="0"/>
        <w:pageBreakBefore w:val="0"/>
        <w:widowControl w:val="0"/>
        <w:numPr>
          <w:ilvl w:val="0"/>
          <w:numId w:val="25"/>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default"/>
          <w:lang w:val="en-US" w:eastAsia="zh-CN"/>
        </w:rPr>
        <w:t>氨氮仪器</w:t>
      </w:r>
      <w:r>
        <w:rPr>
          <w:rFonts w:hint="eastAsia"/>
          <w:lang w:val="en-US" w:eastAsia="zh-CN"/>
        </w:rPr>
        <w:t>：氨氮仪器屏幕略微失灵，重启后仪器时间变成2000年01月1日，同时仪器内数据丢失只能从工控机查看数据；沉淀池进样电磁阀故障，无法上水，仪器报缺水故障。</w:t>
      </w:r>
    </w:p>
    <w:p>
      <w:pPr>
        <w:keepNext w:val="0"/>
        <w:keepLines w:val="0"/>
        <w:pageBreakBefore w:val="0"/>
        <w:widowControl w:val="0"/>
        <w:numPr>
          <w:ilvl w:val="0"/>
          <w:numId w:val="25"/>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default"/>
          <w:lang w:val="en-US" w:eastAsia="zh-CN"/>
        </w:rPr>
        <w:t>总磷仪器</w:t>
      </w:r>
      <w:r>
        <w:rPr>
          <w:rFonts w:hint="eastAsia"/>
          <w:lang w:val="en-US" w:eastAsia="zh-CN"/>
        </w:rPr>
        <w:t>：总磷仪器屏幕大部分失灵无法点击，重启后仪器时间变成2000年01月1日，同时仪器内数据丢失只能从工控机查看数据。</w:t>
      </w:r>
    </w:p>
    <w:p>
      <w:pPr>
        <w:keepNext w:val="0"/>
        <w:keepLines w:val="0"/>
        <w:pageBreakBefore w:val="0"/>
        <w:widowControl w:val="0"/>
        <w:numPr>
          <w:ilvl w:val="0"/>
          <w:numId w:val="25"/>
        </w:numPr>
        <w:kinsoku/>
        <w:wordWrap/>
        <w:overflowPunct/>
        <w:topLinePunct w:val="0"/>
        <w:autoSpaceDE/>
        <w:autoSpaceDN/>
        <w:bidi w:val="0"/>
        <w:adjustRightInd/>
        <w:snapToGrid w:val="0"/>
        <w:ind w:left="0" w:leftChars="0" w:firstLine="524" w:firstLineChars="200"/>
        <w:textAlignment w:val="auto"/>
        <w:rPr>
          <w:rFonts w:hint="default"/>
          <w:lang w:val="en-US" w:eastAsia="zh-CN"/>
        </w:rPr>
      </w:pPr>
      <w:r>
        <w:rPr>
          <w:rFonts w:hint="default"/>
          <w:lang w:val="en-US" w:eastAsia="zh-CN"/>
        </w:rPr>
        <w:t>五参数仪器</w:t>
      </w:r>
      <w:r>
        <w:rPr>
          <w:rFonts w:hint="eastAsia"/>
          <w:lang w:val="en-US" w:eastAsia="zh-CN"/>
        </w:rPr>
        <w:t>：</w:t>
      </w:r>
      <w:r>
        <w:rPr>
          <w:rFonts w:hint="default"/>
          <w:lang w:val="en-US" w:eastAsia="zh-CN"/>
        </w:rPr>
        <w:t>五参数中PH、浊度</w:t>
      </w:r>
      <w:r>
        <w:rPr>
          <w:rFonts w:hint="eastAsia"/>
          <w:lang w:val="en-US" w:eastAsia="zh-CN"/>
        </w:rPr>
        <w:t>数据异常，</w:t>
      </w:r>
      <w:r>
        <w:rPr>
          <w:rFonts w:hint="default"/>
          <w:lang w:val="en-US" w:eastAsia="zh-CN"/>
        </w:rPr>
        <w:t>溶解氧数据报零值</w:t>
      </w:r>
      <w:r>
        <w:rPr>
          <w:rFonts w:hint="eastAsia"/>
          <w:lang w:val="en-US" w:eastAsia="zh-CN"/>
        </w:rPr>
        <w:t>，</w:t>
      </w:r>
      <w:r>
        <w:rPr>
          <w:rFonts w:hint="default"/>
          <w:lang w:val="en-US" w:eastAsia="zh-CN"/>
        </w:rPr>
        <w:t>探头电极需更换。</w:t>
      </w:r>
    </w:p>
    <w:p>
      <w:pPr>
        <w:keepNext w:val="0"/>
        <w:keepLines w:val="0"/>
        <w:pageBreakBefore w:val="0"/>
        <w:widowControl w:val="0"/>
        <w:numPr>
          <w:ilvl w:val="0"/>
          <w:numId w:val="25"/>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default"/>
          <w:lang w:val="en-US" w:eastAsia="zh-CN"/>
        </w:rPr>
        <w:t>采水系统仪器</w:t>
      </w:r>
      <w:r>
        <w:rPr>
          <w:rFonts w:hint="eastAsia"/>
          <w:lang w:val="en-US" w:eastAsia="zh-CN"/>
        </w:rPr>
        <w:t>：采水系统一台采水泵故障无法使用。</w:t>
      </w:r>
    </w:p>
    <w:p>
      <w:pPr>
        <w:pStyle w:val="7"/>
        <w:bidi w:val="0"/>
        <w:rPr>
          <w:rFonts w:hint="eastAsia"/>
          <w:lang w:val="en-US" w:eastAsia="zh-CN"/>
        </w:rPr>
      </w:pPr>
      <w:r>
        <w:rPr>
          <w:rFonts w:hint="eastAsia"/>
          <w:lang w:val="en-US" w:eastAsia="zh-CN"/>
        </w:rPr>
        <w:t>仁沙磨滩水质监测站</w:t>
      </w:r>
    </w:p>
    <w:p>
      <w:pPr>
        <w:keepNext w:val="0"/>
        <w:keepLines w:val="0"/>
        <w:pageBreakBefore w:val="0"/>
        <w:widowControl w:val="0"/>
        <w:numPr>
          <w:ilvl w:val="0"/>
          <w:numId w:val="26"/>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default"/>
          <w:lang w:val="en-US" w:eastAsia="zh-CN"/>
        </w:rPr>
        <w:t>氨氮仪器</w:t>
      </w:r>
      <w:r>
        <w:rPr>
          <w:rFonts w:hint="eastAsia"/>
          <w:lang w:val="en-US" w:eastAsia="zh-CN"/>
        </w:rPr>
        <w:t>：氨氮仪器屏幕略微失灵，重启后仪器时间变成2000年01月1日，同时仪器内数据丢失只能从工控机查看数据；沉淀池进样电磁阀故障，无法上水，仪器报缺水故障。</w:t>
      </w:r>
    </w:p>
    <w:p>
      <w:pPr>
        <w:keepNext w:val="0"/>
        <w:keepLines w:val="0"/>
        <w:pageBreakBefore w:val="0"/>
        <w:widowControl w:val="0"/>
        <w:numPr>
          <w:ilvl w:val="0"/>
          <w:numId w:val="26"/>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default"/>
          <w:lang w:val="en-US" w:eastAsia="zh-CN"/>
        </w:rPr>
        <w:t>总磷仪器</w:t>
      </w:r>
      <w:r>
        <w:rPr>
          <w:rFonts w:hint="eastAsia"/>
          <w:lang w:val="en-US" w:eastAsia="zh-CN"/>
        </w:rPr>
        <w:t>：总磷仪器屏幕大部分失灵无法点击，重启后仪器时间变成2000年01月1日，同时仪器内数据丢失只能从工控机查看数据。</w:t>
      </w:r>
    </w:p>
    <w:p>
      <w:pPr>
        <w:keepNext w:val="0"/>
        <w:keepLines w:val="0"/>
        <w:pageBreakBefore w:val="0"/>
        <w:widowControl w:val="0"/>
        <w:numPr>
          <w:ilvl w:val="0"/>
          <w:numId w:val="26"/>
        </w:numPr>
        <w:kinsoku/>
        <w:wordWrap/>
        <w:overflowPunct/>
        <w:topLinePunct w:val="0"/>
        <w:autoSpaceDE/>
        <w:autoSpaceDN/>
        <w:bidi w:val="0"/>
        <w:adjustRightInd/>
        <w:snapToGrid w:val="0"/>
        <w:ind w:left="0" w:leftChars="0" w:firstLine="524" w:firstLineChars="200"/>
        <w:textAlignment w:val="auto"/>
        <w:rPr>
          <w:rFonts w:hint="default"/>
          <w:lang w:val="en-US" w:eastAsia="zh-CN"/>
        </w:rPr>
      </w:pPr>
      <w:r>
        <w:rPr>
          <w:rFonts w:hint="default"/>
          <w:lang w:val="en-US" w:eastAsia="zh-CN"/>
        </w:rPr>
        <w:t>五参数仪器</w:t>
      </w:r>
      <w:r>
        <w:rPr>
          <w:rFonts w:hint="eastAsia"/>
          <w:lang w:val="en-US" w:eastAsia="zh-CN"/>
        </w:rPr>
        <w:t>：</w:t>
      </w:r>
      <w:r>
        <w:rPr>
          <w:rFonts w:hint="default"/>
          <w:lang w:val="en-US" w:eastAsia="zh-CN"/>
        </w:rPr>
        <w:t>五参数中PH</w:t>
      </w:r>
      <w:r>
        <w:rPr>
          <w:rFonts w:hint="eastAsia"/>
          <w:lang w:val="en-US" w:eastAsia="zh-CN"/>
        </w:rPr>
        <w:t>数据异常，</w:t>
      </w:r>
      <w:r>
        <w:rPr>
          <w:rFonts w:hint="default"/>
          <w:lang w:val="en-US" w:eastAsia="zh-CN"/>
        </w:rPr>
        <w:t>溶解氧数据报零值。探头电极需更换。</w:t>
      </w:r>
    </w:p>
    <w:p>
      <w:pPr>
        <w:keepNext w:val="0"/>
        <w:keepLines w:val="0"/>
        <w:pageBreakBefore w:val="0"/>
        <w:widowControl w:val="0"/>
        <w:numPr>
          <w:ilvl w:val="0"/>
          <w:numId w:val="26"/>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eastAsia"/>
          <w:lang w:val="en-US" w:eastAsia="zh-CN"/>
        </w:rPr>
        <w:t>显示主板：总磷仪器和氨氮仪器屏幕死机，出现一直黑屏，重启与点击均无有效反馈，仪器无法正常运行，需更换仪器显示主板。</w:t>
      </w:r>
    </w:p>
    <w:p>
      <w:pPr>
        <w:pStyle w:val="6"/>
        <w:rPr>
          <w:color w:val="auto"/>
        </w:rPr>
      </w:pPr>
      <w:bookmarkStart w:id="126" w:name="_Toc28537"/>
      <w:r>
        <w:rPr>
          <w:rFonts w:hint="eastAsia"/>
          <w:color w:val="auto"/>
          <w:lang w:val="en-US" w:eastAsia="zh-CN"/>
        </w:rPr>
        <w:t>存在的问题</w:t>
      </w:r>
      <w:bookmarkEnd w:id="126"/>
    </w:p>
    <w:p>
      <w:pPr>
        <w:ind w:firstLine="524"/>
        <w:rPr>
          <w:rFonts w:hint="eastAsia"/>
        </w:rPr>
      </w:pPr>
      <w:r>
        <w:rPr>
          <w:rFonts w:hint="eastAsia"/>
          <w:lang w:val="en-US" w:eastAsia="zh-CN"/>
        </w:rPr>
        <w:t>丰都县三合街道、名山街道、高家镇</w:t>
      </w:r>
      <w:r>
        <w:rPr>
          <w:rFonts w:hint="eastAsia"/>
        </w:rPr>
        <w:t>作为三峡</w:t>
      </w:r>
      <w:r>
        <w:rPr>
          <w:rFonts w:hint="eastAsia"/>
          <w:lang w:val="en-US" w:eastAsia="zh-CN"/>
        </w:rPr>
        <w:t>库区镇街</w:t>
      </w:r>
      <w:r>
        <w:rPr>
          <w:rFonts w:hint="eastAsia"/>
        </w:rPr>
        <w:t>移民</w:t>
      </w:r>
      <w:r>
        <w:rPr>
          <w:rFonts w:hint="eastAsia"/>
          <w:lang w:val="en-US" w:eastAsia="zh-CN"/>
        </w:rPr>
        <w:t>安置区</w:t>
      </w:r>
      <w:r>
        <w:rPr>
          <w:rFonts w:hint="eastAsia"/>
        </w:rPr>
        <w:t>之一，其建设仍然处于初级阶段，目前存在着以下一些困难和问题：</w:t>
      </w:r>
    </w:p>
    <w:p>
      <w:pPr>
        <w:ind w:firstLine="524"/>
        <w:rPr>
          <w:rFonts w:hint="eastAsia"/>
        </w:rPr>
      </w:pPr>
      <w:r>
        <w:rPr>
          <w:rFonts w:hint="eastAsia"/>
        </w:rPr>
        <w:t>1、</w:t>
      </w:r>
      <w:r>
        <w:rPr>
          <w:rFonts w:hint="eastAsia"/>
          <w:lang w:val="en-US" w:eastAsia="zh-CN"/>
        </w:rPr>
        <w:t>移民安置区</w:t>
      </w:r>
      <w:r>
        <w:rPr>
          <w:rFonts w:hint="eastAsia"/>
        </w:rPr>
        <w:t>安全与防控能力滞后。移民辖区外来人口增多，新型公共安全问题逐渐增多，传统型社会问题因互联网新媒体的发展防控难度进一步提升，移民社区技防水平相对落后、社区重点人员管控难、对应急事件的处理效率低下，严重阻碍</w:t>
      </w:r>
      <w:r>
        <w:rPr>
          <w:rFonts w:hint="eastAsia"/>
          <w:lang w:val="en-US" w:eastAsia="zh-CN"/>
        </w:rPr>
        <w:t>移民安置区</w:t>
      </w:r>
      <w:r>
        <w:rPr>
          <w:rFonts w:hint="eastAsia"/>
        </w:rPr>
        <w:t>平安建设。</w:t>
      </w:r>
    </w:p>
    <w:p>
      <w:pPr>
        <w:pStyle w:val="80"/>
        <w:keepNext w:val="0"/>
        <w:keepLines w:val="0"/>
        <w:pageBreakBefore w:val="0"/>
        <w:widowControl w:val="0"/>
        <w:numPr>
          <w:ilvl w:val="0"/>
          <w:numId w:val="0"/>
        </w:numPr>
        <w:kinsoku/>
        <w:wordWrap/>
        <w:overflowPunct/>
        <w:topLinePunct w:val="0"/>
        <w:autoSpaceDE/>
        <w:autoSpaceDN/>
        <w:bidi w:val="0"/>
        <w:adjustRightInd/>
        <w:snapToGrid w:val="0"/>
        <w:ind w:left="0" w:leftChars="0" w:firstLine="524" w:firstLineChars="200"/>
        <w:textAlignment w:val="auto"/>
        <w:rPr>
          <w:rFonts w:hint="default"/>
          <w:lang w:val="en-US" w:eastAsia="zh-CN"/>
        </w:rPr>
      </w:pPr>
      <w:r>
        <w:rPr>
          <w:rFonts w:hint="eastAsia"/>
        </w:rPr>
        <w:t>2、</w:t>
      </w:r>
      <w:r>
        <w:rPr>
          <w:rFonts w:hint="eastAsia"/>
          <w:lang w:val="en-US" w:eastAsia="zh-CN"/>
        </w:rPr>
        <w:t>目前各个社区的监控基本处于停机状态，考虑原因为前端摄像机不同程度损坏、无电源接入、网络传输断开等。无监控展示环境，导致</w:t>
      </w:r>
      <w:r>
        <w:rPr>
          <w:rFonts w:hint="eastAsia"/>
          <w:szCs w:val="22"/>
          <w:lang w:val="zh-CN"/>
        </w:rPr>
        <w:t>治安</w:t>
      </w:r>
      <w:r>
        <w:rPr>
          <w:szCs w:val="22"/>
          <w:lang w:val="zh-CN"/>
        </w:rPr>
        <w:t>事件</w:t>
      </w:r>
      <w:r>
        <w:rPr>
          <w:rFonts w:hint="eastAsia"/>
          <w:szCs w:val="22"/>
        </w:rPr>
        <w:t>发现不及时</w:t>
      </w:r>
      <w:r>
        <w:rPr>
          <w:rFonts w:hint="eastAsia"/>
          <w:szCs w:val="22"/>
          <w:lang w:eastAsia="zh-CN"/>
        </w:rPr>
        <w:t>，</w:t>
      </w:r>
      <w:r>
        <w:rPr>
          <w:rFonts w:hint="eastAsia"/>
          <w:szCs w:val="22"/>
          <w:lang w:val="zh-CN"/>
        </w:rPr>
        <w:t>盗窃</w:t>
      </w:r>
      <w:r>
        <w:rPr>
          <w:szCs w:val="22"/>
          <w:lang w:val="zh-CN"/>
        </w:rPr>
        <w:t>、打架斗殴等</w:t>
      </w:r>
      <w:r>
        <w:rPr>
          <w:rFonts w:hint="eastAsia"/>
          <w:szCs w:val="22"/>
          <w:lang w:val="zh-CN"/>
        </w:rPr>
        <w:t>各类治安</w:t>
      </w:r>
      <w:r>
        <w:rPr>
          <w:szCs w:val="22"/>
          <w:lang w:val="zh-CN"/>
        </w:rPr>
        <w:t>事件</w:t>
      </w:r>
      <w:r>
        <w:rPr>
          <w:rFonts w:hint="eastAsia"/>
          <w:szCs w:val="22"/>
          <w:lang w:val="zh-CN"/>
        </w:rPr>
        <w:t>频发</w:t>
      </w:r>
      <w:r>
        <w:rPr>
          <w:szCs w:val="22"/>
          <w:lang w:val="zh-CN"/>
        </w:rPr>
        <w:t>，</w:t>
      </w:r>
      <w:r>
        <w:rPr>
          <w:rFonts w:hint="eastAsia"/>
          <w:szCs w:val="22"/>
        </w:rPr>
        <w:t>上报事件不方便，且</w:t>
      </w:r>
      <w:r>
        <w:rPr>
          <w:szCs w:val="22"/>
          <w:lang w:val="zh-CN"/>
        </w:rPr>
        <w:t>无法</w:t>
      </w:r>
      <w:r>
        <w:rPr>
          <w:rFonts w:hint="eastAsia"/>
          <w:szCs w:val="22"/>
          <w:lang w:val="zh-CN"/>
        </w:rPr>
        <w:t>进行及时有效的</w:t>
      </w:r>
      <w:r>
        <w:rPr>
          <w:rFonts w:hint="eastAsia"/>
          <w:szCs w:val="22"/>
        </w:rPr>
        <w:t>防范</w:t>
      </w:r>
      <w:r>
        <w:rPr>
          <w:szCs w:val="22"/>
          <w:lang w:val="zh-CN"/>
        </w:rPr>
        <w:t>和处理。</w:t>
      </w:r>
    </w:p>
    <w:p>
      <w:pPr>
        <w:bidi w:val="0"/>
        <w:rPr>
          <w:rFonts w:hint="eastAsia" w:eastAsia="仿宋_GB2312"/>
          <w:lang w:val="en-US" w:eastAsia="zh-CN"/>
        </w:rPr>
      </w:pPr>
      <w:r>
        <w:rPr>
          <w:rFonts w:hint="eastAsia"/>
          <w:lang w:val="en-US" w:eastAsia="zh-CN"/>
        </w:rPr>
        <w:t>3、各个社区的工作人员不清楚监控的分布位置和数量等，后期监控运行维护比较困难。</w:t>
      </w:r>
    </w:p>
    <w:p>
      <w:pPr>
        <w:rPr>
          <w:rFonts w:hint="eastAsia"/>
        </w:rPr>
      </w:pPr>
      <w:r>
        <w:rPr>
          <w:rFonts w:hint="eastAsia"/>
        </w:rPr>
        <w:t>针对以上困难和问题，</w:t>
      </w:r>
      <w:r>
        <w:rPr>
          <w:rFonts w:hint="eastAsia"/>
          <w:lang w:val="en-US" w:eastAsia="zh-CN"/>
        </w:rPr>
        <w:t>丰都县</w:t>
      </w:r>
      <w:r>
        <w:rPr>
          <w:rFonts w:hint="eastAsia"/>
        </w:rPr>
        <w:t>提出了丰都县镇街移民安置区综合应急能力提升项目</w:t>
      </w:r>
      <w:r>
        <w:rPr>
          <w:rFonts w:hint="eastAsia"/>
          <w:lang w:eastAsia="zh-CN"/>
        </w:rPr>
        <w:t>，</w:t>
      </w:r>
      <w:r>
        <w:rPr>
          <w:rFonts w:hint="eastAsia"/>
          <w:lang w:val="en-US" w:eastAsia="zh-CN"/>
        </w:rPr>
        <w:t>在丰都县综合帮扶项目的基础上，对前端监控设备进行运行维护和升级改造，实现</w:t>
      </w:r>
      <w:r>
        <w:rPr>
          <w:rFonts w:hint="eastAsia"/>
        </w:rPr>
        <w:t>视频图像联网可调可存可控可用，基本实现“全域覆盖、全网共享、全时可用、全程可控、全面应用”的公共安全视频监控建设联网应用格局</w:t>
      </w:r>
      <w:r>
        <w:rPr>
          <w:rFonts w:hint="eastAsia"/>
          <w:lang w:eastAsia="zh-CN"/>
        </w:rPr>
        <w:t>，</w:t>
      </w:r>
      <w:r>
        <w:rPr>
          <w:rFonts w:hint="eastAsia"/>
          <w:lang w:val="en-US" w:eastAsia="zh-CN"/>
        </w:rPr>
        <w:t>保证各个社区的视频监控的调用查看，</w:t>
      </w:r>
      <w:r>
        <w:rPr>
          <w:rFonts w:hint="eastAsia"/>
        </w:rPr>
        <w:t>切实加强移民</w:t>
      </w:r>
      <w:r>
        <w:rPr>
          <w:rFonts w:hint="eastAsia"/>
          <w:lang w:val="en-US" w:eastAsia="zh-CN"/>
        </w:rPr>
        <w:t>安置区</w:t>
      </w:r>
      <w:r>
        <w:rPr>
          <w:rFonts w:hint="eastAsia"/>
        </w:rPr>
        <w:t>的安全保障能力和应急响应能力</w:t>
      </w:r>
      <w:r>
        <w:rPr>
          <w:rFonts w:hint="eastAsia"/>
          <w:lang w:eastAsia="zh-CN"/>
        </w:rPr>
        <w:t>，</w:t>
      </w:r>
      <w:r>
        <w:rPr>
          <w:rFonts w:hint="eastAsia"/>
        </w:rPr>
        <w:t>为</w:t>
      </w:r>
      <w:r>
        <w:rPr>
          <w:rFonts w:hint="eastAsia"/>
          <w:lang w:val="en-US" w:eastAsia="zh-CN"/>
        </w:rPr>
        <w:t>其</w:t>
      </w:r>
      <w:r>
        <w:rPr>
          <w:rFonts w:hint="eastAsia"/>
        </w:rPr>
        <w:t>打造一个“安全、幸福、便民”的</w:t>
      </w:r>
      <w:r>
        <w:rPr>
          <w:rFonts w:hint="eastAsia"/>
          <w:lang w:val="en-US" w:eastAsia="zh-CN"/>
        </w:rPr>
        <w:t>移民安置区</w:t>
      </w:r>
      <w:r>
        <w:rPr>
          <w:rFonts w:hint="eastAsia"/>
        </w:rPr>
        <w:t>。</w:t>
      </w:r>
    </w:p>
    <w:p>
      <w:pPr>
        <w:pStyle w:val="5"/>
        <w:rPr>
          <w:rFonts w:hint="default"/>
          <w:color w:val="auto"/>
          <w:lang w:val="en-US" w:eastAsia="zh-CN"/>
        </w:rPr>
      </w:pPr>
      <w:bookmarkStart w:id="127" w:name="_Toc8485"/>
      <w:r>
        <w:rPr>
          <w:rFonts w:hint="eastAsia"/>
          <w:color w:val="auto"/>
          <w:lang w:val="en-US" w:eastAsia="zh-CN"/>
        </w:rPr>
        <w:t>项目发展趋势分析</w:t>
      </w:r>
      <w:bookmarkEnd w:id="127"/>
    </w:p>
    <w:p>
      <w:pPr>
        <w:numPr>
          <w:ilvl w:val="0"/>
          <w:numId w:val="27"/>
        </w:numPr>
        <w:rPr>
          <w:rFonts w:hint="eastAsia" w:ascii="宋体" w:hAnsi="宋体" w:eastAsia="宋体" w:cs="宋体"/>
          <w:lang w:val="en-US" w:eastAsia="zh-CN"/>
        </w:rPr>
      </w:pPr>
      <w:r>
        <w:rPr>
          <w:rFonts w:hint="eastAsia" w:ascii="宋体" w:hAnsi="宋体" w:eastAsia="宋体" w:cs="宋体"/>
          <w:lang w:val="en-US" w:eastAsia="zh-CN"/>
        </w:rPr>
        <w:t>提升应急能力保障移民群众安居乐业</w:t>
      </w:r>
    </w:p>
    <w:p>
      <w:pPr>
        <w:ind w:firstLine="524"/>
        <w:rPr>
          <w:rFonts w:hint="eastAsia"/>
        </w:rPr>
      </w:pPr>
      <w:r>
        <w:rPr>
          <w:rFonts w:hint="eastAsia"/>
        </w:rPr>
        <w:t>当前，社区管理与服务已经滞后于群众的需求，从居住环境到基础设施、从生活服务到文化娱乐、从治安秩序到人际关系等，群众都提出了越来越多的要求。尤其是社区市民参与社区的发展和社区自治等问题，以及居民对社区的归属感和认同感的不足，不容忽视。</w:t>
      </w:r>
    </w:p>
    <w:p>
      <w:pPr>
        <w:ind w:firstLine="524"/>
        <w:rPr>
          <w:rFonts w:hint="default"/>
          <w:lang w:val="en-US" w:eastAsia="zh-CN"/>
        </w:rPr>
      </w:pPr>
      <w:r>
        <w:rPr>
          <w:rFonts w:hint="eastAsia"/>
        </w:rPr>
        <w:t>移民</w:t>
      </w:r>
      <w:r>
        <w:rPr>
          <w:rFonts w:hint="eastAsia"/>
          <w:lang w:val="en-US" w:eastAsia="zh-CN"/>
        </w:rPr>
        <w:t>安置区</w:t>
      </w:r>
      <w:r>
        <w:rPr>
          <w:rFonts w:hint="eastAsia"/>
        </w:rPr>
        <w:t>是一个大家庭，它立足的宗旨和发展的原则是要坚持以人为本，丰富人的生活，满足人的需求；着力于提高社区生活的舒适度、亲和力和归属感</w:t>
      </w:r>
      <w:r>
        <w:rPr>
          <w:rFonts w:hint="eastAsia"/>
          <w:lang w:eastAsia="zh-CN"/>
        </w:rPr>
        <w:t>，</w:t>
      </w:r>
      <w:r>
        <w:rPr>
          <w:rFonts w:hint="eastAsia"/>
        </w:rPr>
        <w:t>是良好的社会生活系统和良好的自然环境的统一。努力建设管理有序、服务完善、环境优美、治安良好、生活便利、人际关系和谐的新型现代化社区是百姓的共同心声，也是建设“三峡库区镇街移民安置区综合应急能力提升项目”主旨之一。</w:t>
      </w:r>
    </w:p>
    <w:p>
      <w:pPr>
        <w:numPr>
          <w:ilvl w:val="0"/>
          <w:numId w:val="27"/>
        </w:numPr>
        <w:rPr>
          <w:rFonts w:hint="eastAsia" w:ascii="宋体" w:hAnsi="宋体" w:eastAsia="宋体" w:cs="宋体"/>
          <w:lang w:val="en-US" w:eastAsia="zh-CN"/>
        </w:rPr>
      </w:pPr>
      <w:r>
        <w:rPr>
          <w:rFonts w:hint="eastAsia" w:ascii="宋体" w:hAnsi="宋体" w:eastAsia="宋体" w:cs="宋体"/>
          <w:lang w:val="en-US" w:eastAsia="zh-CN"/>
        </w:rPr>
        <w:t>监控技术创新提升效能</w:t>
      </w:r>
    </w:p>
    <w:p>
      <w:pPr>
        <w:rPr>
          <w:rFonts w:hint="eastAsia" w:ascii="宋体" w:hAnsi="宋体" w:eastAsia="宋体" w:cs="宋体"/>
          <w:lang w:val="en-US" w:eastAsia="zh-CN"/>
        </w:rPr>
      </w:pPr>
      <w:r>
        <w:rPr>
          <w:rFonts w:hint="eastAsia" w:ascii="宋体" w:hAnsi="宋体" w:eastAsia="宋体" w:cs="宋体"/>
          <w:lang w:val="en-US" w:eastAsia="zh-CN"/>
        </w:rPr>
        <w:t>随着技术的不断进步，视频监控领域也在持续演进，视频监控系统产生大量数据，包括图像、视频和元数据等，借助大数据和人工智能技术，可以对这些数据进行深入分析，实现智能化的监控监测、异常检测和预警，提升监控效能和便利性，为决策提供更有力的支持。</w:t>
      </w:r>
    </w:p>
    <w:p>
      <w:pPr>
        <w:numPr>
          <w:ilvl w:val="0"/>
          <w:numId w:val="27"/>
        </w:numPr>
        <w:rPr>
          <w:rFonts w:hint="default" w:ascii="宋体" w:hAnsi="宋体" w:eastAsia="宋体" w:cs="宋体"/>
          <w:lang w:val="en-US" w:eastAsia="zh-CN"/>
        </w:rPr>
      </w:pPr>
      <w:r>
        <w:rPr>
          <w:rFonts w:hint="eastAsia" w:ascii="宋体" w:hAnsi="宋体" w:eastAsia="宋体" w:cs="宋体"/>
          <w:lang w:val="en-US" w:eastAsia="zh-CN"/>
        </w:rPr>
        <w:t>全域覆盖、全网共享、全时可用</w:t>
      </w:r>
    </w:p>
    <w:p>
      <w:pPr>
        <w:bidi w:val="0"/>
        <w:rPr>
          <w:rFonts w:hint="eastAsia"/>
          <w:lang w:eastAsia="zh-CN"/>
        </w:rPr>
      </w:pPr>
      <w:r>
        <w:rPr>
          <w:rFonts w:hint="eastAsia"/>
          <w:lang w:val="en-US" w:eastAsia="zh-CN"/>
        </w:rPr>
        <w:t>本项目</w:t>
      </w:r>
      <w:r>
        <w:rPr>
          <w:rFonts w:hint="eastAsia"/>
        </w:rPr>
        <w:t>着力解决乡镇（街道）、村（社区）应急力量不足、装备配备不到位、综合应急能力不强等问题，进一步明确任务、落实责任，整合资源，夯实应急管理基层基础，</w:t>
      </w:r>
      <w:r>
        <w:rPr>
          <w:rFonts w:hint="eastAsia"/>
          <w:lang w:val="en-US" w:eastAsia="zh-CN"/>
        </w:rPr>
        <w:t>从</w:t>
      </w:r>
      <w:r>
        <w:rPr>
          <w:rFonts w:hint="eastAsia"/>
        </w:rPr>
        <w:t>“治安防控”、“社会管理”、“服务民生”三个维度出发，开展乡镇（街道）和社区视频监控建设，</w:t>
      </w:r>
      <w:r>
        <w:rPr>
          <w:rFonts w:hint="eastAsia"/>
          <w:lang w:val="en-US" w:eastAsia="zh-CN"/>
        </w:rPr>
        <w:t>实现</w:t>
      </w:r>
      <w:r>
        <w:rPr>
          <w:rFonts w:hint="eastAsia"/>
        </w:rPr>
        <w:t>视频图像联网可调可存可控可用，基本实现“全域覆盖、全网共享、全时可用、全程可控、全面应用”的公共安全视频监控建设联网应用格局</w:t>
      </w:r>
      <w:r>
        <w:rPr>
          <w:rFonts w:hint="eastAsia"/>
          <w:lang w:eastAsia="zh-CN"/>
        </w:rPr>
        <w:t>，</w:t>
      </w:r>
      <w:r>
        <w:rPr>
          <w:rFonts w:hint="eastAsia"/>
        </w:rPr>
        <w:t>切实加强移民</w:t>
      </w:r>
      <w:r>
        <w:rPr>
          <w:rFonts w:hint="eastAsia"/>
          <w:lang w:val="en-US" w:eastAsia="zh-CN"/>
        </w:rPr>
        <w:t>安置区</w:t>
      </w:r>
      <w:r>
        <w:rPr>
          <w:rFonts w:hint="eastAsia"/>
        </w:rPr>
        <w:t>的安全保障能力和应急响应能力</w:t>
      </w:r>
      <w:r>
        <w:rPr>
          <w:rFonts w:hint="eastAsia"/>
          <w:lang w:eastAsia="zh-CN"/>
        </w:rPr>
        <w:t>。</w:t>
      </w:r>
    </w:p>
    <w:p>
      <w:pPr>
        <w:numPr>
          <w:ilvl w:val="0"/>
          <w:numId w:val="27"/>
        </w:numPr>
        <w:rPr>
          <w:rFonts w:hint="default" w:ascii="宋体" w:hAnsi="宋体" w:eastAsia="宋体" w:cs="宋体"/>
          <w:lang w:val="en-US" w:eastAsia="zh-CN"/>
        </w:rPr>
      </w:pPr>
      <w:r>
        <w:rPr>
          <w:rFonts w:hint="eastAsia" w:ascii="宋体" w:hAnsi="宋体" w:eastAsia="宋体" w:cs="宋体"/>
          <w:lang w:val="en-US" w:eastAsia="zh-CN"/>
        </w:rPr>
        <w:t>提倡视频云服务</w:t>
      </w:r>
    </w:p>
    <w:p>
      <w:pPr>
        <w:bidi w:val="0"/>
        <w:rPr>
          <w:rFonts w:hint="default" w:ascii="宋体" w:hAnsi="宋体" w:eastAsia="宋体" w:cs="宋体"/>
          <w:lang w:val="en-US" w:eastAsia="zh-CN"/>
        </w:rPr>
      </w:pPr>
      <w:r>
        <w:rPr>
          <w:rFonts w:hint="eastAsia" w:ascii="宋体" w:hAnsi="宋体" w:eastAsia="宋体" w:cs="宋体"/>
          <w:lang w:val="en-US" w:eastAsia="zh-CN"/>
        </w:rPr>
        <w:t>在视频监控发展过程中，隐私保护和合规性问题日益受到关注，目前越来越提倡将视频上云，并且配置相关的安全接入设备，将极大的提高视频的安全。同时借助云计算和云存储技术，视频云服务可以提供弹性扩展、安全可靠的存储和处理能力，节省部署和维护成本，并支持跨地域协同监控。</w:t>
      </w:r>
    </w:p>
    <w:p>
      <w:pPr>
        <w:pStyle w:val="5"/>
        <w:rPr>
          <w:rFonts w:hint="eastAsia"/>
          <w:color w:val="auto"/>
          <w:lang w:val="en-US" w:eastAsia="zh-CN"/>
        </w:rPr>
      </w:pPr>
      <w:bookmarkStart w:id="128" w:name="_Toc20075"/>
      <w:r>
        <w:rPr>
          <w:rFonts w:hint="eastAsia"/>
          <w:color w:val="auto"/>
          <w:lang w:val="en-US" w:eastAsia="zh-CN"/>
        </w:rPr>
        <w:t>需求分析</w:t>
      </w:r>
      <w:bookmarkEnd w:id="128"/>
    </w:p>
    <w:p>
      <w:pPr>
        <w:pStyle w:val="6"/>
        <w:rPr>
          <w:rFonts w:hint="default"/>
          <w:color w:val="auto"/>
          <w:lang w:val="en-US" w:eastAsia="zh-CN"/>
        </w:rPr>
      </w:pPr>
      <w:bookmarkStart w:id="129" w:name="_Toc25577"/>
      <w:r>
        <w:rPr>
          <w:rFonts w:hint="eastAsia"/>
          <w:color w:val="auto"/>
          <w:lang w:val="en-US" w:eastAsia="zh-CN"/>
        </w:rPr>
        <w:t>传输带宽需求分析</w:t>
      </w:r>
      <w:bookmarkEnd w:id="129"/>
    </w:p>
    <w:p>
      <w:pPr>
        <w:pStyle w:val="7"/>
        <w:tabs>
          <w:tab w:val="clear" w:pos="575"/>
        </w:tabs>
        <w:rPr>
          <w:rFonts w:hint="default" w:cs="宋体"/>
          <w:color w:val="auto"/>
          <w:lang w:val="en-US" w:eastAsia="zh-CN"/>
        </w:rPr>
      </w:pPr>
      <w:r>
        <w:rPr>
          <w:rFonts w:hint="eastAsia" w:cs="宋体"/>
          <w:color w:val="auto"/>
          <w:lang w:val="en-US" w:eastAsia="zh-CN"/>
        </w:rPr>
        <w:t>视频链路网络传输需求分析</w:t>
      </w:r>
    </w:p>
    <w:p>
      <w:pPr>
        <w:ind w:firstLine="520"/>
        <w:rPr>
          <w:rFonts w:ascii="宋体" w:hAnsi="宋体"/>
        </w:rPr>
      </w:pPr>
      <w:r>
        <w:rPr>
          <w:rFonts w:hint="eastAsia" w:ascii="宋体" w:hAnsi="宋体"/>
        </w:rPr>
        <w:t>随着高清视频技术的飞速发展，图像的清晰度和分辨率在不断提高的同时，其海量的视频数据对网络传输环境提出了更大的挑战。例如，采用标准H.264MainProfile压缩算法的高清网络摄像机，单路视频要达到1080P全实时(25fps)，需要的网络带宽至少要在4Mbps以上。随着4K甚至更高像素摄像机的应用，势必对网络传输带宽提出更高的要求。</w:t>
      </w:r>
    </w:p>
    <w:p>
      <w:pPr>
        <w:ind w:firstLine="520"/>
      </w:pPr>
      <w:r>
        <w:rPr>
          <w:rFonts w:hint="eastAsia"/>
        </w:rPr>
        <w:t>具体每条传输线路带宽需求见下表所示：</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0"/>
        <w:gridCol w:w="3042"/>
        <w:gridCol w:w="954"/>
        <w:gridCol w:w="722"/>
        <w:gridCol w:w="1534"/>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blHeader/>
        </w:trPr>
        <w:tc>
          <w:tcPr>
            <w:tcW w:w="29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序号</w:t>
            </w:r>
          </w:p>
        </w:tc>
        <w:tc>
          <w:tcPr>
            <w:tcW w:w="1837"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项目名称</w:t>
            </w:r>
          </w:p>
        </w:tc>
        <w:tc>
          <w:tcPr>
            <w:tcW w:w="57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镜头数量</w:t>
            </w:r>
          </w:p>
        </w:tc>
        <w:tc>
          <w:tcPr>
            <w:tcW w:w="43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并发率</w:t>
            </w:r>
          </w:p>
        </w:tc>
        <w:tc>
          <w:tcPr>
            <w:tcW w:w="92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单路需求（M）</w:t>
            </w:r>
          </w:p>
        </w:tc>
        <w:tc>
          <w:tcPr>
            <w:tcW w:w="92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所需带宽（M）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9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1837"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kern w:val="0"/>
                <w:sz w:val="21"/>
                <w:szCs w:val="21"/>
                <w:lang w:val="en-US" w:eastAsia="zh-CN"/>
              </w:rPr>
              <w:t>结构化枪机</w:t>
            </w:r>
          </w:p>
        </w:tc>
        <w:tc>
          <w:tcPr>
            <w:tcW w:w="57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130</w:t>
            </w:r>
          </w:p>
        </w:tc>
        <w:tc>
          <w:tcPr>
            <w:tcW w:w="43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10</w:t>
            </w:r>
            <w:r>
              <w:rPr>
                <w:rFonts w:hint="eastAsia" w:ascii="宋体" w:hAnsi="宋体" w:cs="宋体"/>
                <w:color w:val="000000"/>
                <w:kern w:val="0"/>
                <w:sz w:val="21"/>
                <w:szCs w:val="21"/>
                <w:lang w:val="en-US" w:eastAsia="zh-CN"/>
              </w:rPr>
              <w:t>0</w:t>
            </w:r>
            <w:r>
              <w:rPr>
                <w:rFonts w:hint="eastAsia" w:ascii="宋体" w:hAnsi="宋体" w:cs="宋体"/>
                <w:color w:val="000000"/>
                <w:kern w:val="0"/>
                <w:sz w:val="21"/>
                <w:szCs w:val="21"/>
              </w:rPr>
              <w:t>%</w:t>
            </w:r>
          </w:p>
        </w:tc>
        <w:tc>
          <w:tcPr>
            <w:tcW w:w="92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kern w:val="0"/>
                <w:sz w:val="21"/>
                <w:szCs w:val="21"/>
                <w:lang w:val="en-US" w:eastAsia="zh-CN"/>
              </w:rPr>
              <w:t>20</w:t>
            </w:r>
          </w:p>
        </w:tc>
        <w:tc>
          <w:tcPr>
            <w:tcW w:w="92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kern w:val="0"/>
                <w:sz w:val="21"/>
                <w:szCs w:val="21"/>
                <w:lang w:val="en-US" w:eastAsia="zh-CN"/>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9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1837"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kern w:val="0"/>
                <w:sz w:val="21"/>
                <w:szCs w:val="21"/>
                <w:lang w:val="en-US" w:eastAsia="zh-CN"/>
              </w:rPr>
              <w:t>结构化球机</w:t>
            </w:r>
          </w:p>
        </w:tc>
        <w:tc>
          <w:tcPr>
            <w:tcW w:w="57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w:t>
            </w:r>
            <w:r>
              <w:rPr>
                <w:rFonts w:hint="eastAsia" w:cs="宋体"/>
                <w:color w:val="000000"/>
                <w:sz w:val="21"/>
                <w:szCs w:val="21"/>
                <w:lang w:val="en-US" w:eastAsia="zh-CN"/>
              </w:rPr>
              <w:t>79</w:t>
            </w:r>
          </w:p>
        </w:tc>
        <w:tc>
          <w:tcPr>
            <w:tcW w:w="43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10</w:t>
            </w:r>
            <w:r>
              <w:rPr>
                <w:rFonts w:hint="eastAsia" w:ascii="宋体" w:hAnsi="宋体" w:cs="宋体"/>
                <w:color w:val="000000"/>
                <w:kern w:val="0"/>
                <w:sz w:val="21"/>
                <w:szCs w:val="21"/>
                <w:lang w:val="en-US" w:eastAsia="zh-CN"/>
              </w:rPr>
              <w:t>0</w:t>
            </w:r>
            <w:r>
              <w:rPr>
                <w:rFonts w:hint="eastAsia" w:ascii="宋体" w:hAnsi="宋体" w:cs="宋体"/>
                <w:color w:val="000000"/>
                <w:kern w:val="0"/>
                <w:sz w:val="21"/>
                <w:szCs w:val="21"/>
              </w:rPr>
              <w:t>%</w:t>
            </w:r>
          </w:p>
        </w:tc>
        <w:tc>
          <w:tcPr>
            <w:tcW w:w="92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kern w:val="0"/>
                <w:sz w:val="21"/>
                <w:szCs w:val="21"/>
                <w:lang w:val="en-US" w:eastAsia="zh-CN"/>
              </w:rPr>
              <w:t>20</w:t>
            </w:r>
          </w:p>
        </w:tc>
        <w:tc>
          <w:tcPr>
            <w:tcW w:w="92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default" w:ascii="宋体" w:hAnsi="宋体" w:eastAsia="宋体" w:cs="宋体"/>
                <w:color w:val="000000"/>
                <w:sz w:val="21"/>
                <w:szCs w:val="21"/>
                <w:lang w:val="en-US" w:eastAsia="zh-CN"/>
              </w:rPr>
            </w:pPr>
            <w:r>
              <w:rPr>
                <w:rFonts w:hint="eastAsia" w:cs="宋体"/>
                <w:color w:val="000000"/>
                <w:kern w:val="0"/>
                <w:sz w:val="21"/>
                <w:szCs w:val="21"/>
                <w:lang w:val="en-US" w:eastAsia="zh-CN"/>
              </w:rPr>
              <w:t>3580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9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cs="宋体"/>
                <w:color w:val="000000"/>
                <w:kern w:val="0"/>
                <w:sz w:val="21"/>
                <w:szCs w:val="21"/>
                <w:lang w:val="en-US" w:eastAsia="zh-CN"/>
              </w:rPr>
              <w:t>3</w:t>
            </w:r>
          </w:p>
        </w:tc>
        <w:tc>
          <w:tcPr>
            <w:tcW w:w="1837"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小计</w:t>
            </w:r>
          </w:p>
        </w:tc>
        <w:tc>
          <w:tcPr>
            <w:tcW w:w="57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default" w:ascii="宋体" w:hAnsi="宋体" w:eastAsia="宋体" w:cs="宋体"/>
                <w:color w:val="000000"/>
                <w:sz w:val="21"/>
                <w:szCs w:val="21"/>
                <w:lang w:val="en-US" w:eastAsia="zh-CN"/>
              </w:rPr>
            </w:pPr>
            <w:r>
              <w:rPr>
                <w:rFonts w:hint="eastAsia" w:cs="宋体"/>
                <w:color w:val="000000"/>
                <w:kern w:val="0"/>
                <w:sz w:val="21"/>
                <w:szCs w:val="21"/>
                <w:lang w:val="en-US" w:eastAsia="zh-CN"/>
              </w:rPr>
              <w:t>309</w:t>
            </w:r>
          </w:p>
        </w:tc>
        <w:tc>
          <w:tcPr>
            <w:tcW w:w="43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ascii="宋体" w:hAnsi="宋体" w:cs="宋体"/>
                <w:color w:val="000000"/>
                <w:sz w:val="21"/>
                <w:szCs w:val="21"/>
              </w:rPr>
            </w:pPr>
          </w:p>
        </w:tc>
        <w:tc>
          <w:tcPr>
            <w:tcW w:w="926" w:type="pct"/>
            <w:shd w:val="clear" w:color="auto" w:fill="auto"/>
            <w:tcMar>
              <w:top w:w="12" w:type="dxa"/>
              <w:left w:w="12" w:type="dxa"/>
              <w:right w:w="12" w:type="dxa"/>
            </w:tcMar>
            <w:vAlign w:val="center"/>
          </w:tcPr>
          <w:p>
            <w:pPr>
              <w:widowControl/>
              <w:spacing w:line="240" w:lineRule="auto"/>
              <w:ind w:firstLine="0" w:firstLineChars="0"/>
              <w:jc w:val="center"/>
              <w:rPr>
                <w:rFonts w:ascii="宋体" w:hAnsi="宋体" w:cs="宋体"/>
                <w:color w:val="000000"/>
                <w:sz w:val="21"/>
                <w:szCs w:val="21"/>
              </w:rPr>
            </w:pPr>
          </w:p>
        </w:tc>
        <w:tc>
          <w:tcPr>
            <w:tcW w:w="926" w:type="pct"/>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default" w:ascii="宋体" w:hAnsi="宋体" w:eastAsia="宋体" w:cs="宋体"/>
                <w:color w:val="000000"/>
                <w:sz w:val="21"/>
                <w:szCs w:val="21"/>
                <w:lang w:val="en-US" w:eastAsia="zh-CN"/>
              </w:rPr>
            </w:pPr>
            <w:r>
              <w:rPr>
                <w:rFonts w:hint="eastAsia" w:cs="宋体"/>
                <w:color w:val="000000"/>
                <w:kern w:val="0"/>
                <w:sz w:val="21"/>
                <w:szCs w:val="21"/>
                <w:lang w:val="en-US" w:eastAsia="zh-CN"/>
              </w:rPr>
              <w:t>6180</w:t>
            </w:r>
          </w:p>
        </w:tc>
      </w:tr>
    </w:tbl>
    <w:p>
      <w:pPr>
        <w:pStyle w:val="7"/>
        <w:tabs>
          <w:tab w:val="clear" w:pos="575"/>
        </w:tabs>
        <w:rPr>
          <w:rFonts w:hint="default" w:cs="宋体"/>
          <w:color w:val="auto"/>
          <w:lang w:val="en-US" w:eastAsia="zh-CN"/>
        </w:rPr>
      </w:pPr>
      <w:r>
        <w:rPr>
          <w:rFonts w:hint="eastAsia" w:cs="宋体"/>
          <w:color w:val="auto"/>
          <w:lang w:val="en-US" w:eastAsia="zh-CN"/>
        </w:rPr>
        <w:t>水利局传输带宽需求分析</w:t>
      </w:r>
    </w:p>
    <w:p>
      <w:pPr>
        <w:bidi w:val="0"/>
        <w:rPr>
          <w:rFonts w:hint="eastAsia"/>
          <w:lang w:val="en-US" w:eastAsia="zh-CN"/>
        </w:rPr>
      </w:pPr>
      <w:r>
        <w:rPr>
          <w:rFonts w:hint="eastAsia"/>
          <w:lang w:val="en-US" w:eastAsia="zh-CN"/>
        </w:rPr>
        <w:t>由于政策的变化，从包鸾、仁沙、社坛的水文站至水利局的链路需重新建设。本次采用租用运营商网络的方式进行建设，增加三条100M的链路，分别是包鸾水文站至水利局、仁沙水文站至水利局、社坛水文站至水利局。</w:t>
      </w:r>
    </w:p>
    <w:p>
      <w:pPr>
        <w:bidi w:val="0"/>
        <w:rPr>
          <w:rFonts w:hint="eastAsia"/>
          <w:lang w:val="en-US" w:eastAsia="zh-CN"/>
        </w:rPr>
      </w:pPr>
      <w:r>
        <w:rPr>
          <w:rFonts w:hint="eastAsia"/>
          <w:lang w:val="en-US" w:eastAsia="zh-CN"/>
        </w:rPr>
        <w:t>保留景区花园视频站、石柱江池交界视频站、李佛渡视频站、雪玉洞视频站、九溪沟视频站、绿春坝视频站、大河坝视频站、善福桥视频站、两汇口视频站、九重天负氧离子站、香岩湾雨量站、小湾雨量站、打谷坝雨量站、三建水位站以及碧溪河3个视频站至水利局的链路，共计17条10M运营商链路。</w:t>
      </w:r>
    </w:p>
    <w:p>
      <w:pPr>
        <w:bidi w:val="0"/>
        <w:rPr>
          <w:rFonts w:hint="eastAsia"/>
          <w:lang w:val="en-US" w:eastAsia="zh-CN"/>
        </w:rPr>
      </w:pPr>
      <w:r>
        <w:rPr>
          <w:rFonts w:hint="eastAsia"/>
          <w:lang w:val="en-US" w:eastAsia="zh-CN"/>
        </w:rPr>
        <w:t>具体如下表：</w:t>
      </w:r>
    </w:p>
    <w:p>
      <w:pPr>
        <w:pStyle w:val="40"/>
        <w:bidi w:val="0"/>
        <w:rPr>
          <w:rFonts w:hint="default"/>
          <w:lang w:val="en-US" w:eastAsia="zh-CN"/>
        </w:rPr>
      </w:pPr>
      <w:r>
        <w:rPr>
          <w:rFonts w:hint="eastAsia"/>
          <w:lang w:val="en-US" w:eastAsia="zh-CN"/>
        </w:rPr>
        <w:t>传输带宽需求</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97"/>
        <w:gridCol w:w="3210"/>
        <w:gridCol w:w="1342"/>
        <w:gridCol w:w="1377"/>
        <w:gridCol w:w="13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链路</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带宽</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数量（条）</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总带宽需求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包鸾水文站至水利局</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仁沙水文站至水利局</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社坛水文站至水利局</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4</w:t>
            </w:r>
          </w:p>
        </w:tc>
        <w:tc>
          <w:tcPr>
            <w:tcW w:w="1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视频站至水利局</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10M</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17</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170M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5</w:t>
            </w:r>
          </w:p>
        </w:tc>
        <w:tc>
          <w:tcPr>
            <w:tcW w:w="1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47</w:t>
            </w:r>
            <w:r>
              <w:rPr>
                <w:rFonts w:hint="eastAsia" w:ascii="宋体" w:hAnsi="宋体" w:eastAsia="宋体" w:cs="宋体"/>
                <w:i w:val="0"/>
                <w:iCs w:val="0"/>
                <w:color w:val="000000"/>
                <w:kern w:val="0"/>
                <w:sz w:val="21"/>
                <w:szCs w:val="21"/>
                <w:u w:val="none"/>
                <w:lang w:val="en-US" w:eastAsia="zh-CN" w:bidi="ar"/>
              </w:rPr>
              <w:t>0M</w:t>
            </w:r>
          </w:p>
        </w:tc>
      </w:tr>
    </w:tbl>
    <w:p>
      <w:pPr>
        <w:bidi w:val="0"/>
        <w:rPr>
          <w:rFonts w:hint="default"/>
          <w:lang w:val="en-US" w:eastAsia="zh-CN"/>
        </w:rPr>
      </w:pPr>
    </w:p>
    <w:p>
      <w:pPr>
        <w:pStyle w:val="6"/>
        <w:tabs>
          <w:tab w:val="left" w:pos="575"/>
          <w:tab w:val="clear" w:pos="0"/>
        </w:tabs>
        <w:bidi w:val="0"/>
        <w:ind w:left="0" w:leftChars="0" w:firstLine="0" w:firstLineChars="0"/>
        <w:rPr>
          <w:rFonts w:hint="default"/>
        </w:rPr>
      </w:pPr>
      <w:bookmarkStart w:id="130" w:name="_Toc24308"/>
      <w:r>
        <w:t>视频存储</w:t>
      </w:r>
      <w:r>
        <w:rPr>
          <w:rFonts w:hint="eastAsia"/>
          <w:lang w:val="en-US" w:eastAsia="zh-CN"/>
        </w:rPr>
        <w:t>量分析</w:t>
      </w:r>
      <w:bookmarkEnd w:id="130"/>
    </w:p>
    <w:p>
      <w:pPr>
        <w:ind w:firstLine="520"/>
        <w:rPr>
          <w:rFonts w:hint="eastAsia"/>
          <w:highlight w:val="none"/>
        </w:rPr>
      </w:pPr>
      <w:r>
        <w:rPr>
          <w:rFonts w:hint="eastAsia"/>
          <w:highlight w:val="none"/>
        </w:rPr>
        <w:t>根据《重庆市公共安全视频图像系统建设技术指导意见（试行）》要求，存储时间原则上不少于30天，到期后循环覆盖。防范恐怖袭击重点目标采集的视频图像信息保存期限应不少于90天。根据业务需求，按视频数据存储30天，本</w:t>
      </w:r>
      <w:r>
        <w:rPr>
          <w:rFonts w:hint="eastAsia"/>
          <w:highlight w:val="none"/>
          <w:lang w:val="en-US" w:eastAsia="zh-CN"/>
        </w:rPr>
        <w:t>项目</w:t>
      </w:r>
      <w:r>
        <w:rPr>
          <w:rFonts w:hint="eastAsia"/>
          <w:highlight w:val="none"/>
        </w:rPr>
        <w:t>摄像头存储数据量如下：</w:t>
      </w:r>
    </w:p>
    <w:p>
      <w:pPr>
        <w:pStyle w:val="7"/>
        <w:bidi w:val="0"/>
        <w:rPr>
          <w:rFonts w:hint="eastAsia"/>
        </w:rPr>
      </w:pPr>
      <w:r>
        <w:rPr>
          <w:rFonts w:hint="eastAsia"/>
        </w:rPr>
        <w:t>原始</w:t>
      </w:r>
      <w:r>
        <w:t>视频存储</w:t>
      </w:r>
    </w:p>
    <w:p>
      <w:pPr>
        <w:bidi w:val="0"/>
        <w:rPr>
          <w:rFonts w:hint="eastAsia"/>
          <w:lang w:val="en-US" w:eastAsia="zh-CN"/>
        </w:rPr>
      </w:pPr>
      <w:r>
        <w:rPr>
          <w:rFonts w:hint="eastAsia"/>
          <w:lang w:val="en-US" w:eastAsia="zh-CN"/>
        </w:rPr>
        <w:t>本项目建设309路结构化摄像机，包含179路结构化球机、130路结构化枪机，每路摄像机按照8</w:t>
      </w:r>
      <w:r>
        <w:rPr>
          <w:rFonts w:hint="eastAsia"/>
        </w:rPr>
        <w:t>Mbps码流计算，存储30天计算</w:t>
      </w:r>
      <w:r>
        <w:rPr>
          <w:rFonts w:hint="eastAsia"/>
          <w:lang w:eastAsia="zh-CN"/>
        </w:rPr>
        <w:t>。</w:t>
      </w:r>
    </w:p>
    <w:p>
      <w:pPr>
        <w:bidi w:val="0"/>
        <w:rPr>
          <w:rFonts w:hint="eastAsia"/>
        </w:rPr>
      </w:pPr>
      <w:r>
        <w:rPr>
          <w:rFonts w:hint="eastAsia"/>
        </w:rPr>
        <w:t>所需存储空间=【路数*码流*3600*24*30】/8/1024/1024/0.8（硬盘利用率）/0.9（存储空间利用率）。</w:t>
      </w:r>
    </w:p>
    <w:p>
      <w:pPr>
        <w:keepNext w:val="0"/>
        <w:keepLines w:val="0"/>
        <w:pageBreakBefore w:val="0"/>
        <w:widowControl w:val="0"/>
        <w:numPr>
          <w:ilvl w:val="0"/>
          <w:numId w:val="28"/>
        </w:numPr>
        <w:kinsoku/>
        <w:wordWrap/>
        <w:overflowPunct/>
        <w:topLinePunct w:val="0"/>
        <w:autoSpaceDE/>
        <w:autoSpaceDN/>
        <w:bidi w:val="0"/>
        <w:adjustRightInd/>
        <w:snapToGrid w:val="0"/>
        <w:ind w:left="0" w:leftChars="0" w:firstLine="524" w:firstLineChars="200"/>
        <w:textAlignment w:val="auto"/>
        <w:rPr>
          <w:rFonts w:hint="eastAsia" w:ascii="宋体" w:hAnsi="宋体" w:eastAsia="宋体" w:cs="宋体"/>
          <w:lang w:val="en-US" w:eastAsia="zh-CN"/>
        </w:rPr>
      </w:pPr>
      <w:r>
        <w:rPr>
          <w:rFonts w:hint="eastAsia" w:cs="宋体"/>
          <w:lang w:val="en-US" w:eastAsia="zh-CN"/>
        </w:rPr>
        <w:t>179</w:t>
      </w:r>
      <w:r>
        <w:rPr>
          <w:rFonts w:hint="eastAsia" w:ascii="宋体" w:hAnsi="宋体" w:eastAsia="宋体" w:cs="宋体"/>
          <w:lang w:val="en-US" w:eastAsia="zh-CN"/>
        </w:rPr>
        <w:t>路结构化球机</w:t>
      </w:r>
    </w:p>
    <w:p>
      <w:pPr>
        <w:bidi w:val="0"/>
        <w:rPr>
          <w:rFonts w:hint="eastAsia"/>
          <w:lang w:val="en-US" w:eastAsia="zh-CN"/>
        </w:rPr>
      </w:pPr>
      <w:r>
        <w:rPr>
          <w:rFonts w:hint="eastAsia"/>
        </w:rPr>
        <w:t>所需存储空间=【</w:t>
      </w:r>
      <w:r>
        <w:rPr>
          <w:rFonts w:hint="eastAsia"/>
          <w:lang w:val="en-US" w:eastAsia="zh-CN"/>
        </w:rPr>
        <w:t>179</w:t>
      </w:r>
      <w:r>
        <w:rPr>
          <w:rFonts w:hint="eastAsia"/>
        </w:rPr>
        <w:t>*</w:t>
      </w:r>
      <w:r>
        <w:rPr>
          <w:rFonts w:hint="eastAsia"/>
          <w:lang w:val="en-US" w:eastAsia="zh-CN"/>
        </w:rPr>
        <w:t>8</w:t>
      </w:r>
      <w:r>
        <w:rPr>
          <w:rFonts w:hint="eastAsia"/>
        </w:rPr>
        <w:t>M*3600*24*30】/8/1024/1024/0.8（硬盘利用率）/0.9（存储空间利用率）</w:t>
      </w:r>
      <w:r>
        <w:rPr>
          <w:rFonts w:hint="default"/>
        </w:rPr>
        <w:t>≈</w:t>
      </w:r>
      <w:r>
        <w:rPr>
          <w:rFonts w:hint="eastAsia"/>
          <w:lang w:val="en-US" w:eastAsia="zh-CN"/>
        </w:rPr>
        <w:t>614.54TB。</w:t>
      </w:r>
    </w:p>
    <w:p>
      <w:pPr>
        <w:keepNext w:val="0"/>
        <w:keepLines w:val="0"/>
        <w:pageBreakBefore w:val="0"/>
        <w:widowControl w:val="0"/>
        <w:numPr>
          <w:ilvl w:val="0"/>
          <w:numId w:val="28"/>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eastAsia"/>
          <w:lang w:val="en-US" w:eastAsia="zh-CN"/>
        </w:rPr>
        <w:t>130路结构化枪机</w:t>
      </w:r>
    </w:p>
    <w:p>
      <w:pPr>
        <w:bidi w:val="0"/>
        <w:rPr>
          <w:rFonts w:hint="eastAsia"/>
          <w:lang w:val="en-US" w:eastAsia="zh-CN"/>
        </w:rPr>
      </w:pPr>
      <w:r>
        <w:rPr>
          <w:rFonts w:hint="eastAsia"/>
        </w:rPr>
        <w:t>所需存储空间=【</w:t>
      </w:r>
      <w:r>
        <w:rPr>
          <w:rFonts w:hint="eastAsia"/>
          <w:lang w:val="en-US" w:eastAsia="zh-CN"/>
        </w:rPr>
        <w:t>130</w:t>
      </w:r>
      <w:r>
        <w:rPr>
          <w:rFonts w:hint="eastAsia"/>
        </w:rPr>
        <w:t>*</w:t>
      </w:r>
      <w:r>
        <w:rPr>
          <w:rFonts w:hint="eastAsia"/>
          <w:lang w:val="en-US" w:eastAsia="zh-CN"/>
        </w:rPr>
        <w:t>8</w:t>
      </w:r>
      <w:r>
        <w:rPr>
          <w:rFonts w:hint="eastAsia"/>
        </w:rPr>
        <w:t>M*3600*24*30】/8/1024/1024/0.8（硬盘利用率）/0.9（存储空间利用率）</w:t>
      </w:r>
      <w:r>
        <w:rPr>
          <w:rFonts w:hint="default"/>
        </w:rPr>
        <w:t>≈</w:t>
      </w:r>
      <w:r>
        <w:rPr>
          <w:rFonts w:hint="eastAsia"/>
          <w:lang w:val="en-US" w:eastAsia="zh-CN"/>
        </w:rPr>
        <w:t>446.32TB。</w:t>
      </w:r>
    </w:p>
    <w:p>
      <w:pPr>
        <w:ind w:firstLine="520"/>
        <w:rPr>
          <w:rFonts w:hint="eastAsia" w:ascii="宋体" w:hAnsi="宋体" w:cs="宋体"/>
        </w:rPr>
      </w:pPr>
      <w:r>
        <w:rPr>
          <w:rFonts w:hint="eastAsia" w:ascii="宋体" w:hAnsi="宋体" w:cs="宋体"/>
        </w:rPr>
        <w:t>总原始视频存储空间为</w:t>
      </w:r>
      <w:r>
        <w:rPr>
          <w:rFonts w:hint="eastAsia"/>
          <w:lang w:val="en-US" w:eastAsia="zh-CN"/>
        </w:rPr>
        <w:t>614.54TB+446.32TB=</w:t>
      </w:r>
      <w:r>
        <w:rPr>
          <w:rFonts w:hint="eastAsia" w:ascii="宋体" w:hAnsi="宋体" w:cs="宋体"/>
          <w:lang w:val="en-US" w:eastAsia="zh-CN"/>
        </w:rPr>
        <w:t>10</w:t>
      </w:r>
      <w:r>
        <w:rPr>
          <w:rFonts w:hint="eastAsia" w:cs="宋体"/>
          <w:lang w:val="en-US" w:eastAsia="zh-CN"/>
        </w:rPr>
        <w:t>60.86</w:t>
      </w:r>
      <w:r>
        <w:rPr>
          <w:rFonts w:hint="eastAsia" w:ascii="宋体" w:hAnsi="宋体" w:cs="宋体"/>
        </w:rPr>
        <w:t>TB。</w:t>
      </w:r>
    </w:p>
    <w:p>
      <w:pPr>
        <w:pStyle w:val="7"/>
        <w:bidi w:val="0"/>
        <w:rPr>
          <w:rFonts w:hint="default" w:cs="宋体"/>
          <w:lang w:val="en-US" w:eastAsia="zh-CN"/>
        </w:rPr>
      </w:pPr>
      <w:r>
        <w:rPr>
          <w:rFonts w:hint="eastAsia" w:cs="宋体"/>
          <w:lang w:val="en-US" w:eastAsia="zh-CN"/>
        </w:rPr>
        <w:t>图片数据存储</w:t>
      </w:r>
    </w:p>
    <w:p>
      <w:pPr>
        <w:bidi w:val="0"/>
      </w:pPr>
      <w:r>
        <w:rPr>
          <w:rFonts w:hint="eastAsia"/>
          <w:lang w:val="en-US" w:eastAsia="zh-CN"/>
        </w:rPr>
        <w:t>本项目建设309路结构化摄像机，包含179路结构化球机、130路结构化枪机</w:t>
      </w:r>
      <w:r>
        <w:rPr>
          <w:rFonts w:hint="eastAsia"/>
        </w:rPr>
        <w:t>，图片存储</w:t>
      </w:r>
      <w:r>
        <w:t>18</w:t>
      </w:r>
      <w:r>
        <w:rPr>
          <w:rFonts w:hint="eastAsia"/>
        </w:rPr>
        <w:t>0天，抠图存储</w:t>
      </w:r>
      <w:r>
        <w:t>1</w:t>
      </w:r>
      <w:r>
        <w:rPr>
          <w:rFonts w:hint="eastAsia"/>
        </w:rPr>
        <w:t>年，计算方式如下：</w:t>
      </w:r>
    </w:p>
    <w:p>
      <w:pPr>
        <w:bidi w:val="0"/>
      </w:pPr>
      <w:r>
        <w:rPr>
          <w:rFonts w:hint="eastAsia"/>
        </w:rPr>
        <w:t>结构化镜头图量（TB）=</w:t>
      </w:r>
      <w:r>
        <w:rPr>
          <w:rFonts w:hint="eastAsia"/>
          <w:lang w:val="en-US" w:eastAsia="zh-CN"/>
        </w:rPr>
        <w:t>结构化</w:t>
      </w:r>
      <w:r>
        <w:rPr>
          <w:rFonts w:hint="eastAsia"/>
        </w:rPr>
        <w:t>分析路数*每路摄像头产生记录的条数/天*图片数据大小（</w:t>
      </w:r>
      <w:r>
        <w:t>8</w:t>
      </w:r>
      <w:r>
        <w:rPr>
          <w:rFonts w:hint="eastAsia"/>
        </w:rPr>
        <w:t>00）KB* 数据保存周期/1024/1024/1024*冗余（1.3）。</w:t>
      </w:r>
    </w:p>
    <w:p>
      <w:pPr>
        <w:bidi w:val="0"/>
      </w:pPr>
      <w:r>
        <w:rPr>
          <w:rFonts w:hint="eastAsia"/>
        </w:rPr>
        <w:t>结构化镜头人像抠图量（TB）=</w:t>
      </w:r>
      <w:r>
        <w:rPr>
          <w:rFonts w:hint="eastAsia"/>
          <w:lang w:val="en-US" w:eastAsia="zh-CN"/>
        </w:rPr>
        <w:t>结构化</w:t>
      </w:r>
      <w:r>
        <w:rPr>
          <w:rFonts w:hint="eastAsia"/>
        </w:rPr>
        <w:t>分析路数*每路摄像头产生记录的条数/天 * 图片数据大小（</w:t>
      </w:r>
      <w:r>
        <w:rPr>
          <w:rFonts w:hint="eastAsia"/>
          <w:lang w:val="en-US" w:eastAsia="zh-CN"/>
        </w:rPr>
        <w:t>60</w:t>
      </w:r>
      <w:r>
        <w:rPr>
          <w:rFonts w:hint="eastAsia"/>
        </w:rPr>
        <w:t>）KB * 数据保存周期/1024/1024/1024*冗余（1.3）。</w:t>
      </w:r>
    </w:p>
    <w:p>
      <w:pPr>
        <w:bidi w:val="0"/>
      </w:pPr>
      <w:r>
        <w:rPr>
          <w:rFonts w:hint="eastAsia"/>
        </w:rPr>
        <w:t>结构化镜头车辆抠图（TB）=</w:t>
      </w:r>
      <w:r>
        <w:rPr>
          <w:rFonts w:hint="eastAsia"/>
          <w:lang w:val="en-US" w:eastAsia="zh-CN"/>
        </w:rPr>
        <w:t>结构化</w:t>
      </w:r>
      <w:r>
        <w:rPr>
          <w:rFonts w:hint="eastAsia"/>
        </w:rPr>
        <w:t>分析路数*每路摄像头产生记录的条数/天*卡口图片数据大小（</w:t>
      </w:r>
      <w:r>
        <w:rPr>
          <w:rFonts w:hint="eastAsia"/>
          <w:lang w:val="en-US" w:eastAsia="zh-CN"/>
        </w:rPr>
        <w:t>60</w:t>
      </w:r>
      <w:r>
        <w:rPr>
          <w:rFonts w:hint="eastAsia"/>
        </w:rPr>
        <w:t>）KB* 数据保存周期/1024/1024/1024*冗余（1.3）。</w:t>
      </w:r>
    </w:p>
    <w:p>
      <w:pPr>
        <w:pStyle w:val="83"/>
        <w:numPr>
          <w:ilvl w:val="0"/>
          <w:numId w:val="29"/>
        </w:numPr>
        <w:spacing w:before="120"/>
      </w:pPr>
      <w:r>
        <w:rPr>
          <w:rFonts w:hint="eastAsia"/>
        </w:rPr>
        <w:t>人脸、车辆图片数据存储量</w:t>
      </w:r>
    </w:p>
    <w:tbl>
      <w:tblPr>
        <w:tblStyle w:val="28"/>
        <w:tblW w:w="5000" w:type="pct"/>
        <w:tblInd w:w="0" w:type="dxa"/>
        <w:tblLayout w:type="autofit"/>
        <w:tblCellMar>
          <w:top w:w="0" w:type="dxa"/>
          <w:left w:w="108" w:type="dxa"/>
          <w:bottom w:w="0" w:type="dxa"/>
          <w:right w:w="108" w:type="dxa"/>
        </w:tblCellMar>
      </w:tblPr>
      <w:tblGrid>
        <w:gridCol w:w="426"/>
        <w:gridCol w:w="2053"/>
        <w:gridCol w:w="846"/>
        <w:gridCol w:w="1200"/>
        <w:gridCol w:w="1580"/>
        <w:gridCol w:w="676"/>
        <w:gridCol w:w="617"/>
        <w:gridCol w:w="1073"/>
      </w:tblGrid>
      <w:tr>
        <w:tblPrEx>
          <w:tblCellMar>
            <w:top w:w="0" w:type="dxa"/>
            <w:left w:w="108" w:type="dxa"/>
            <w:bottom w:w="0" w:type="dxa"/>
            <w:right w:w="108" w:type="dxa"/>
          </w:tblCellMar>
        </w:tblPrEx>
        <w:trPr>
          <w:trHeight w:val="540" w:hRule="atLeast"/>
        </w:trPr>
        <w:tc>
          <w:tcPr>
            <w:tcW w:w="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序号</w:t>
            </w:r>
          </w:p>
        </w:tc>
        <w:tc>
          <w:tcPr>
            <w:tcW w:w="1211" w:type="pct"/>
            <w:tcBorders>
              <w:top w:val="single" w:color="auto" w:sz="4" w:space="0"/>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项目</w:t>
            </w:r>
          </w:p>
        </w:tc>
        <w:tc>
          <w:tcPr>
            <w:tcW w:w="499" w:type="pct"/>
            <w:tcBorders>
              <w:top w:val="single" w:color="auto" w:sz="4" w:space="0"/>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路数（台）</w:t>
            </w:r>
          </w:p>
        </w:tc>
        <w:tc>
          <w:tcPr>
            <w:tcW w:w="708" w:type="pct"/>
            <w:tcBorders>
              <w:top w:val="single" w:color="auto" w:sz="4" w:space="0"/>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图片大小（MB）</w:t>
            </w:r>
          </w:p>
        </w:tc>
        <w:tc>
          <w:tcPr>
            <w:tcW w:w="932" w:type="pct"/>
            <w:tcBorders>
              <w:top w:val="single" w:color="auto" w:sz="4" w:space="0"/>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图片量（张/天）</w:t>
            </w:r>
          </w:p>
        </w:tc>
        <w:tc>
          <w:tcPr>
            <w:tcW w:w="399" w:type="pct"/>
            <w:tcBorders>
              <w:top w:val="single" w:color="auto" w:sz="4" w:space="0"/>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天数</w:t>
            </w:r>
          </w:p>
        </w:tc>
        <w:tc>
          <w:tcPr>
            <w:tcW w:w="364" w:type="pct"/>
            <w:tcBorders>
              <w:top w:val="single" w:color="auto" w:sz="4" w:space="0"/>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冗余</w:t>
            </w:r>
          </w:p>
        </w:tc>
        <w:tc>
          <w:tcPr>
            <w:tcW w:w="633" w:type="pct"/>
            <w:tcBorders>
              <w:top w:val="single" w:color="auto" w:sz="4" w:space="0"/>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数据量（TB）</w:t>
            </w:r>
          </w:p>
        </w:tc>
      </w:tr>
      <w:tr>
        <w:tblPrEx>
          <w:tblCellMar>
            <w:top w:w="0" w:type="dxa"/>
            <w:left w:w="108" w:type="dxa"/>
            <w:bottom w:w="0" w:type="dxa"/>
            <w:right w:w="108" w:type="dxa"/>
          </w:tblCellMar>
        </w:tblPrEx>
        <w:trPr>
          <w:trHeight w:val="280" w:hRule="atLeast"/>
        </w:trPr>
        <w:tc>
          <w:tcPr>
            <w:tcW w:w="251" w:type="pct"/>
            <w:tcBorders>
              <w:top w:val="nil"/>
              <w:left w:val="single" w:color="auto" w:sz="4" w:space="0"/>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eastAsia" w:cs="宋体" w:asciiTheme="majorEastAsia" w:hAnsiTheme="majorEastAsia" w:eastAsiaTheme="majorEastAsia"/>
                <w:color w:val="000000"/>
                <w:spacing w:val="0"/>
                <w:kern w:val="0"/>
                <w:sz w:val="21"/>
                <w:szCs w:val="21"/>
                <w:lang w:eastAsia="zh-CN"/>
              </w:rPr>
            </w:pPr>
            <w:r>
              <w:rPr>
                <w:rFonts w:hint="eastAsia" w:cs="宋体" w:asciiTheme="majorEastAsia" w:hAnsiTheme="majorEastAsia" w:eastAsiaTheme="majorEastAsia"/>
                <w:color w:val="000000"/>
                <w:spacing w:val="0"/>
                <w:kern w:val="0"/>
                <w:sz w:val="21"/>
                <w:szCs w:val="21"/>
                <w:lang w:val="en-US" w:eastAsia="zh-CN"/>
              </w:rPr>
              <w:t>1</w:t>
            </w:r>
          </w:p>
        </w:tc>
        <w:tc>
          <w:tcPr>
            <w:tcW w:w="121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宋体" w:asciiTheme="majorEastAsia" w:hAnsiTheme="majorEastAsia" w:eastAsiaTheme="majorEastAsia"/>
                <w:color w:val="000000"/>
                <w:spacing w:val="0"/>
                <w:kern w:val="0"/>
                <w:sz w:val="21"/>
                <w:szCs w:val="21"/>
              </w:rPr>
            </w:pPr>
            <w:r>
              <w:rPr>
                <w:rFonts w:hint="eastAsia" w:ascii="宋体" w:hAnsi="宋体" w:cs="宋体"/>
                <w:color w:val="000000"/>
                <w:kern w:val="0"/>
                <w:sz w:val="21"/>
                <w:szCs w:val="21"/>
              </w:rPr>
              <w:t>结构化镜头图片</w:t>
            </w:r>
          </w:p>
        </w:tc>
        <w:tc>
          <w:tcPr>
            <w:tcW w:w="499"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default" w:cs="宋体" w:asciiTheme="majorEastAsia" w:hAnsiTheme="majorEastAsia" w:eastAsiaTheme="majorEastAsia"/>
                <w:color w:val="000000"/>
                <w:spacing w:val="0"/>
                <w:kern w:val="0"/>
                <w:sz w:val="21"/>
                <w:szCs w:val="21"/>
                <w:lang w:val="en-US" w:eastAsia="zh-CN"/>
              </w:rPr>
            </w:pPr>
            <w:r>
              <w:rPr>
                <w:rFonts w:hint="eastAsia" w:cs="宋体"/>
                <w:spacing w:val="0"/>
                <w:kern w:val="0"/>
                <w:sz w:val="21"/>
                <w:szCs w:val="21"/>
                <w:lang w:val="en-US" w:eastAsia="zh-CN"/>
              </w:rPr>
              <w:t>309</w:t>
            </w:r>
          </w:p>
        </w:tc>
        <w:tc>
          <w:tcPr>
            <w:tcW w:w="708"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0.8</w:t>
            </w:r>
          </w:p>
        </w:tc>
        <w:tc>
          <w:tcPr>
            <w:tcW w:w="932"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default" w:cs="宋体" w:asciiTheme="majorEastAsia" w:hAnsiTheme="majorEastAsia" w:eastAsiaTheme="majorEastAsia"/>
                <w:color w:val="000000"/>
                <w:spacing w:val="0"/>
                <w:kern w:val="0"/>
                <w:sz w:val="21"/>
                <w:szCs w:val="21"/>
                <w:lang w:val="en-US" w:eastAsia="zh-CN"/>
              </w:rPr>
            </w:pPr>
            <w:r>
              <w:rPr>
                <w:rFonts w:hint="eastAsia" w:cs="宋体" w:asciiTheme="majorEastAsia" w:hAnsiTheme="majorEastAsia" w:eastAsiaTheme="majorEastAsia"/>
                <w:color w:val="000000"/>
                <w:spacing w:val="0"/>
                <w:kern w:val="0"/>
                <w:sz w:val="21"/>
                <w:szCs w:val="21"/>
                <w:lang w:val="en-US" w:eastAsia="zh-CN"/>
              </w:rPr>
              <w:t>4000</w:t>
            </w:r>
          </w:p>
        </w:tc>
        <w:tc>
          <w:tcPr>
            <w:tcW w:w="399"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180</w:t>
            </w:r>
          </w:p>
        </w:tc>
        <w:tc>
          <w:tcPr>
            <w:tcW w:w="364"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1.3</w:t>
            </w:r>
          </w:p>
        </w:tc>
        <w:tc>
          <w:tcPr>
            <w:tcW w:w="633"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default" w:cs="宋体" w:asciiTheme="majorEastAsia" w:hAnsiTheme="majorEastAsia" w:eastAsiaTheme="majorEastAsia"/>
                <w:color w:val="000000"/>
                <w:spacing w:val="0"/>
                <w:kern w:val="0"/>
                <w:sz w:val="21"/>
                <w:szCs w:val="21"/>
                <w:lang w:val="en-US" w:eastAsia="zh-CN"/>
              </w:rPr>
            </w:pPr>
            <w:r>
              <w:rPr>
                <w:rFonts w:hint="eastAsia" w:cs="宋体" w:asciiTheme="majorEastAsia" w:hAnsiTheme="majorEastAsia" w:eastAsiaTheme="majorEastAsia"/>
                <w:color w:val="000000"/>
                <w:spacing w:val="0"/>
                <w:kern w:val="0"/>
                <w:sz w:val="21"/>
                <w:szCs w:val="21"/>
                <w:lang w:val="en-US" w:eastAsia="zh-CN"/>
              </w:rPr>
              <w:t>215.49</w:t>
            </w:r>
          </w:p>
        </w:tc>
      </w:tr>
      <w:tr>
        <w:tblPrEx>
          <w:tblCellMar>
            <w:top w:w="0" w:type="dxa"/>
            <w:left w:w="108" w:type="dxa"/>
            <w:bottom w:w="0" w:type="dxa"/>
            <w:right w:w="108" w:type="dxa"/>
          </w:tblCellMar>
        </w:tblPrEx>
        <w:trPr>
          <w:trHeight w:val="280" w:hRule="atLeast"/>
        </w:trPr>
        <w:tc>
          <w:tcPr>
            <w:tcW w:w="251" w:type="pct"/>
            <w:tcBorders>
              <w:top w:val="nil"/>
              <w:left w:val="single" w:color="auto" w:sz="4" w:space="0"/>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eastAsia" w:cs="宋体" w:asciiTheme="majorEastAsia" w:hAnsiTheme="majorEastAsia" w:eastAsiaTheme="majorEastAsia"/>
                <w:color w:val="000000"/>
                <w:spacing w:val="0"/>
                <w:kern w:val="0"/>
                <w:sz w:val="21"/>
                <w:szCs w:val="21"/>
                <w:lang w:eastAsia="zh-CN"/>
              </w:rPr>
            </w:pPr>
            <w:r>
              <w:rPr>
                <w:rFonts w:hint="eastAsia" w:cs="宋体" w:asciiTheme="majorEastAsia" w:hAnsiTheme="majorEastAsia" w:eastAsiaTheme="majorEastAsia"/>
                <w:color w:val="000000"/>
                <w:spacing w:val="0"/>
                <w:kern w:val="0"/>
                <w:sz w:val="21"/>
                <w:szCs w:val="21"/>
                <w:lang w:val="en-US" w:eastAsia="zh-CN"/>
              </w:rPr>
              <w:t>2</w:t>
            </w:r>
          </w:p>
        </w:tc>
        <w:tc>
          <w:tcPr>
            <w:tcW w:w="121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宋体" w:asciiTheme="majorEastAsia" w:hAnsiTheme="majorEastAsia" w:eastAsiaTheme="majorEastAsia"/>
                <w:color w:val="000000"/>
                <w:spacing w:val="0"/>
                <w:kern w:val="0"/>
                <w:sz w:val="21"/>
                <w:szCs w:val="21"/>
              </w:rPr>
            </w:pPr>
            <w:r>
              <w:rPr>
                <w:rFonts w:hint="eastAsia" w:ascii="宋体" w:hAnsi="宋体" w:cs="宋体"/>
                <w:color w:val="000000"/>
                <w:kern w:val="0"/>
                <w:sz w:val="21"/>
                <w:szCs w:val="21"/>
              </w:rPr>
              <w:t>结构化镜头人像抠图</w:t>
            </w:r>
          </w:p>
        </w:tc>
        <w:tc>
          <w:tcPr>
            <w:tcW w:w="499"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spacing w:val="0"/>
                <w:kern w:val="0"/>
                <w:sz w:val="21"/>
                <w:szCs w:val="21"/>
                <w:lang w:val="en-US" w:eastAsia="zh-CN"/>
              </w:rPr>
              <w:t>309</w:t>
            </w:r>
          </w:p>
        </w:tc>
        <w:tc>
          <w:tcPr>
            <w:tcW w:w="708"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default" w:cs="宋体" w:asciiTheme="majorEastAsia" w:hAnsiTheme="majorEastAsia" w:eastAsiaTheme="majorEastAsia"/>
                <w:color w:val="000000"/>
                <w:spacing w:val="0"/>
                <w:kern w:val="0"/>
                <w:sz w:val="21"/>
                <w:szCs w:val="21"/>
                <w:lang w:val="en-US" w:eastAsia="zh-CN"/>
              </w:rPr>
            </w:pPr>
            <w:r>
              <w:rPr>
                <w:rFonts w:hint="eastAsia" w:cs="宋体" w:asciiTheme="majorEastAsia" w:hAnsiTheme="majorEastAsia" w:eastAsiaTheme="majorEastAsia"/>
                <w:color w:val="000000"/>
                <w:spacing w:val="0"/>
                <w:kern w:val="0"/>
                <w:sz w:val="21"/>
                <w:szCs w:val="21"/>
                <w:lang w:val="en-US" w:eastAsia="zh-CN"/>
              </w:rPr>
              <w:t>0.06</w:t>
            </w:r>
          </w:p>
        </w:tc>
        <w:tc>
          <w:tcPr>
            <w:tcW w:w="932"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4000</w:t>
            </w:r>
          </w:p>
        </w:tc>
        <w:tc>
          <w:tcPr>
            <w:tcW w:w="399"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default" w:cs="宋体" w:asciiTheme="majorEastAsia" w:hAnsiTheme="majorEastAsia" w:eastAsiaTheme="majorEastAsia"/>
                <w:color w:val="000000"/>
                <w:spacing w:val="0"/>
                <w:kern w:val="0"/>
                <w:sz w:val="21"/>
                <w:szCs w:val="21"/>
                <w:lang w:val="en-US" w:eastAsia="zh-CN"/>
              </w:rPr>
            </w:pPr>
            <w:r>
              <w:rPr>
                <w:rFonts w:hint="eastAsia" w:cs="宋体" w:asciiTheme="majorEastAsia" w:hAnsiTheme="majorEastAsia" w:eastAsiaTheme="majorEastAsia"/>
                <w:color w:val="000000"/>
                <w:spacing w:val="0"/>
                <w:kern w:val="0"/>
                <w:sz w:val="21"/>
                <w:szCs w:val="21"/>
                <w:lang w:val="en-US" w:eastAsia="zh-CN"/>
              </w:rPr>
              <w:t>365</w:t>
            </w:r>
          </w:p>
        </w:tc>
        <w:tc>
          <w:tcPr>
            <w:tcW w:w="364"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1.3</w:t>
            </w:r>
          </w:p>
        </w:tc>
        <w:tc>
          <w:tcPr>
            <w:tcW w:w="633"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default" w:cs="宋体" w:asciiTheme="majorEastAsia" w:hAnsiTheme="majorEastAsia" w:eastAsiaTheme="majorEastAsia"/>
                <w:color w:val="000000"/>
                <w:spacing w:val="0"/>
                <w:kern w:val="0"/>
                <w:sz w:val="21"/>
                <w:szCs w:val="21"/>
                <w:lang w:val="en-US" w:eastAsia="zh-CN"/>
              </w:rPr>
            </w:pPr>
            <w:r>
              <w:rPr>
                <w:rFonts w:hint="eastAsia" w:cs="宋体" w:asciiTheme="majorEastAsia" w:hAnsiTheme="majorEastAsia" w:eastAsiaTheme="majorEastAsia"/>
                <w:color w:val="000000"/>
                <w:spacing w:val="0"/>
                <w:kern w:val="0"/>
                <w:sz w:val="21"/>
                <w:szCs w:val="21"/>
                <w:lang w:val="en-US" w:eastAsia="zh-CN"/>
              </w:rPr>
              <w:t>32.77</w:t>
            </w:r>
          </w:p>
        </w:tc>
      </w:tr>
      <w:tr>
        <w:tblPrEx>
          <w:tblCellMar>
            <w:top w:w="0" w:type="dxa"/>
            <w:left w:w="108" w:type="dxa"/>
            <w:bottom w:w="0" w:type="dxa"/>
            <w:right w:w="108" w:type="dxa"/>
          </w:tblCellMar>
        </w:tblPrEx>
        <w:trPr>
          <w:trHeight w:val="280" w:hRule="atLeast"/>
        </w:trPr>
        <w:tc>
          <w:tcPr>
            <w:tcW w:w="251" w:type="pct"/>
            <w:tcBorders>
              <w:top w:val="nil"/>
              <w:left w:val="single" w:color="auto" w:sz="4" w:space="0"/>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eastAsia" w:cs="宋体" w:asciiTheme="majorEastAsia" w:hAnsiTheme="majorEastAsia" w:eastAsiaTheme="majorEastAsia"/>
                <w:color w:val="000000"/>
                <w:spacing w:val="0"/>
                <w:kern w:val="0"/>
                <w:sz w:val="21"/>
                <w:szCs w:val="21"/>
                <w:lang w:eastAsia="zh-CN"/>
              </w:rPr>
            </w:pPr>
            <w:r>
              <w:rPr>
                <w:rFonts w:hint="eastAsia" w:cs="宋体" w:asciiTheme="majorEastAsia" w:hAnsiTheme="majorEastAsia" w:eastAsiaTheme="majorEastAsia"/>
                <w:color w:val="000000"/>
                <w:spacing w:val="0"/>
                <w:kern w:val="0"/>
                <w:sz w:val="21"/>
                <w:szCs w:val="21"/>
                <w:lang w:val="en-US" w:eastAsia="zh-CN"/>
              </w:rPr>
              <w:t>3</w:t>
            </w:r>
          </w:p>
        </w:tc>
        <w:tc>
          <w:tcPr>
            <w:tcW w:w="121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宋体" w:asciiTheme="majorEastAsia" w:hAnsiTheme="majorEastAsia" w:eastAsiaTheme="majorEastAsia"/>
                <w:color w:val="000000"/>
                <w:spacing w:val="0"/>
                <w:kern w:val="0"/>
                <w:sz w:val="21"/>
                <w:szCs w:val="21"/>
              </w:rPr>
            </w:pPr>
            <w:r>
              <w:rPr>
                <w:rFonts w:hint="eastAsia" w:ascii="宋体" w:hAnsi="宋体" w:cs="宋体"/>
                <w:color w:val="000000"/>
                <w:kern w:val="0"/>
                <w:sz w:val="21"/>
                <w:szCs w:val="21"/>
              </w:rPr>
              <w:t>结构化镜头车辆抠图</w:t>
            </w:r>
          </w:p>
        </w:tc>
        <w:tc>
          <w:tcPr>
            <w:tcW w:w="499"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spacing w:val="0"/>
                <w:kern w:val="0"/>
                <w:sz w:val="21"/>
                <w:szCs w:val="21"/>
                <w:lang w:val="en-US" w:eastAsia="zh-CN"/>
              </w:rPr>
              <w:t>309</w:t>
            </w:r>
          </w:p>
        </w:tc>
        <w:tc>
          <w:tcPr>
            <w:tcW w:w="708"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0.06</w:t>
            </w:r>
          </w:p>
        </w:tc>
        <w:tc>
          <w:tcPr>
            <w:tcW w:w="932"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default" w:cs="宋体" w:asciiTheme="majorEastAsia" w:hAnsiTheme="majorEastAsia" w:eastAsiaTheme="majorEastAsia"/>
                <w:color w:val="000000"/>
                <w:spacing w:val="0"/>
                <w:kern w:val="0"/>
                <w:sz w:val="21"/>
                <w:szCs w:val="21"/>
                <w:lang w:val="en-US" w:eastAsia="zh-CN"/>
              </w:rPr>
            </w:pPr>
            <w:r>
              <w:rPr>
                <w:rFonts w:hint="eastAsia" w:cs="宋体" w:asciiTheme="majorEastAsia" w:hAnsiTheme="majorEastAsia" w:eastAsiaTheme="majorEastAsia"/>
                <w:color w:val="000000"/>
                <w:spacing w:val="0"/>
                <w:kern w:val="0"/>
                <w:sz w:val="21"/>
                <w:szCs w:val="21"/>
                <w:lang w:val="en-US" w:eastAsia="zh-CN"/>
              </w:rPr>
              <w:t>2000</w:t>
            </w:r>
          </w:p>
        </w:tc>
        <w:tc>
          <w:tcPr>
            <w:tcW w:w="399"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365</w:t>
            </w:r>
          </w:p>
        </w:tc>
        <w:tc>
          <w:tcPr>
            <w:tcW w:w="364"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1.3</w:t>
            </w:r>
          </w:p>
        </w:tc>
        <w:tc>
          <w:tcPr>
            <w:tcW w:w="633"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default" w:cs="宋体" w:asciiTheme="majorEastAsia" w:hAnsiTheme="majorEastAsia" w:eastAsiaTheme="majorEastAsia"/>
                <w:color w:val="000000"/>
                <w:spacing w:val="0"/>
                <w:kern w:val="0"/>
                <w:sz w:val="21"/>
                <w:szCs w:val="21"/>
                <w:lang w:val="en-US" w:eastAsia="zh-CN"/>
              </w:rPr>
            </w:pPr>
            <w:r>
              <w:rPr>
                <w:rFonts w:hint="eastAsia" w:cs="宋体" w:asciiTheme="majorEastAsia" w:hAnsiTheme="majorEastAsia" w:eastAsiaTheme="majorEastAsia"/>
                <w:color w:val="000000"/>
                <w:spacing w:val="0"/>
                <w:kern w:val="0"/>
                <w:sz w:val="21"/>
                <w:szCs w:val="21"/>
                <w:lang w:val="en-US" w:eastAsia="zh-CN"/>
              </w:rPr>
              <w:t>16.38</w:t>
            </w:r>
          </w:p>
        </w:tc>
      </w:tr>
      <w:tr>
        <w:tblPrEx>
          <w:tblCellMar>
            <w:top w:w="0" w:type="dxa"/>
            <w:left w:w="108" w:type="dxa"/>
            <w:bottom w:w="0" w:type="dxa"/>
            <w:right w:w="108" w:type="dxa"/>
          </w:tblCellMar>
        </w:tblPrEx>
        <w:trPr>
          <w:trHeight w:val="280" w:hRule="atLeast"/>
        </w:trPr>
        <w:tc>
          <w:tcPr>
            <w:tcW w:w="251" w:type="pct"/>
            <w:tcBorders>
              <w:top w:val="nil"/>
              <w:left w:val="single" w:color="auto" w:sz="4" w:space="0"/>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eastAsia" w:cs="宋体" w:asciiTheme="majorEastAsia" w:hAnsiTheme="majorEastAsia" w:eastAsiaTheme="majorEastAsia"/>
                <w:color w:val="000000"/>
                <w:spacing w:val="0"/>
                <w:kern w:val="0"/>
                <w:sz w:val="21"/>
                <w:szCs w:val="21"/>
                <w:lang w:eastAsia="zh-CN"/>
              </w:rPr>
            </w:pPr>
            <w:r>
              <w:rPr>
                <w:rFonts w:hint="eastAsia" w:cs="宋体" w:asciiTheme="majorEastAsia" w:hAnsiTheme="majorEastAsia" w:eastAsiaTheme="majorEastAsia"/>
                <w:color w:val="000000"/>
                <w:spacing w:val="0"/>
                <w:kern w:val="0"/>
                <w:sz w:val="21"/>
                <w:szCs w:val="21"/>
                <w:lang w:val="en-US" w:eastAsia="zh-CN"/>
              </w:rPr>
              <w:t>4</w:t>
            </w:r>
          </w:p>
        </w:tc>
        <w:tc>
          <w:tcPr>
            <w:tcW w:w="1211"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color w:val="000000"/>
                <w:spacing w:val="0"/>
                <w:kern w:val="0"/>
                <w:sz w:val="21"/>
                <w:szCs w:val="21"/>
              </w:rPr>
            </w:pPr>
            <w:r>
              <w:rPr>
                <w:rFonts w:hint="eastAsia" w:cs="宋体" w:asciiTheme="majorEastAsia" w:hAnsiTheme="majorEastAsia" w:eastAsiaTheme="majorEastAsia"/>
                <w:color w:val="000000"/>
                <w:spacing w:val="0"/>
                <w:kern w:val="0"/>
                <w:sz w:val="21"/>
                <w:szCs w:val="21"/>
              </w:rPr>
              <w:t>合计</w:t>
            </w:r>
          </w:p>
        </w:tc>
        <w:tc>
          <w:tcPr>
            <w:tcW w:w="499"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b/>
                <w:bCs/>
                <w:color w:val="000000"/>
                <w:spacing w:val="0"/>
                <w:kern w:val="0"/>
                <w:sz w:val="21"/>
                <w:szCs w:val="21"/>
              </w:rPr>
            </w:pPr>
          </w:p>
        </w:tc>
        <w:tc>
          <w:tcPr>
            <w:tcW w:w="708"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b/>
                <w:bCs/>
                <w:color w:val="000000"/>
                <w:spacing w:val="0"/>
                <w:kern w:val="0"/>
                <w:sz w:val="21"/>
                <w:szCs w:val="21"/>
              </w:rPr>
            </w:pPr>
          </w:p>
        </w:tc>
        <w:tc>
          <w:tcPr>
            <w:tcW w:w="932"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b/>
                <w:bCs/>
                <w:color w:val="000000"/>
                <w:spacing w:val="0"/>
                <w:kern w:val="0"/>
                <w:sz w:val="21"/>
                <w:szCs w:val="21"/>
              </w:rPr>
            </w:pPr>
          </w:p>
        </w:tc>
        <w:tc>
          <w:tcPr>
            <w:tcW w:w="399"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b/>
                <w:bCs/>
                <w:color w:val="000000"/>
                <w:spacing w:val="0"/>
                <w:kern w:val="0"/>
                <w:sz w:val="21"/>
                <w:szCs w:val="21"/>
              </w:rPr>
            </w:pPr>
          </w:p>
        </w:tc>
        <w:tc>
          <w:tcPr>
            <w:tcW w:w="364"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ajorEastAsia" w:hAnsiTheme="majorEastAsia" w:eastAsiaTheme="majorEastAsia"/>
                <w:b/>
                <w:bCs/>
                <w:color w:val="000000"/>
                <w:spacing w:val="0"/>
                <w:kern w:val="0"/>
                <w:sz w:val="21"/>
                <w:szCs w:val="21"/>
              </w:rPr>
            </w:pPr>
          </w:p>
        </w:tc>
        <w:tc>
          <w:tcPr>
            <w:tcW w:w="633"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default" w:cs="宋体" w:asciiTheme="majorEastAsia" w:hAnsiTheme="majorEastAsia" w:eastAsiaTheme="majorEastAsia"/>
                <w:color w:val="000000"/>
                <w:spacing w:val="0"/>
                <w:kern w:val="0"/>
                <w:sz w:val="21"/>
                <w:szCs w:val="21"/>
                <w:lang w:val="en-US" w:eastAsia="zh-CN"/>
              </w:rPr>
            </w:pPr>
            <w:r>
              <w:rPr>
                <w:rFonts w:hint="eastAsia" w:cs="宋体" w:asciiTheme="majorEastAsia" w:hAnsiTheme="majorEastAsia" w:eastAsiaTheme="majorEastAsia"/>
                <w:color w:val="000000"/>
                <w:spacing w:val="0"/>
                <w:kern w:val="0"/>
                <w:sz w:val="21"/>
                <w:szCs w:val="21"/>
                <w:lang w:val="en-US" w:eastAsia="zh-CN"/>
              </w:rPr>
              <w:t>264.64</w:t>
            </w:r>
          </w:p>
        </w:tc>
      </w:tr>
    </w:tbl>
    <w:p>
      <w:pPr>
        <w:ind w:firstLine="0" w:firstLineChars="0"/>
        <w:rPr>
          <w:rFonts w:asciiTheme="minorEastAsia" w:hAnsiTheme="minorEastAsia" w:eastAsiaTheme="minorEastAsia"/>
        </w:rPr>
      </w:pPr>
    </w:p>
    <w:p>
      <w:pPr>
        <w:ind w:firstLine="520"/>
        <w:rPr>
          <w:rFonts w:hint="default"/>
          <w:lang w:val="en-US" w:eastAsia="zh-CN"/>
        </w:rPr>
      </w:pPr>
      <w:r>
        <w:rPr>
          <w:rFonts w:hint="eastAsia" w:asciiTheme="minorEastAsia" w:hAnsiTheme="minorEastAsia" w:eastAsiaTheme="minorEastAsia"/>
        </w:rPr>
        <w:t>总图片数据存储空间为</w:t>
      </w:r>
      <w:r>
        <w:rPr>
          <w:rFonts w:hint="eastAsia" w:asciiTheme="minorEastAsia" w:hAnsiTheme="minorEastAsia" w:eastAsiaTheme="minorEastAsia"/>
          <w:lang w:val="en-US" w:eastAsia="zh-CN"/>
        </w:rPr>
        <w:t>264.64</w:t>
      </w:r>
      <w:r>
        <w:rPr>
          <w:rFonts w:hint="eastAsia" w:asciiTheme="minorEastAsia" w:hAnsiTheme="minorEastAsia" w:eastAsiaTheme="minorEastAsia"/>
        </w:rPr>
        <w:t>TB。</w:t>
      </w:r>
    </w:p>
    <w:p>
      <w:pPr>
        <w:pStyle w:val="7"/>
        <w:bidi w:val="0"/>
        <w:rPr>
          <w:rFonts w:hint="default" w:cs="宋体"/>
          <w:lang w:val="en-US" w:eastAsia="zh-CN"/>
        </w:rPr>
      </w:pPr>
      <w:r>
        <w:rPr>
          <w:rFonts w:hint="eastAsia" w:cs="宋体"/>
          <w:lang w:val="en-US" w:eastAsia="zh-CN"/>
        </w:rPr>
        <w:t>结构化存储</w:t>
      </w:r>
    </w:p>
    <w:p>
      <w:pPr>
        <w:ind w:firstLine="520"/>
        <w:rPr>
          <w:rFonts w:ascii="宋体" w:hAnsi="宋体" w:cs="宋体"/>
        </w:rPr>
      </w:pPr>
      <w:r>
        <w:rPr>
          <w:rFonts w:hint="eastAsia" w:ascii="宋体" w:hAnsi="宋体" w:cs="宋体"/>
        </w:rPr>
        <w:t>本项目视频结构化数据</w:t>
      </w:r>
      <w:r>
        <w:rPr>
          <w:rFonts w:hint="eastAsia" w:cs="宋体"/>
          <w:lang w:val="en-US" w:eastAsia="zh-CN"/>
        </w:rPr>
        <w:t>主要是</w:t>
      </w:r>
      <w:r>
        <w:rPr>
          <w:rFonts w:hint="eastAsia"/>
          <w:kern w:val="2"/>
        </w:rPr>
        <w:t>结构化镜头数据</w:t>
      </w:r>
      <w:r>
        <w:rPr>
          <w:rFonts w:hint="eastAsia"/>
          <w:kern w:val="2"/>
          <w:lang w:eastAsia="zh-CN"/>
        </w:rPr>
        <w:t>，</w:t>
      </w:r>
      <w:r>
        <w:rPr>
          <w:rFonts w:hint="eastAsia" w:ascii="宋体" w:hAnsi="宋体" w:cs="宋体"/>
        </w:rPr>
        <w:t>计算方式如下：</w:t>
      </w:r>
    </w:p>
    <w:p>
      <w:pPr>
        <w:pStyle w:val="43"/>
        <w:ind w:firstLine="524"/>
        <w:rPr>
          <w:kern w:val="2"/>
        </w:rPr>
      </w:pPr>
      <w:r>
        <w:rPr>
          <w:rFonts w:hint="eastAsia"/>
          <w:kern w:val="2"/>
        </w:rPr>
        <w:t>结构化镜头数据量==结构化镜头路数*平均每路分析摄像头产生记录的条数/天*结构化数据大小KB*数据保存周期/1024/1024/1024*比例系数（</w:t>
      </w:r>
      <w:r>
        <w:rPr>
          <w:kern w:val="2"/>
        </w:rPr>
        <w:t>1.3</w:t>
      </w:r>
      <w:r>
        <w:rPr>
          <w:rFonts w:hint="eastAsia"/>
          <w:kern w:val="2"/>
        </w:rPr>
        <w:t>）。</w:t>
      </w:r>
    </w:p>
    <w:p>
      <w:pPr>
        <w:pStyle w:val="83"/>
        <w:numPr>
          <w:ilvl w:val="0"/>
          <w:numId w:val="29"/>
        </w:numPr>
        <w:spacing w:before="120"/>
      </w:pPr>
      <w:r>
        <w:rPr>
          <w:rFonts w:hint="eastAsia"/>
        </w:rPr>
        <w:t>视频结构化数据量</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937"/>
        <w:gridCol w:w="863"/>
        <w:gridCol w:w="1068"/>
        <w:gridCol w:w="1068"/>
        <w:gridCol w:w="1068"/>
        <w:gridCol w:w="574"/>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91" w:type="pct"/>
            <w:shd w:val="clear" w:color="auto" w:fill="auto"/>
            <w:vAlign w:val="center"/>
          </w:tcPr>
          <w:p>
            <w:pPr>
              <w:widowControl/>
              <w:snapToGrid/>
              <w:spacing w:line="240" w:lineRule="auto"/>
              <w:ind w:firstLine="0" w:firstLineChars="0"/>
              <w:rPr>
                <w:rFonts w:ascii="宋体" w:hAnsi="宋体" w:cs="宋体"/>
                <w:spacing w:val="0"/>
                <w:kern w:val="0"/>
                <w:sz w:val="21"/>
                <w:szCs w:val="21"/>
              </w:rPr>
            </w:pPr>
            <w:r>
              <w:rPr>
                <w:rFonts w:hint="eastAsia" w:ascii="宋体" w:hAnsi="宋体" w:cs="宋体"/>
                <w:spacing w:val="0"/>
                <w:kern w:val="0"/>
                <w:sz w:val="21"/>
                <w:szCs w:val="21"/>
              </w:rPr>
              <w:t>序号</w:t>
            </w:r>
          </w:p>
        </w:tc>
        <w:tc>
          <w:tcPr>
            <w:tcW w:w="1142" w:type="pct"/>
            <w:shd w:val="clear" w:color="auto" w:fill="auto"/>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项目</w:t>
            </w:r>
          </w:p>
        </w:tc>
        <w:tc>
          <w:tcPr>
            <w:tcW w:w="509" w:type="pct"/>
            <w:shd w:val="clear" w:color="auto" w:fill="auto"/>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路数（路）</w:t>
            </w:r>
          </w:p>
        </w:tc>
        <w:tc>
          <w:tcPr>
            <w:tcW w:w="630" w:type="pct"/>
            <w:shd w:val="clear" w:color="auto" w:fill="auto"/>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数据大小（KB）</w:t>
            </w:r>
          </w:p>
        </w:tc>
        <w:tc>
          <w:tcPr>
            <w:tcW w:w="630" w:type="pct"/>
            <w:shd w:val="clear" w:color="auto" w:fill="auto"/>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数量（条/天）</w:t>
            </w:r>
          </w:p>
        </w:tc>
        <w:tc>
          <w:tcPr>
            <w:tcW w:w="630" w:type="pct"/>
            <w:shd w:val="clear" w:color="auto" w:fill="auto"/>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存储周期（天）</w:t>
            </w:r>
          </w:p>
        </w:tc>
        <w:tc>
          <w:tcPr>
            <w:tcW w:w="338" w:type="pct"/>
            <w:shd w:val="clear" w:color="auto" w:fill="auto"/>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冗余</w:t>
            </w:r>
          </w:p>
        </w:tc>
        <w:tc>
          <w:tcPr>
            <w:tcW w:w="725" w:type="pct"/>
            <w:shd w:val="clear" w:color="auto" w:fill="auto"/>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数据量（TB）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1" w:type="pct"/>
            <w:shd w:val="clear" w:color="auto" w:fill="auto"/>
            <w:vAlign w:val="center"/>
          </w:tcPr>
          <w:p>
            <w:pPr>
              <w:widowControl/>
              <w:snapToGrid/>
              <w:spacing w:line="240" w:lineRule="auto"/>
              <w:ind w:firstLine="0" w:firstLineChars="0"/>
              <w:jc w:val="center"/>
              <w:rPr>
                <w:rFonts w:hint="eastAsia" w:ascii="宋体" w:hAnsi="宋体" w:eastAsia="宋体" w:cs="宋体"/>
                <w:spacing w:val="0"/>
                <w:kern w:val="0"/>
                <w:sz w:val="21"/>
                <w:szCs w:val="21"/>
                <w:lang w:eastAsia="zh-CN"/>
              </w:rPr>
            </w:pPr>
            <w:r>
              <w:rPr>
                <w:rFonts w:hint="eastAsia" w:cs="宋体"/>
                <w:spacing w:val="0"/>
                <w:kern w:val="0"/>
                <w:sz w:val="21"/>
                <w:szCs w:val="21"/>
                <w:lang w:val="en-US" w:eastAsia="zh-CN"/>
              </w:rPr>
              <w:t>1</w:t>
            </w:r>
          </w:p>
        </w:tc>
        <w:tc>
          <w:tcPr>
            <w:tcW w:w="1142" w:type="pct"/>
            <w:shd w:val="clear" w:color="auto" w:fill="auto"/>
            <w:vAlign w:val="center"/>
          </w:tcPr>
          <w:p>
            <w:pPr>
              <w:widowControl/>
              <w:snapToGrid/>
              <w:spacing w:line="240" w:lineRule="auto"/>
              <w:ind w:firstLine="0" w:firstLineChars="0"/>
              <w:jc w:val="left"/>
              <w:rPr>
                <w:rFonts w:ascii="宋体" w:hAnsi="宋体" w:cs="宋体"/>
                <w:spacing w:val="0"/>
                <w:kern w:val="0"/>
                <w:sz w:val="21"/>
                <w:szCs w:val="21"/>
              </w:rPr>
            </w:pPr>
            <w:r>
              <w:rPr>
                <w:rFonts w:hint="eastAsia"/>
                <w:kern w:val="2"/>
              </w:rPr>
              <w:t>结构化镜头数据</w:t>
            </w:r>
          </w:p>
        </w:tc>
        <w:tc>
          <w:tcPr>
            <w:tcW w:w="509" w:type="pct"/>
            <w:shd w:val="clear" w:color="auto" w:fill="auto"/>
            <w:vAlign w:val="center"/>
          </w:tcPr>
          <w:p>
            <w:pPr>
              <w:widowControl/>
              <w:snapToGrid/>
              <w:spacing w:line="240" w:lineRule="auto"/>
              <w:ind w:firstLine="0" w:firstLineChars="0"/>
              <w:jc w:val="center"/>
              <w:rPr>
                <w:rFonts w:hint="default" w:ascii="宋体" w:hAnsi="宋体" w:eastAsia="宋体" w:cs="宋体"/>
                <w:spacing w:val="0"/>
                <w:kern w:val="0"/>
                <w:sz w:val="21"/>
                <w:szCs w:val="21"/>
                <w:lang w:val="en-US" w:eastAsia="zh-CN"/>
              </w:rPr>
            </w:pPr>
            <w:r>
              <w:rPr>
                <w:rFonts w:hint="eastAsia" w:cs="宋体"/>
                <w:spacing w:val="0"/>
                <w:kern w:val="0"/>
                <w:sz w:val="21"/>
                <w:szCs w:val="21"/>
                <w:lang w:val="en-US" w:eastAsia="zh-CN"/>
              </w:rPr>
              <w:t>309</w:t>
            </w:r>
          </w:p>
        </w:tc>
        <w:tc>
          <w:tcPr>
            <w:tcW w:w="630" w:type="pct"/>
            <w:shd w:val="clear" w:color="auto" w:fill="auto"/>
            <w:vAlign w:val="center"/>
          </w:tcPr>
          <w:p>
            <w:pPr>
              <w:widowControl/>
              <w:snapToGrid/>
              <w:spacing w:line="240" w:lineRule="auto"/>
              <w:ind w:firstLine="0" w:firstLineChars="0"/>
              <w:jc w:val="center"/>
              <w:rPr>
                <w:rFonts w:hint="default" w:ascii="宋体" w:hAnsi="宋体" w:eastAsia="宋体" w:cs="宋体"/>
                <w:spacing w:val="0"/>
                <w:kern w:val="0"/>
                <w:sz w:val="21"/>
                <w:szCs w:val="21"/>
                <w:lang w:val="en-US" w:eastAsia="zh-CN"/>
              </w:rPr>
            </w:pPr>
            <w:r>
              <w:rPr>
                <w:rFonts w:hint="eastAsia" w:cs="宋体"/>
                <w:spacing w:val="0"/>
                <w:kern w:val="0"/>
                <w:sz w:val="21"/>
                <w:szCs w:val="21"/>
                <w:lang w:val="en-US" w:eastAsia="zh-CN"/>
              </w:rPr>
              <w:t>10</w:t>
            </w:r>
          </w:p>
        </w:tc>
        <w:tc>
          <w:tcPr>
            <w:tcW w:w="630" w:type="pct"/>
            <w:shd w:val="clear" w:color="auto" w:fill="auto"/>
            <w:vAlign w:val="center"/>
          </w:tcPr>
          <w:p>
            <w:pPr>
              <w:widowControl/>
              <w:snapToGrid/>
              <w:spacing w:line="240" w:lineRule="auto"/>
              <w:ind w:firstLine="0" w:firstLineChars="0"/>
              <w:jc w:val="center"/>
              <w:rPr>
                <w:rFonts w:hint="default" w:ascii="宋体" w:hAnsi="宋体" w:eastAsia="宋体" w:cs="宋体"/>
                <w:spacing w:val="0"/>
                <w:kern w:val="0"/>
                <w:sz w:val="21"/>
                <w:szCs w:val="21"/>
                <w:lang w:val="en-US" w:eastAsia="zh-CN"/>
              </w:rPr>
            </w:pPr>
            <w:r>
              <w:rPr>
                <w:rFonts w:hint="eastAsia" w:cs="宋体"/>
                <w:spacing w:val="0"/>
                <w:kern w:val="0"/>
                <w:sz w:val="21"/>
                <w:szCs w:val="21"/>
                <w:lang w:val="en-US" w:eastAsia="zh-CN"/>
              </w:rPr>
              <w:t>4000</w:t>
            </w:r>
          </w:p>
        </w:tc>
        <w:tc>
          <w:tcPr>
            <w:tcW w:w="630" w:type="pct"/>
            <w:shd w:val="clear" w:color="auto" w:fill="auto"/>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365</w:t>
            </w:r>
          </w:p>
        </w:tc>
        <w:tc>
          <w:tcPr>
            <w:tcW w:w="338" w:type="pct"/>
            <w:shd w:val="clear" w:color="auto" w:fill="auto"/>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1.3</w:t>
            </w:r>
          </w:p>
        </w:tc>
        <w:tc>
          <w:tcPr>
            <w:tcW w:w="725" w:type="pct"/>
            <w:shd w:val="clear" w:color="auto" w:fill="auto"/>
            <w:vAlign w:val="center"/>
          </w:tcPr>
          <w:p>
            <w:pPr>
              <w:widowControl/>
              <w:snapToGrid/>
              <w:spacing w:line="240" w:lineRule="auto"/>
              <w:ind w:firstLine="0" w:firstLineChars="0"/>
              <w:jc w:val="center"/>
              <w:rPr>
                <w:rFonts w:hint="default" w:ascii="宋体" w:hAnsi="宋体" w:eastAsia="宋体" w:cs="宋体"/>
                <w:spacing w:val="0"/>
                <w:kern w:val="0"/>
                <w:sz w:val="21"/>
                <w:szCs w:val="21"/>
                <w:lang w:val="en-US" w:eastAsia="zh-CN"/>
              </w:rPr>
            </w:pPr>
            <w:r>
              <w:rPr>
                <w:rFonts w:hint="eastAsia" w:cs="宋体"/>
                <w:spacing w:val="0"/>
                <w:kern w:val="0"/>
                <w:sz w:val="21"/>
                <w:szCs w:val="21"/>
                <w:lang w:val="en-US" w:eastAsia="zh-CN"/>
              </w:rPr>
              <w:t>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1" w:type="pct"/>
            <w:shd w:val="clear" w:color="auto" w:fill="auto"/>
            <w:vAlign w:val="center"/>
          </w:tcPr>
          <w:p>
            <w:pPr>
              <w:widowControl/>
              <w:snapToGrid/>
              <w:spacing w:line="240" w:lineRule="auto"/>
              <w:ind w:firstLine="0" w:firstLineChars="0"/>
              <w:jc w:val="center"/>
              <w:rPr>
                <w:rFonts w:hint="eastAsia" w:ascii="宋体" w:hAnsi="宋体" w:eastAsia="宋体" w:cs="宋体"/>
                <w:spacing w:val="0"/>
                <w:kern w:val="0"/>
                <w:sz w:val="21"/>
                <w:szCs w:val="21"/>
                <w:lang w:eastAsia="zh-CN"/>
              </w:rPr>
            </w:pPr>
            <w:r>
              <w:rPr>
                <w:rFonts w:hint="eastAsia" w:cs="宋体"/>
                <w:spacing w:val="0"/>
                <w:kern w:val="0"/>
                <w:sz w:val="21"/>
                <w:szCs w:val="21"/>
                <w:lang w:val="en-US" w:eastAsia="zh-CN"/>
              </w:rPr>
              <w:t>2</w:t>
            </w:r>
          </w:p>
        </w:tc>
        <w:tc>
          <w:tcPr>
            <w:tcW w:w="1142" w:type="pct"/>
            <w:shd w:val="clear" w:color="auto" w:fill="auto"/>
            <w:vAlign w:val="center"/>
          </w:tcPr>
          <w:p>
            <w:pPr>
              <w:widowControl/>
              <w:snapToGrid/>
              <w:spacing w:line="240" w:lineRule="auto"/>
              <w:ind w:firstLine="0" w:firstLineChars="0"/>
              <w:jc w:val="left"/>
              <w:rPr>
                <w:rFonts w:ascii="宋体" w:hAnsi="宋体" w:cs="宋体"/>
                <w:spacing w:val="0"/>
                <w:kern w:val="0"/>
                <w:sz w:val="21"/>
                <w:szCs w:val="21"/>
              </w:rPr>
            </w:pPr>
            <w:r>
              <w:rPr>
                <w:rFonts w:hint="eastAsia" w:ascii="宋体" w:hAnsi="宋体" w:cs="宋体"/>
                <w:spacing w:val="0"/>
                <w:kern w:val="0"/>
                <w:sz w:val="21"/>
                <w:szCs w:val="21"/>
              </w:rPr>
              <w:t>合计</w:t>
            </w:r>
          </w:p>
        </w:tc>
        <w:tc>
          <w:tcPr>
            <w:tcW w:w="509" w:type="pct"/>
            <w:shd w:val="clear" w:color="auto" w:fill="auto"/>
            <w:vAlign w:val="center"/>
          </w:tcPr>
          <w:p>
            <w:pPr>
              <w:widowControl/>
              <w:snapToGrid/>
              <w:spacing w:line="240" w:lineRule="auto"/>
              <w:ind w:firstLine="0" w:firstLineChars="0"/>
              <w:jc w:val="center"/>
              <w:rPr>
                <w:rFonts w:ascii="宋体" w:hAnsi="宋体" w:cs="宋体"/>
                <w:b/>
                <w:bCs/>
                <w:spacing w:val="0"/>
                <w:kern w:val="0"/>
                <w:sz w:val="21"/>
                <w:szCs w:val="21"/>
              </w:rPr>
            </w:pPr>
            <w:r>
              <w:rPr>
                <w:rFonts w:hint="eastAsia" w:ascii="宋体" w:hAnsi="宋体" w:cs="宋体"/>
                <w:b/>
                <w:bCs/>
                <w:spacing w:val="0"/>
                <w:kern w:val="0"/>
                <w:sz w:val="21"/>
                <w:szCs w:val="21"/>
              </w:rPr>
              <w:t>　</w:t>
            </w:r>
          </w:p>
        </w:tc>
        <w:tc>
          <w:tcPr>
            <w:tcW w:w="630" w:type="pct"/>
            <w:shd w:val="clear" w:color="auto" w:fill="auto"/>
            <w:vAlign w:val="center"/>
          </w:tcPr>
          <w:p>
            <w:pPr>
              <w:widowControl/>
              <w:snapToGrid/>
              <w:spacing w:line="240" w:lineRule="auto"/>
              <w:ind w:firstLine="0" w:firstLineChars="0"/>
              <w:jc w:val="center"/>
              <w:rPr>
                <w:rFonts w:ascii="宋体" w:hAnsi="宋体" w:cs="宋体"/>
                <w:b/>
                <w:bCs/>
                <w:spacing w:val="0"/>
                <w:kern w:val="0"/>
                <w:sz w:val="21"/>
                <w:szCs w:val="21"/>
              </w:rPr>
            </w:pPr>
            <w:r>
              <w:rPr>
                <w:rFonts w:hint="eastAsia" w:ascii="宋体" w:hAnsi="宋体" w:cs="宋体"/>
                <w:b/>
                <w:bCs/>
                <w:spacing w:val="0"/>
                <w:kern w:val="0"/>
                <w:sz w:val="21"/>
                <w:szCs w:val="21"/>
              </w:rPr>
              <w:t>　</w:t>
            </w:r>
          </w:p>
        </w:tc>
        <w:tc>
          <w:tcPr>
            <w:tcW w:w="630" w:type="pct"/>
            <w:shd w:val="clear" w:color="auto" w:fill="auto"/>
            <w:vAlign w:val="center"/>
          </w:tcPr>
          <w:p>
            <w:pPr>
              <w:widowControl/>
              <w:snapToGrid/>
              <w:spacing w:line="240" w:lineRule="auto"/>
              <w:ind w:firstLine="0" w:firstLineChars="0"/>
              <w:jc w:val="center"/>
              <w:rPr>
                <w:rFonts w:ascii="宋体" w:hAnsi="宋体" w:cs="宋体"/>
                <w:b/>
                <w:bCs/>
                <w:spacing w:val="0"/>
                <w:kern w:val="0"/>
                <w:sz w:val="21"/>
                <w:szCs w:val="21"/>
              </w:rPr>
            </w:pPr>
            <w:r>
              <w:rPr>
                <w:rFonts w:hint="eastAsia" w:ascii="宋体" w:hAnsi="宋体" w:cs="宋体"/>
                <w:b/>
                <w:bCs/>
                <w:spacing w:val="0"/>
                <w:kern w:val="0"/>
                <w:sz w:val="21"/>
                <w:szCs w:val="21"/>
              </w:rPr>
              <w:t>　</w:t>
            </w:r>
          </w:p>
        </w:tc>
        <w:tc>
          <w:tcPr>
            <w:tcW w:w="630" w:type="pct"/>
            <w:shd w:val="clear" w:color="auto" w:fill="auto"/>
            <w:vAlign w:val="center"/>
          </w:tcPr>
          <w:p>
            <w:pPr>
              <w:widowControl/>
              <w:snapToGrid/>
              <w:spacing w:line="240" w:lineRule="auto"/>
              <w:ind w:firstLine="0" w:firstLineChars="0"/>
              <w:jc w:val="center"/>
              <w:rPr>
                <w:rFonts w:ascii="宋体" w:hAnsi="宋体" w:cs="宋体"/>
                <w:b/>
                <w:bCs/>
                <w:spacing w:val="0"/>
                <w:kern w:val="0"/>
                <w:sz w:val="21"/>
                <w:szCs w:val="21"/>
              </w:rPr>
            </w:pPr>
            <w:r>
              <w:rPr>
                <w:rFonts w:hint="eastAsia" w:ascii="宋体" w:hAnsi="宋体" w:cs="宋体"/>
                <w:b/>
                <w:bCs/>
                <w:spacing w:val="0"/>
                <w:kern w:val="0"/>
                <w:sz w:val="21"/>
                <w:szCs w:val="21"/>
              </w:rPr>
              <w:t>　</w:t>
            </w:r>
          </w:p>
        </w:tc>
        <w:tc>
          <w:tcPr>
            <w:tcW w:w="338" w:type="pct"/>
            <w:shd w:val="clear" w:color="auto" w:fill="auto"/>
            <w:vAlign w:val="center"/>
          </w:tcPr>
          <w:p>
            <w:pPr>
              <w:widowControl/>
              <w:snapToGrid/>
              <w:spacing w:line="240" w:lineRule="auto"/>
              <w:ind w:firstLine="0" w:firstLineChars="0"/>
              <w:jc w:val="center"/>
              <w:rPr>
                <w:rFonts w:ascii="宋体" w:hAnsi="宋体" w:cs="宋体"/>
                <w:b/>
                <w:bCs/>
                <w:spacing w:val="0"/>
                <w:kern w:val="0"/>
                <w:sz w:val="21"/>
                <w:szCs w:val="21"/>
              </w:rPr>
            </w:pPr>
            <w:r>
              <w:rPr>
                <w:rFonts w:hint="eastAsia" w:ascii="宋体" w:hAnsi="宋体" w:cs="宋体"/>
                <w:b/>
                <w:bCs/>
                <w:spacing w:val="0"/>
                <w:kern w:val="0"/>
                <w:sz w:val="21"/>
                <w:szCs w:val="21"/>
              </w:rPr>
              <w:t>　</w:t>
            </w:r>
          </w:p>
        </w:tc>
        <w:tc>
          <w:tcPr>
            <w:tcW w:w="725" w:type="pct"/>
            <w:shd w:val="clear" w:color="auto" w:fill="auto"/>
            <w:vAlign w:val="center"/>
          </w:tcPr>
          <w:p>
            <w:pPr>
              <w:widowControl/>
              <w:snapToGrid/>
              <w:spacing w:line="240" w:lineRule="auto"/>
              <w:ind w:firstLine="0" w:firstLineChars="0"/>
              <w:jc w:val="center"/>
              <w:rPr>
                <w:rFonts w:hint="default" w:ascii="宋体" w:hAnsi="宋体" w:eastAsia="宋体" w:cs="宋体"/>
                <w:spacing w:val="0"/>
                <w:kern w:val="0"/>
                <w:sz w:val="21"/>
                <w:szCs w:val="21"/>
                <w:lang w:val="en-US" w:eastAsia="zh-CN"/>
              </w:rPr>
            </w:pPr>
            <w:r>
              <w:rPr>
                <w:rFonts w:hint="eastAsia" w:cs="宋体"/>
                <w:spacing w:val="0"/>
                <w:kern w:val="0"/>
                <w:sz w:val="21"/>
                <w:szCs w:val="21"/>
                <w:lang w:val="en-US" w:eastAsia="zh-CN"/>
              </w:rPr>
              <w:t>5.46</w:t>
            </w:r>
          </w:p>
        </w:tc>
      </w:tr>
    </w:tbl>
    <w:p>
      <w:pPr>
        <w:ind w:firstLine="520"/>
        <w:rPr>
          <w:rFonts w:ascii="宋体" w:hAnsi="宋体" w:cs="宋体"/>
        </w:rPr>
      </w:pPr>
    </w:p>
    <w:p>
      <w:pPr>
        <w:ind w:firstLine="520"/>
        <w:rPr>
          <w:rFonts w:ascii="宋体" w:hAnsi="宋体" w:cs="宋体"/>
          <w:lang w:val="zh-TW"/>
        </w:rPr>
      </w:pPr>
      <w:r>
        <w:rPr>
          <w:rFonts w:hint="eastAsia" w:ascii="宋体" w:hAnsi="宋体" w:cs="宋体"/>
        </w:rPr>
        <w:t>总结构化存储空间为</w:t>
      </w:r>
      <w:r>
        <w:rPr>
          <w:rFonts w:hint="eastAsia" w:cs="宋体"/>
          <w:spacing w:val="0"/>
          <w:kern w:val="0"/>
          <w:sz w:val="21"/>
          <w:szCs w:val="21"/>
          <w:lang w:val="en-US" w:eastAsia="zh-CN"/>
        </w:rPr>
        <w:t>5.46</w:t>
      </w:r>
      <w:r>
        <w:rPr>
          <w:rFonts w:hint="eastAsia" w:ascii="宋体" w:hAnsi="宋体" w:cs="宋体"/>
        </w:rPr>
        <w:t>TB。</w:t>
      </w:r>
    </w:p>
    <w:p>
      <w:pPr>
        <w:pStyle w:val="7"/>
        <w:bidi w:val="0"/>
        <w:rPr>
          <w:rFonts w:hint="default" w:cs="宋体"/>
          <w:lang w:val="en-US" w:eastAsia="zh-CN"/>
        </w:rPr>
      </w:pPr>
      <w:r>
        <w:rPr>
          <w:rFonts w:hint="eastAsia" w:cs="宋体"/>
          <w:lang w:val="en-US" w:eastAsia="zh-CN"/>
        </w:rPr>
        <w:t>存储量数据分析</w:t>
      </w:r>
    </w:p>
    <w:p>
      <w:pPr>
        <w:ind w:firstLine="520"/>
      </w:pPr>
      <w:r>
        <w:rPr>
          <w:rFonts w:hint="eastAsia"/>
        </w:rPr>
        <w:t>综上分析，本项目存储数据量汇总如下表所示：</w:t>
      </w:r>
    </w:p>
    <w:p>
      <w:pPr>
        <w:pStyle w:val="83"/>
        <w:numPr>
          <w:ilvl w:val="0"/>
          <w:numId w:val="29"/>
        </w:numPr>
        <w:spacing w:before="120"/>
      </w:pPr>
      <w:r>
        <w:rPr>
          <w:rFonts w:hint="eastAsia"/>
        </w:rPr>
        <w:t>存储数据量汇总</w:t>
      </w:r>
    </w:p>
    <w:tbl>
      <w:tblPr>
        <w:tblStyle w:val="28"/>
        <w:tblW w:w="5000" w:type="pct"/>
        <w:jc w:val="center"/>
        <w:tblLayout w:type="autofit"/>
        <w:tblCellMar>
          <w:top w:w="0" w:type="dxa"/>
          <w:left w:w="108" w:type="dxa"/>
          <w:bottom w:w="0" w:type="dxa"/>
          <w:right w:w="108" w:type="dxa"/>
        </w:tblCellMar>
      </w:tblPr>
      <w:tblGrid>
        <w:gridCol w:w="1103"/>
        <w:gridCol w:w="3289"/>
        <w:gridCol w:w="4079"/>
      </w:tblGrid>
      <w:tr>
        <w:tblPrEx>
          <w:tblCellMar>
            <w:top w:w="0" w:type="dxa"/>
            <w:left w:w="108" w:type="dxa"/>
            <w:bottom w:w="0" w:type="dxa"/>
            <w:right w:w="108" w:type="dxa"/>
          </w:tblCellMar>
        </w:tblPrEx>
        <w:trPr>
          <w:trHeight w:val="624" w:hRule="atLeast"/>
          <w:jc w:val="center"/>
        </w:trPr>
        <w:tc>
          <w:tcPr>
            <w:tcW w:w="6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序号</w:t>
            </w:r>
          </w:p>
        </w:tc>
        <w:tc>
          <w:tcPr>
            <w:tcW w:w="1941" w:type="pct"/>
            <w:tcBorders>
              <w:top w:val="single" w:color="auto" w:sz="4" w:space="0"/>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项目</w:t>
            </w:r>
          </w:p>
        </w:tc>
        <w:tc>
          <w:tcPr>
            <w:tcW w:w="2407" w:type="pct"/>
            <w:tcBorders>
              <w:top w:val="single" w:color="auto" w:sz="4" w:space="0"/>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本次项目需求量</w:t>
            </w:r>
          </w:p>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（TB）</w:t>
            </w:r>
          </w:p>
        </w:tc>
      </w:tr>
      <w:tr>
        <w:tblPrEx>
          <w:tblCellMar>
            <w:top w:w="0" w:type="dxa"/>
            <w:left w:w="108" w:type="dxa"/>
            <w:bottom w:w="0" w:type="dxa"/>
            <w:right w:w="108" w:type="dxa"/>
          </w:tblCellMar>
        </w:tblPrEx>
        <w:trPr>
          <w:trHeight w:val="454" w:hRule="atLeast"/>
          <w:jc w:val="center"/>
        </w:trPr>
        <w:tc>
          <w:tcPr>
            <w:tcW w:w="651" w:type="pct"/>
            <w:tcBorders>
              <w:top w:val="nil"/>
              <w:left w:val="single" w:color="auto" w:sz="4" w:space="0"/>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1</w:t>
            </w:r>
          </w:p>
        </w:tc>
        <w:tc>
          <w:tcPr>
            <w:tcW w:w="1941" w:type="pct"/>
            <w:tcBorders>
              <w:top w:val="nil"/>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视频监控原始数据</w:t>
            </w:r>
          </w:p>
        </w:tc>
        <w:tc>
          <w:tcPr>
            <w:tcW w:w="2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default" w:ascii="宋体" w:hAnsi="宋体" w:cs="宋体"/>
                <w:spacing w:val="0"/>
                <w:kern w:val="0"/>
                <w:sz w:val="21"/>
                <w:szCs w:val="21"/>
                <w:lang w:val="en-US"/>
              </w:rPr>
            </w:pPr>
            <w:r>
              <w:rPr>
                <w:rFonts w:hint="eastAsia" w:cs="宋体"/>
                <w:lang w:val="en-US" w:eastAsia="zh-CN"/>
              </w:rPr>
              <w:t>1060.86</w:t>
            </w:r>
          </w:p>
        </w:tc>
      </w:tr>
      <w:tr>
        <w:tblPrEx>
          <w:tblCellMar>
            <w:top w:w="0" w:type="dxa"/>
            <w:left w:w="108" w:type="dxa"/>
            <w:bottom w:w="0" w:type="dxa"/>
            <w:right w:w="108" w:type="dxa"/>
          </w:tblCellMar>
        </w:tblPrEx>
        <w:trPr>
          <w:trHeight w:val="454" w:hRule="atLeast"/>
          <w:jc w:val="center"/>
        </w:trPr>
        <w:tc>
          <w:tcPr>
            <w:tcW w:w="651" w:type="pct"/>
            <w:tcBorders>
              <w:top w:val="nil"/>
              <w:left w:val="single" w:color="auto" w:sz="4" w:space="0"/>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2</w:t>
            </w:r>
          </w:p>
        </w:tc>
        <w:tc>
          <w:tcPr>
            <w:tcW w:w="1941" w:type="pct"/>
            <w:tcBorders>
              <w:top w:val="nil"/>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图片数据</w:t>
            </w:r>
          </w:p>
        </w:tc>
        <w:tc>
          <w:tcPr>
            <w:tcW w:w="2407" w:type="pct"/>
            <w:tcBorders>
              <w:top w:val="nil"/>
              <w:left w:val="single" w:color="auto" w:sz="4" w:space="0"/>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default" w:ascii="宋体" w:hAnsi="宋体" w:cs="宋体"/>
                <w:spacing w:val="0"/>
                <w:kern w:val="0"/>
                <w:sz w:val="21"/>
                <w:szCs w:val="21"/>
                <w:lang w:val="en-US"/>
              </w:rPr>
            </w:pPr>
            <w:r>
              <w:rPr>
                <w:rFonts w:hint="eastAsia" w:asciiTheme="minorEastAsia" w:hAnsiTheme="minorEastAsia" w:eastAsiaTheme="minorEastAsia"/>
                <w:lang w:val="en-US" w:eastAsia="zh-CN"/>
              </w:rPr>
              <w:t>264.64</w:t>
            </w:r>
          </w:p>
        </w:tc>
      </w:tr>
      <w:tr>
        <w:tblPrEx>
          <w:tblCellMar>
            <w:top w:w="0" w:type="dxa"/>
            <w:left w:w="108" w:type="dxa"/>
            <w:bottom w:w="0" w:type="dxa"/>
            <w:right w:w="108" w:type="dxa"/>
          </w:tblCellMar>
        </w:tblPrEx>
        <w:trPr>
          <w:trHeight w:val="454" w:hRule="atLeast"/>
          <w:jc w:val="center"/>
        </w:trPr>
        <w:tc>
          <w:tcPr>
            <w:tcW w:w="651" w:type="pct"/>
            <w:tcBorders>
              <w:top w:val="nil"/>
              <w:left w:val="single" w:color="auto" w:sz="4" w:space="0"/>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3</w:t>
            </w:r>
          </w:p>
        </w:tc>
        <w:tc>
          <w:tcPr>
            <w:tcW w:w="1941" w:type="pct"/>
            <w:tcBorders>
              <w:top w:val="nil"/>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结构化数据</w:t>
            </w:r>
          </w:p>
        </w:tc>
        <w:tc>
          <w:tcPr>
            <w:tcW w:w="2407" w:type="pct"/>
            <w:tcBorders>
              <w:top w:val="nil"/>
              <w:left w:val="single" w:color="auto" w:sz="4" w:space="0"/>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default" w:ascii="宋体" w:hAnsi="宋体" w:cs="宋体"/>
                <w:spacing w:val="0"/>
                <w:kern w:val="0"/>
                <w:sz w:val="21"/>
                <w:szCs w:val="21"/>
                <w:lang w:val="en-US"/>
              </w:rPr>
            </w:pPr>
            <w:r>
              <w:rPr>
                <w:rFonts w:hint="eastAsia" w:cs="宋体"/>
                <w:spacing w:val="0"/>
                <w:kern w:val="0"/>
                <w:sz w:val="21"/>
                <w:szCs w:val="21"/>
                <w:lang w:val="en-US" w:eastAsia="zh-CN"/>
              </w:rPr>
              <w:t>5.46</w:t>
            </w:r>
          </w:p>
        </w:tc>
      </w:tr>
      <w:tr>
        <w:tblPrEx>
          <w:tblCellMar>
            <w:top w:w="0" w:type="dxa"/>
            <w:left w:w="108" w:type="dxa"/>
            <w:bottom w:w="0" w:type="dxa"/>
            <w:right w:w="108" w:type="dxa"/>
          </w:tblCellMar>
        </w:tblPrEx>
        <w:trPr>
          <w:trHeight w:val="454" w:hRule="atLeast"/>
          <w:jc w:val="center"/>
        </w:trPr>
        <w:tc>
          <w:tcPr>
            <w:tcW w:w="651" w:type="pct"/>
            <w:tcBorders>
              <w:top w:val="nil"/>
              <w:left w:val="single" w:color="auto" w:sz="4" w:space="0"/>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hint="eastAsia" w:ascii="宋体" w:hAnsi="宋体" w:eastAsia="宋体" w:cs="宋体"/>
                <w:spacing w:val="0"/>
                <w:kern w:val="0"/>
                <w:sz w:val="21"/>
                <w:szCs w:val="21"/>
                <w:lang w:eastAsia="zh-CN"/>
              </w:rPr>
            </w:pPr>
            <w:r>
              <w:rPr>
                <w:rFonts w:hint="eastAsia" w:ascii="宋体" w:hAnsi="宋体" w:cs="宋体"/>
                <w:spacing w:val="0"/>
                <w:kern w:val="0"/>
                <w:sz w:val="21"/>
                <w:szCs w:val="21"/>
                <w:lang w:val="en-US" w:eastAsia="zh-CN"/>
              </w:rPr>
              <w:t>4</w:t>
            </w:r>
          </w:p>
        </w:tc>
        <w:tc>
          <w:tcPr>
            <w:tcW w:w="1941" w:type="pct"/>
            <w:tcBorders>
              <w:top w:val="nil"/>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ascii="宋体" w:hAnsi="宋体" w:cs="宋体"/>
                <w:spacing w:val="0"/>
                <w:kern w:val="0"/>
                <w:sz w:val="21"/>
                <w:szCs w:val="21"/>
              </w:rPr>
            </w:pPr>
            <w:r>
              <w:rPr>
                <w:rFonts w:hint="eastAsia" w:ascii="宋体" w:hAnsi="宋体" w:cs="宋体"/>
                <w:spacing w:val="0"/>
                <w:kern w:val="0"/>
                <w:sz w:val="21"/>
                <w:szCs w:val="21"/>
              </w:rPr>
              <w:t>合计</w:t>
            </w:r>
          </w:p>
        </w:tc>
        <w:tc>
          <w:tcPr>
            <w:tcW w:w="2407" w:type="pct"/>
            <w:tcBorders>
              <w:top w:val="nil"/>
              <w:left w:val="single" w:color="auto" w:sz="4" w:space="0"/>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default" w:ascii="宋体" w:hAnsi="宋体" w:eastAsia="宋体" w:cs="宋体"/>
                <w:b/>
                <w:bCs/>
                <w:spacing w:val="0"/>
                <w:kern w:val="0"/>
                <w:sz w:val="21"/>
                <w:szCs w:val="21"/>
                <w:lang w:val="en-US" w:eastAsia="zh-CN"/>
              </w:rPr>
            </w:pPr>
            <w:r>
              <w:rPr>
                <w:rFonts w:hint="eastAsia" w:cs="宋体"/>
                <w:b/>
                <w:bCs/>
                <w:spacing w:val="0"/>
                <w:kern w:val="0"/>
                <w:sz w:val="21"/>
                <w:szCs w:val="21"/>
                <w:lang w:val="en-US" w:eastAsia="zh-CN"/>
              </w:rPr>
              <w:t>1330.96</w:t>
            </w:r>
          </w:p>
        </w:tc>
      </w:tr>
    </w:tbl>
    <w:p>
      <w:pPr>
        <w:ind w:firstLine="520"/>
        <w:rPr>
          <w:rFonts w:hint="default"/>
          <w:lang w:val="en-US" w:eastAsia="zh-CN"/>
        </w:rPr>
      </w:pPr>
      <w:r>
        <w:rPr>
          <w:rFonts w:hint="eastAsia" w:ascii="宋体" w:hAnsi="宋体" w:cs="宋体"/>
        </w:rPr>
        <w:t>本次项目所有的存储空间为</w:t>
      </w:r>
      <w:r>
        <w:rPr>
          <w:rFonts w:hint="eastAsia" w:cs="宋体"/>
          <w:b/>
          <w:lang w:val="en-US" w:eastAsia="zh-CN"/>
        </w:rPr>
        <w:t>1330.96</w:t>
      </w:r>
      <w:r>
        <w:rPr>
          <w:rFonts w:hint="eastAsia" w:ascii="宋体" w:hAnsi="宋体" w:cs="宋体"/>
          <w:b/>
        </w:rPr>
        <w:t>TB</w:t>
      </w:r>
      <w:r>
        <w:rPr>
          <w:rFonts w:hint="eastAsia" w:ascii="宋体" w:hAnsi="宋体" w:cs="宋体"/>
        </w:rPr>
        <w:t>。</w:t>
      </w:r>
    </w:p>
    <w:p>
      <w:pPr>
        <w:pStyle w:val="6"/>
        <w:tabs>
          <w:tab w:val="left" w:pos="575"/>
        </w:tabs>
        <w:rPr>
          <w:rFonts w:hint="eastAsia"/>
          <w:lang w:val="en-US" w:eastAsia="zh-CN"/>
        </w:rPr>
      </w:pPr>
      <w:bookmarkStart w:id="131" w:name="_Toc16624"/>
      <w:bookmarkStart w:id="132" w:name="_Toc6480"/>
      <w:bookmarkStart w:id="133" w:name="_Toc15033"/>
      <w:r>
        <w:rPr>
          <w:rFonts w:hint="eastAsia"/>
          <w:lang w:val="en-US" w:eastAsia="zh-CN"/>
        </w:rPr>
        <w:t>接入能力分析</w:t>
      </w:r>
      <w:bookmarkEnd w:id="131"/>
    </w:p>
    <w:p>
      <w:pPr>
        <w:ind w:firstLine="520"/>
        <w:rPr>
          <w:rFonts w:hint="eastAsia"/>
          <w:lang w:val="en-US" w:eastAsia="zh-CN"/>
        </w:rPr>
      </w:pPr>
      <w:r>
        <w:rPr>
          <w:rFonts w:hint="eastAsia"/>
        </w:rPr>
        <w:t>本项目共需接入</w:t>
      </w:r>
      <w:r>
        <w:rPr>
          <w:rFonts w:hint="eastAsia"/>
          <w:lang w:val="en-US" w:eastAsia="zh-CN"/>
        </w:rPr>
        <w:t>309</w:t>
      </w:r>
      <w:r>
        <w:rPr>
          <w:rFonts w:hint="eastAsia"/>
        </w:rPr>
        <w:t>路视频监控，据调研分析，</w:t>
      </w:r>
      <w:r>
        <w:rPr>
          <w:rFonts w:hint="eastAsia"/>
          <w:lang w:val="en-US" w:eastAsia="zh-CN"/>
        </w:rPr>
        <w:t>丰都县</w:t>
      </w:r>
      <w:r>
        <w:rPr>
          <w:rFonts w:hint="eastAsia"/>
        </w:rPr>
        <w:t>公安局已部署的服务器接入能力满足本次项目需求，本次项目不进行新增接入服务器。</w:t>
      </w:r>
    </w:p>
    <w:p>
      <w:pPr>
        <w:pStyle w:val="6"/>
        <w:tabs>
          <w:tab w:val="left" w:pos="575"/>
        </w:tabs>
        <w:rPr>
          <w:rFonts w:hint="eastAsia"/>
          <w:lang w:val="en-US" w:eastAsia="zh-CN"/>
        </w:rPr>
      </w:pPr>
      <w:bookmarkStart w:id="134" w:name="_Toc20625"/>
      <w:r>
        <w:rPr>
          <w:rFonts w:hint="eastAsia"/>
          <w:lang w:val="en-US" w:eastAsia="zh-CN"/>
        </w:rPr>
        <w:t>视频转发分析</w:t>
      </w:r>
      <w:bookmarkEnd w:id="134"/>
    </w:p>
    <w:p>
      <w:pPr>
        <w:ind w:firstLine="520"/>
        <w:rPr>
          <w:rFonts w:hint="eastAsia"/>
          <w:lang w:val="en-US" w:eastAsia="zh-CN"/>
        </w:rPr>
      </w:pPr>
      <w:r>
        <w:rPr>
          <w:rFonts w:hint="eastAsia"/>
        </w:rPr>
        <w:t>据调研分析，</w:t>
      </w:r>
      <w:r>
        <w:rPr>
          <w:rFonts w:hint="eastAsia"/>
          <w:lang w:val="en-US" w:eastAsia="zh-CN"/>
        </w:rPr>
        <w:t>丰都县</w:t>
      </w:r>
      <w:r>
        <w:rPr>
          <w:rFonts w:hint="eastAsia"/>
        </w:rPr>
        <w:t>公安局已部署的服务器视频转发能力满足本次项目需求，本次项目不新增视频转发服务器。</w:t>
      </w:r>
    </w:p>
    <w:p>
      <w:pPr>
        <w:pStyle w:val="6"/>
        <w:tabs>
          <w:tab w:val="left" w:pos="575"/>
        </w:tabs>
        <w:bidi w:val="0"/>
        <w:rPr>
          <w:rFonts w:hint="default"/>
          <w:lang w:val="en-US"/>
        </w:rPr>
      </w:pPr>
      <w:bookmarkStart w:id="135" w:name="_Toc13348"/>
      <w:r>
        <w:rPr>
          <w:rFonts w:hint="eastAsia"/>
          <w:lang w:val="en-US" w:eastAsia="zh-CN"/>
        </w:rPr>
        <w:t>水质监测站需求</w:t>
      </w:r>
      <w:bookmarkEnd w:id="135"/>
    </w:p>
    <w:p>
      <w:pPr>
        <w:spacing w:line="360" w:lineRule="auto"/>
        <w:ind w:firstLine="600"/>
        <w:rPr>
          <w:rFonts w:hint="default"/>
          <w:lang w:val="en-US" w:eastAsia="zh-CN"/>
        </w:rPr>
      </w:pPr>
      <w:r>
        <w:rPr>
          <w:rFonts w:hint="eastAsia"/>
          <w:lang w:val="en-US" w:eastAsia="zh-CN"/>
        </w:rPr>
        <w:t>丰都水利局在进行水质自动监测站维护工作时，发现站房内仪器设施有缺失、损坏等情况。</w:t>
      </w:r>
    </w:p>
    <w:p>
      <w:pPr>
        <w:pStyle w:val="7"/>
        <w:tabs>
          <w:tab w:val="left" w:pos="1282"/>
          <w:tab w:val="clear" w:pos="0"/>
          <w:tab w:val="clear" w:pos="575"/>
        </w:tabs>
        <w:bidi w:val="0"/>
        <w:rPr>
          <w:rFonts w:hint="eastAsia"/>
          <w:lang w:val="en-US" w:eastAsia="zh-CN"/>
        </w:rPr>
      </w:pPr>
      <w:r>
        <w:rPr>
          <w:rFonts w:hint="eastAsia"/>
          <w:lang w:val="en-US" w:eastAsia="zh-CN"/>
        </w:rPr>
        <w:t>社坛上杨家桥水质监测站</w:t>
      </w:r>
    </w:p>
    <w:p>
      <w:pPr>
        <w:rPr>
          <w:rFonts w:hint="eastAsia"/>
          <w:lang w:val="en-US" w:eastAsia="zh-CN"/>
        </w:rPr>
      </w:pPr>
      <w:r>
        <w:rPr>
          <w:rFonts w:hint="eastAsia"/>
          <w:lang w:val="en-US" w:eastAsia="zh-CN"/>
        </w:rPr>
        <w:t>丰都水利局在进行水质自动监测站维护工作时，发现有些设备存在如下问题：</w:t>
      </w:r>
    </w:p>
    <w:p>
      <w:pPr>
        <w:keepNext w:val="0"/>
        <w:keepLines w:val="0"/>
        <w:pageBreakBefore w:val="0"/>
        <w:widowControl w:val="0"/>
        <w:numPr>
          <w:ilvl w:val="0"/>
          <w:numId w:val="30"/>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default"/>
          <w:lang w:val="en-US" w:eastAsia="zh-CN"/>
        </w:rPr>
        <w:t>氨氮仪器</w:t>
      </w:r>
      <w:r>
        <w:rPr>
          <w:rFonts w:hint="eastAsia"/>
          <w:lang w:val="en-US" w:eastAsia="zh-CN"/>
        </w:rPr>
        <w:t>：氨氮仪器屏幕略微失灵，重启后仪器时间变成2000年01月1日，同时仪器内数据丢失只能从工控机查看数据；设备缺少液位传感器导致偶尔报出低试剂预警。</w:t>
      </w:r>
    </w:p>
    <w:p>
      <w:pPr>
        <w:keepNext w:val="0"/>
        <w:keepLines w:val="0"/>
        <w:pageBreakBefore w:val="0"/>
        <w:widowControl w:val="0"/>
        <w:numPr>
          <w:ilvl w:val="0"/>
          <w:numId w:val="30"/>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eastAsia"/>
          <w:lang w:val="en-US" w:eastAsia="zh-CN"/>
        </w:rPr>
        <w:t>COD：COD十通阀存在串液问题，在吸取标液时会误吸纯水导致测标液时零值，该问题一直存在，需更换一套COD液位传感器。</w:t>
      </w:r>
    </w:p>
    <w:p>
      <w:pPr>
        <w:keepNext w:val="0"/>
        <w:keepLines w:val="0"/>
        <w:pageBreakBefore w:val="0"/>
        <w:widowControl w:val="0"/>
        <w:numPr>
          <w:ilvl w:val="0"/>
          <w:numId w:val="30"/>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default"/>
          <w:lang w:val="en-US" w:eastAsia="zh-CN"/>
        </w:rPr>
        <w:t>总磷仪器</w:t>
      </w:r>
      <w:r>
        <w:rPr>
          <w:rFonts w:hint="eastAsia"/>
          <w:lang w:val="en-US" w:eastAsia="zh-CN"/>
        </w:rPr>
        <w:t>：总磷仪器屏幕大部分失灵无法点击，重启后仪器时间变成2000年01月1日，同时仪器内数据丢失只能从工控机查看数据。</w:t>
      </w:r>
    </w:p>
    <w:p>
      <w:pPr>
        <w:keepNext w:val="0"/>
        <w:keepLines w:val="0"/>
        <w:pageBreakBefore w:val="0"/>
        <w:widowControl w:val="0"/>
        <w:numPr>
          <w:ilvl w:val="0"/>
          <w:numId w:val="30"/>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default"/>
          <w:lang w:val="en-US" w:eastAsia="zh-CN"/>
        </w:rPr>
        <w:t>五参数仪器</w:t>
      </w:r>
      <w:r>
        <w:rPr>
          <w:rFonts w:hint="eastAsia"/>
          <w:lang w:val="en-US" w:eastAsia="zh-CN"/>
        </w:rPr>
        <w:t>：监测站</w:t>
      </w:r>
      <w:r>
        <w:rPr>
          <w:rFonts w:hint="default"/>
          <w:lang w:val="en-US" w:eastAsia="zh-CN"/>
        </w:rPr>
        <w:t>五参数中PH、浊度</w:t>
      </w:r>
      <w:r>
        <w:rPr>
          <w:rFonts w:hint="eastAsia"/>
          <w:lang w:val="en-US" w:eastAsia="zh-CN"/>
        </w:rPr>
        <w:t>数据异常，</w:t>
      </w:r>
      <w:r>
        <w:rPr>
          <w:rFonts w:hint="default"/>
          <w:lang w:val="en-US" w:eastAsia="zh-CN"/>
        </w:rPr>
        <w:t>探头电极需更换。</w:t>
      </w:r>
    </w:p>
    <w:p>
      <w:pPr>
        <w:pStyle w:val="7"/>
        <w:tabs>
          <w:tab w:val="left" w:pos="1282"/>
          <w:tab w:val="clear" w:pos="0"/>
          <w:tab w:val="clear" w:pos="575"/>
        </w:tabs>
        <w:bidi w:val="0"/>
        <w:rPr>
          <w:rFonts w:hint="eastAsia"/>
          <w:lang w:val="en-US" w:eastAsia="zh-CN"/>
        </w:rPr>
      </w:pPr>
      <w:r>
        <w:rPr>
          <w:rFonts w:hint="eastAsia"/>
          <w:lang w:val="en-US" w:eastAsia="zh-CN"/>
        </w:rPr>
        <w:t>保合三星桥水质监测站</w:t>
      </w:r>
    </w:p>
    <w:p>
      <w:pPr>
        <w:keepNext w:val="0"/>
        <w:keepLines w:val="0"/>
        <w:pageBreakBefore w:val="0"/>
        <w:widowControl w:val="0"/>
        <w:numPr>
          <w:ilvl w:val="0"/>
          <w:numId w:val="31"/>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default"/>
          <w:lang w:val="en-US" w:eastAsia="zh-CN"/>
        </w:rPr>
        <w:t>氨氮仪器</w:t>
      </w:r>
      <w:r>
        <w:rPr>
          <w:rFonts w:hint="eastAsia"/>
          <w:lang w:val="en-US" w:eastAsia="zh-CN"/>
        </w:rPr>
        <w:t>：氨氮仪器屏幕略微失灵，重启后仪器时间变成2000年01月1日，同时仪器内数据丢失只能从工控机查看数据；沉淀池进样电磁阀故障，无法上水，仪器报缺水故障。</w:t>
      </w:r>
    </w:p>
    <w:p>
      <w:pPr>
        <w:keepNext w:val="0"/>
        <w:keepLines w:val="0"/>
        <w:pageBreakBefore w:val="0"/>
        <w:widowControl w:val="0"/>
        <w:numPr>
          <w:ilvl w:val="0"/>
          <w:numId w:val="31"/>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default"/>
          <w:lang w:val="en-US" w:eastAsia="zh-CN"/>
        </w:rPr>
        <w:t>总磷仪器</w:t>
      </w:r>
      <w:r>
        <w:rPr>
          <w:rFonts w:hint="eastAsia"/>
          <w:lang w:val="en-US" w:eastAsia="zh-CN"/>
        </w:rPr>
        <w:t>：总磷仪器屏幕大部分失灵无法点击，重启后仪器时间变成2000年01月1日，同时仪器内数据丢失只能从工控机查看数据。</w:t>
      </w:r>
    </w:p>
    <w:p>
      <w:pPr>
        <w:keepNext w:val="0"/>
        <w:keepLines w:val="0"/>
        <w:pageBreakBefore w:val="0"/>
        <w:widowControl w:val="0"/>
        <w:numPr>
          <w:ilvl w:val="0"/>
          <w:numId w:val="31"/>
        </w:numPr>
        <w:kinsoku/>
        <w:wordWrap/>
        <w:overflowPunct/>
        <w:topLinePunct w:val="0"/>
        <w:autoSpaceDE/>
        <w:autoSpaceDN/>
        <w:bidi w:val="0"/>
        <w:adjustRightInd/>
        <w:snapToGrid w:val="0"/>
        <w:ind w:left="0" w:leftChars="0" w:firstLine="524" w:firstLineChars="200"/>
        <w:textAlignment w:val="auto"/>
        <w:rPr>
          <w:rFonts w:hint="default"/>
          <w:lang w:val="en-US" w:eastAsia="zh-CN"/>
        </w:rPr>
      </w:pPr>
      <w:r>
        <w:rPr>
          <w:rFonts w:hint="default"/>
          <w:lang w:val="en-US" w:eastAsia="zh-CN"/>
        </w:rPr>
        <w:t>五参数仪器</w:t>
      </w:r>
      <w:r>
        <w:rPr>
          <w:rFonts w:hint="eastAsia"/>
          <w:lang w:val="en-US" w:eastAsia="zh-CN"/>
        </w:rPr>
        <w:t>：</w:t>
      </w:r>
      <w:r>
        <w:rPr>
          <w:rFonts w:hint="default"/>
          <w:lang w:val="en-US" w:eastAsia="zh-CN"/>
        </w:rPr>
        <w:t>五参数中PH、浊度</w:t>
      </w:r>
      <w:r>
        <w:rPr>
          <w:rFonts w:hint="eastAsia"/>
          <w:lang w:val="en-US" w:eastAsia="zh-CN"/>
        </w:rPr>
        <w:t>数据异常，</w:t>
      </w:r>
      <w:r>
        <w:rPr>
          <w:rFonts w:hint="default"/>
          <w:lang w:val="en-US" w:eastAsia="zh-CN"/>
        </w:rPr>
        <w:t>溶解氧数据报零值</w:t>
      </w:r>
      <w:r>
        <w:rPr>
          <w:rFonts w:hint="eastAsia"/>
          <w:lang w:val="en-US" w:eastAsia="zh-CN"/>
        </w:rPr>
        <w:t>，</w:t>
      </w:r>
      <w:r>
        <w:rPr>
          <w:rFonts w:hint="default"/>
          <w:lang w:val="en-US" w:eastAsia="zh-CN"/>
        </w:rPr>
        <w:t>探头电极需更换。</w:t>
      </w:r>
    </w:p>
    <w:p>
      <w:pPr>
        <w:keepNext w:val="0"/>
        <w:keepLines w:val="0"/>
        <w:pageBreakBefore w:val="0"/>
        <w:widowControl w:val="0"/>
        <w:numPr>
          <w:ilvl w:val="0"/>
          <w:numId w:val="31"/>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default"/>
          <w:lang w:val="en-US" w:eastAsia="zh-CN"/>
        </w:rPr>
        <w:t>采水系统仪器</w:t>
      </w:r>
      <w:r>
        <w:rPr>
          <w:rFonts w:hint="eastAsia"/>
          <w:lang w:val="en-US" w:eastAsia="zh-CN"/>
        </w:rPr>
        <w:t>：采水系统一台采水泵故障无法使用。</w:t>
      </w:r>
    </w:p>
    <w:p>
      <w:pPr>
        <w:pStyle w:val="7"/>
        <w:tabs>
          <w:tab w:val="left" w:pos="1282"/>
          <w:tab w:val="clear" w:pos="0"/>
          <w:tab w:val="clear" w:pos="575"/>
        </w:tabs>
        <w:bidi w:val="0"/>
        <w:rPr>
          <w:rFonts w:hint="eastAsia"/>
          <w:lang w:val="en-US" w:eastAsia="zh-CN"/>
        </w:rPr>
      </w:pPr>
      <w:r>
        <w:rPr>
          <w:rFonts w:hint="eastAsia"/>
          <w:lang w:val="en-US" w:eastAsia="zh-CN"/>
        </w:rPr>
        <w:t>仁沙磨滩水质监测站</w:t>
      </w:r>
    </w:p>
    <w:p>
      <w:pPr>
        <w:keepNext w:val="0"/>
        <w:keepLines w:val="0"/>
        <w:pageBreakBefore w:val="0"/>
        <w:widowControl w:val="0"/>
        <w:numPr>
          <w:ilvl w:val="0"/>
          <w:numId w:val="32"/>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default"/>
          <w:lang w:val="en-US" w:eastAsia="zh-CN"/>
        </w:rPr>
        <w:t>氨氮仪器</w:t>
      </w:r>
      <w:r>
        <w:rPr>
          <w:rFonts w:hint="eastAsia"/>
          <w:lang w:val="en-US" w:eastAsia="zh-CN"/>
        </w:rPr>
        <w:t>：氨氮仪器屏幕略微失灵，重启后仪器时间变成2000年01月1日，同时仪器内数据丢失只能从工控机查看数据；沉淀池进样电磁阀故障，无法上水，仪器报缺水故障。</w:t>
      </w:r>
    </w:p>
    <w:p>
      <w:pPr>
        <w:keepNext w:val="0"/>
        <w:keepLines w:val="0"/>
        <w:pageBreakBefore w:val="0"/>
        <w:widowControl w:val="0"/>
        <w:numPr>
          <w:ilvl w:val="0"/>
          <w:numId w:val="32"/>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default"/>
          <w:lang w:val="en-US" w:eastAsia="zh-CN"/>
        </w:rPr>
        <w:t>总磷仪器</w:t>
      </w:r>
      <w:r>
        <w:rPr>
          <w:rFonts w:hint="eastAsia"/>
          <w:lang w:val="en-US" w:eastAsia="zh-CN"/>
        </w:rPr>
        <w:t>：总磷仪器屏幕大部分失灵无法点击，重启后仪器时间变成2000年01月1日，同时仪器内数据丢失只能从工控机查看数据。</w:t>
      </w:r>
    </w:p>
    <w:p>
      <w:pPr>
        <w:keepNext w:val="0"/>
        <w:keepLines w:val="0"/>
        <w:pageBreakBefore w:val="0"/>
        <w:widowControl w:val="0"/>
        <w:numPr>
          <w:ilvl w:val="0"/>
          <w:numId w:val="32"/>
        </w:numPr>
        <w:kinsoku/>
        <w:wordWrap/>
        <w:overflowPunct/>
        <w:topLinePunct w:val="0"/>
        <w:autoSpaceDE/>
        <w:autoSpaceDN/>
        <w:bidi w:val="0"/>
        <w:adjustRightInd/>
        <w:snapToGrid w:val="0"/>
        <w:ind w:left="0" w:leftChars="0" w:firstLine="524" w:firstLineChars="200"/>
        <w:textAlignment w:val="auto"/>
        <w:rPr>
          <w:rFonts w:hint="default"/>
          <w:lang w:val="en-US" w:eastAsia="zh-CN"/>
        </w:rPr>
      </w:pPr>
      <w:r>
        <w:rPr>
          <w:rFonts w:hint="default"/>
          <w:lang w:val="en-US" w:eastAsia="zh-CN"/>
        </w:rPr>
        <w:t>五参数仪器</w:t>
      </w:r>
      <w:r>
        <w:rPr>
          <w:rFonts w:hint="eastAsia"/>
          <w:lang w:val="en-US" w:eastAsia="zh-CN"/>
        </w:rPr>
        <w:t>：</w:t>
      </w:r>
      <w:r>
        <w:rPr>
          <w:rFonts w:hint="default"/>
          <w:lang w:val="en-US" w:eastAsia="zh-CN"/>
        </w:rPr>
        <w:t>五参数中PH</w:t>
      </w:r>
      <w:r>
        <w:rPr>
          <w:rFonts w:hint="eastAsia"/>
          <w:lang w:val="en-US" w:eastAsia="zh-CN"/>
        </w:rPr>
        <w:t>数据异常，</w:t>
      </w:r>
      <w:r>
        <w:rPr>
          <w:rFonts w:hint="default"/>
          <w:lang w:val="en-US" w:eastAsia="zh-CN"/>
        </w:rPr>
        <w:t>溶解氧数据报零值。探头电极需更换。</w:t>
      </w:r>
    </w:p>
    <w:p>
      <w:pPr>
        <w:keepNext w:val="0"/>
        <w:keepLines w:val="0"/>
        <w:pageBreakBefore w:val="0"/>
        <w:widowControl w:val="0"/>
        <w:numPr>
          <w:ilvl w:val="0"/>
          <w:numId w:val="32"/>
        </w:numPr>
        <w:kinsoku/>
        <w:wordWrap/>
        <w:overflowPunct/>
        <w:topLinePunct w:val="0"/>
        <w:autoSpaceDE/>
        <w:autoSpaceDN/>
        <w:bidi w:val="0"/>
        <w:adjustRightInd/>
        <w:snapToGrid w:val="0"/>
        <w:ind w:left="0" w:leftChars="0" w:firstLine="524" w:firstLineChars="200"/>
        <w:textAlignment w:val="auto"/>
        <w:rPr>
          <w:rFonts w:hint="eastAsia"/>
          <w:lang w:val="en-US" w:eastAsia="zh-CN"/>
        </w:rPr>
      </w:pPr>
      <w:r>
        <w:rPr>
          <w:rFonts w:hint="eastAsia"/>
          <w:lang w:val="en-US" w:eastAsia="zh-CN"/>
        </w:rPr>
        <w:t>显示主板：总磷仪器和氨氮仪器屏幕死机，出现一直黑屏，重启与点击均无有效反馈，仪器无法正常运行，需更换仪器显示主板。</w:t>
      </w:r>
    </w:p>
    <w:p>
      <w:pPr>
        <w:bidi w:val="0"/>
        <w:rPr>
          <w:rFonts w:hint="eastAsia"/>
          <w:lang w:val="en-US" w:eastAsia="zh-CN"/>
        </w:rPr>
      </w:pPr>
      <w:r>
        <w:rPr>
          <w:rFonts w:hint="eastAsia"/>
          <w:lang w:val="en-US" w:eastAsia="zh-CN"/>
        </w:rPr>
        <w:t>综上所述，各站点水质自动监测仪配件需求如下：</w:t>
      </w:r>
    </w:p>
    <w:p>
      <w:pPr>
        <w:pStyle w:val="40"/>
        <w:bidi w:val="0"/>
        <w:rPr>
          <w:rFonts w:hint="eastAsia"/>
          <w:lang w:val="en-US" w:eastAsia="zh-CN"/>
        </w:rPr>
      </w:pPr>
      <w:r>
        <w:rPr>
          <w:rFonts w:hint="eastAsia"/>
          <w:lang w:val="en-US" w:eastAsia="zh-CN"/>
        </w:rPr>
        <w:t>水质自动监测仪配件需求</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5"/>
        <w:gridCol w:w="688"/>
        <w:gridCol w:w="674"/>
        <w:gridCol w:w="724"/>
        <w:gridCol w:w="754"/>
        <w:gridCol w:w="751"/>
        <w:gridCol w:w="696"/>
        <w:gridCol w:w="724"/>
        <w:gridCol w:w="649"/>
        <w:gridCol w:w="510"/>
        <w:gridCol w:w="645"/>
        <w:gridCol w:w="570"/>
        <w:gridCol w:w="6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站点</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氨氮仪器触摸屏</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氨氮仪器液位传感器</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氨氮仪器沉淀池进样电磁阀</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总磷仪器触摸屏</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五参数仪器PH探头</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五参数仪器浊度探头</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五参数仪器溶解氧探头</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潜水泵</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总磷仪器主板</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氨氮仪器主板</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COD十通阀液位传感器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社坛上杨家桥水质监测站</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保合三星桥水质监测站</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仁沙磨滩水质监测站</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bl>
    <w:p>
      <w:pPr>
        <w:pStyle w:val="6"/>
        <w:tabs>
          <w:tab w:val="left" w:pos="575"/>
        </w:tabs>
        <w:bidi w:val="0"/>
        <w:rPr>
          <w:rFonts w:hint="default"/>
          <w:lang w:val="en-US"/>
        </w:rPr>
      </w:pPr>
      <w:bookmarkStart w:id="136" w:name="_Toc30837"/>
      <w:r>
        <w:rPr>
          <w:rFonts w:hint="eastAsia"/>
          <w:lang w:val="en-US" w:eastAsia="zh-CN"/>
        </w:rPr>
        <w:t>终端建设需求</w:t>
      </w:r>
      <w:bookmarkEnd w:id="136"/>
    </w:p>
    <w:p>
      <w:pPr>
        <w:rPr>
          <w:rFonts w:hint="eastAsia"/>
          <w:lang w:eastAsia="zh-CN"/>
        </w:rPr>
      </w:pPr>
      <w:r>
        <w:rPr>
          <w:rFonts w:hint="eastAsia"/>
          <w:lang w:val="en-US" w:eastAsia="zh-CN"/>
        </w:rPr>
        <w:t>丰都县水利局在移民安置区的应急事件处理专项工作量与业务量有所增加，本次项目针对三合街道、名山街</w:t>
      </w:r>
      <w:r>
        <w:rPr>
          <w:rFonts w:hint="eastAsia" w:ascii="宋体" w:hAnsi="宋体" w:eastAsia="宋体" w:cs="宋体"/>
          <w:lang w:val="en-US" w:eastAsia="zh-CN"/>
        </w:rPr>
        <w:t>道、高家镇等移民安置区的应急能力提升需要</w:t>
      </w:r>
      <w:r>
        <w:rPr>
          <w:rFonts w:hint="eastAsia"/>
          <w:lang w:val="en-US" w:eastAsia="zh-CN"/>
        </w:rPr>
        <w:t>增加15台操作终端、6个移动设备终端满足丰都县水利局使用需求</w:t>
      </w:r>
      <w:r>
        <w:rPr>
          <w:rFonts w:hint="eastAsia"/>
          <w:lang w:eastAsia="zh-CN"/>
        </w:rPr>
        <w:t>。</w:t>
      </w:r>
    </w:p>
    <w:p>
      <w:pPr>
        <w:pStyle w:val="40"/>
        <w:bidi w:val="0"/>
        <w:rPr>
          <w:rFonts w:hint="eastAsia"/>
          <w:lang w:eastAsia="zh-CN"/>
        </w:rPr>
      </w:pPr>
      <w:r>
        <w:rPr>
          <w:rFonts w:hint="eastAsia"/>
          <w:lang w:val="en-US" w:eastAsia="zh-CN"/>
        </w:rPr>
        <w:t>终端建设需求表</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4"/>
        <w:gridCol w:w="3636"/>
        <w:gridCol w:w="1386"/>
        <w:gridCol w:w="2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站点</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操作终端</w:t>
            </w:r>
          </w:p>
        </w:tc>
        <w:tc>
          <w:tcPr>
            <w:tcW w:w="1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移动设备终端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三合街道</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5</w:t>
            </w:r>
          </w:p>
        </w:tc>
        <w:tc>
          <w:tcPr>
            <w:tcW w:w="1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名山街道</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5</w:t>
            </w:r>
          </w:p>
        </w:tc>
        <w:tc>
          <w:tcPr>
            <w:tcW w:w="1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高家镇</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5</w:t>
            </w:r>
          </w:p>
        </w:tc>
        <w:tc>
          <w:tcPr>
            <w:tcW w:w="1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4</w:t>
            </w:r>
          </w:p>
        </w:tc>
        <w:tc>
          <w:tcPr>
            <w:tcW w:w="2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15</w:t>
            </w:r>
          </w:p>
        </w:tc>
        <w:tc>
          <w:tcPr>
            <w:tcW w:w="1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bl>
    <w:p>
      <w:pPr>
        <w:pStyle w:val="6"/>
        <w:tabs>
          <w:tab w:val="left" w:pos="575"/>
        </w:tabs>
        <w:rPr>
          <w:rFonts w:hint="eastAsia"/>
          <w:lang w:eastAsia="zh-CN"/>
        </w:rPr>
      </w:pPr>
      <w:bookmarkStart w:id="137" w:name="_Toc11025"/>
      <w:r>
        <w:rPr>
          <w:rFonts w:hint="eastAsia"/>
          <w:lang w:val="en-US" w:eastAsia="zh-CN"/>
        </w:rPr>
        <w:t>水利局存储需求</w:t>
      </w:r>
      <w:bookmarkEnd w:id="137"/>
    </w:p>
    <w:p>
      <w:pPr>
        <w:rPr>
          <w:rFonts w:hint="default"/>
          <w:lang w:val="en-US" w:eastAsia="zh-CN"/>
        </w:rPr>
      </w:pPr>
      <w:r>
        <w:rPr>
          <w:rFonts w:hint="eastAsia"/>
          <w:lang w:val="en-US" w:eastAsia="zh-CN"/>
        </w:rPr>
        <w:t>丰都县水利局原先的服务器存储已经满载，为满足辖区内水文站最新产生的相关检测数据的存储，新增32块8T硬盘用于水利局服务器数据存储和视频存储。</w:t>
      </w:r>
    </w:p>
    <w:p>
      <w:pPr>
        <w:pStyle w:val="6"/>
        <w:tabs>
          <w:tab w:val="left" w:pos="575"/>
        </w:tabs>
        <w:rPr>
          <w:rFonts w:hint="default"/>
          <w:lang w:val="en-US" w:eastAsia="zh-CN"/>
        </w:rPr>
      </w:pPr>
      <w:bookmarkStart w:id="138" w:name="_Toc28293"/>
      <w:r>
        <w:rPr>
          <w:rFonts w:hint="eastAsia"/>
          <w:lang w:val="en-US" w:eastAsia="zh-CN"/>
        </w:rPr>
        <w:t>安全系统需求</w:t>
      </w:r>
      <w:bookmarkEnd w:id="138"/>
    </w:p>
    <w:p>
      <w:pPr>
        <w:bidi w:val="0"/>
        <w:rPr>
          <w:rFonts w:hint="default"/>
          <w:lang w:val="en-US" w:eastAsia="zh-CN"/>
        </w:rPr>
      </w:pPr>
      <w:r>
        <w:rPr>
          <w:rFonts w:hint="eastAsia"/>
        </w:rPr>
        <w:t>本项目是在雪亮工程的基础上进行视频监控建设，安全系统</w:t>
      </w:r>
      <w:r>
        <w:rPr>
          <w:rFonts w:hint="eastAsia"/>
          <w:lang w:val="en-US" w:eastAsia="zh-CN"/>
        </w:rPr>
        <w:t>需要利旧</w:t>
      </w:r>
      <w:r>
        <w:rPr>
          <w:rFonts w:hint="eastAsia"/>
        </w:rPr>
        <w:t>雪亮工程项目的安全系统对本项目进行防护，</w:t>
      </w:r>
      <w:r>
        <w:rPr>
          <w:rFonts w:hint="eastAsia"/>
          <w:lang w:val="en-US" w:eastAsia="zh-CN"/>
        </w:rPr>
        <w:t>包括边界防护、系统应用防护和前端接入区防护等。其中</w:t>
      </w:r>
      <w:r>
        <w:t>视频安全准入管理系统</w:t>
      </w:r>
      <w:r>
        <w:rPr>
          <w:rFonts w:hint="eastAsia"/>
          <w:lang w:val="en-US" w:eastAsia="zh-CN"/>
        </w:rPr>
        <w:t>由</w:t>
      </w:r>
      <w:r>
        <w:rPr>
          <w:rFonts w:hint="eastAsia"/>
        </w:rPr>
        <w:t>雪亮</w:t>
      </w:r>
      <w:r>
        <w:rPr>
          <w:rFonts w:hint="eastAsia"/>
          <w:lang w:val="en-US" w:eastAsia="zh-CN"/>
        </w:rPr>
        <w:t>工程</w:t>
      </w:r>
      <w:r>
        <w:t>建设，</w:t>
      </w:r>
      <w:r>
        <w:rPr>
          <w:rFonts w:hint="eastAsia"/>
          <w:lang w:val="en-US" w:eastAsia="zh-CN"/>
        </w:rPr>
        <w:t>共计建设4</w:t>
      </w:r>
      <w:r>
        <w:rPr>
          <w:rFonts w:hint="eastAsia"/>
        </w:rPr>
        <w:t>000路视频</w:t>
      </w:r>
      <w:r>
        <w:rPr>
          <w:rFonts w:hint="eastAsia"/>
          <w:lang w:val="en-US" w:eastAsia="zh-CN"/>
        </w:rPr>
        <w:t>安全准入</w:t>
      </w:r>
      <w:r>
        <w:rPr>
          <w:rFonts w:hint="eastAsia"/>
          <w:lang w:eastAsia="zh-CN"/>
        </w:rPr>
        <w:t>，</w:t>
      </w:r>
      <w:r>
        <w:rPr>
          <w:rFonts w:hint="eastAsia"/>
          <w:lang w:val="en-US" w:eastAsia="zh-CN"/>
        </w:rPr>
        <w:t>目前已使用接近3000路，剩余量满足本次项目的使用。</w:t>
      </w:r>
    </w:p>
    <w:p>
      <w:pPr>
        <w:pStyle w:val="6"/>
        <w:rPr>
          <w:rFonts w:hint="default"/>
          <w:color w:val="auto"/>
        </w:rPr>
      </w:pPr>
      <w:bookmarkStart w:id="139" w:name="_Toc17541"/>
      <w:r>
        <w:rPr>
          <w:rFonts w:hint="default"/>
          <w:color w:val="auto"/>
        </w:rPr>
        <w:t>系统性能指标</w:t>
      </w:r>
      <w:bookmarkEnd w:id="132"/>
      <w:bookmarkEnd w:id="133"/>
      <w:bookmarkEnd w:id="139"/>
    </w:p>
    <w:p>
      <w:pPr>
        <w:pStyle w:val="7"/>
        <w:tabs>
          <w:tab w:val="clear" w:pos="0"/>
        </w:tabs>
        <w:spacing w:before="198" w:after="198"/>
        <w:rPr>
          <w:lang w:val="en-GB"/>
        </w:rPr>
      </w:pPr>
      <w:bookmarkStart w:id="140" w:name="_Toc27802"/>
      <w:r>
        <w:rPr>
          <w:rFonts w:hint="eastAsia"/>
          <w:lang w:val="en-GB"/>
        </w:rPr>
        <w:t>基本性能要求</w:t>
      </w:r>
      <w:bookmarkEnd w:id="140"/>
    </w:p>
    <w:p>
      <w:pPr>
        <w:numPr>
          <w:ilvl w:val="0"/>
          <w:numId w:val="33"/>
        </w:numPr>
        <w:ind w:left="0" w:firstLine="482"/>
        <w:rPr>
          <w:rFonts w:hint="eastAsia" w:ascii="宋体" w:hAnsi="宋体" w:eastAsia="宋体" w:cs="宋体"/>
          <w:b/>
          <w:bCs/>
          <w:lang w:val="en-GB"/>
        </w:rPr>
      </w:pPr>
      <w:r>
        <w:rPr>
          <w:rFonts w:hint="eastAsia" w:ascii="宋体" w:hAnsi="宋体" w:eastAsia="宋体" w:cs="宋体"/>
          <w:b/>
          <w:bCs/>
          <w:lang w:val="en-GB"/>
        </w:rPr>
        <w:t>数据处理和存储</w:t>
      </w:r>
    </w:p>
    <w:p>
      <w:pPr>
        <w:numPr>
          <w:ilvl w:val="0"/>
          <w:numId w:val="34"/>
        </w:numPr>
        <w:ind w:firstLine="480"/>
        <w:rPr>
          <w:rFonts w:hint="eastAsia" w:ascii="宋体" w:hAnsi="宋体" w:eastAsia="宋体" w:cs="宋体"/>
          <w:lang w:val="en-GB"/>
        </w:rPr>
      </w:pPr>
      <w:r>
        <w:rPr>
          <w:rFonts w:hint="eastAsia" w:ascii="宋体" w:hAnsi="宋体" w:eastAsia="宋体" w:cs="宋体"/>
          <w:lang w:val="en-GB"/>
        </w:rPr>
        <w:t>少量数据，简单查询时间小于2s；</w:t>
      </w:r>
    </w:p>
    <w:p>
      <w:pPr>
        <w:numPr>
          <w:ilvl w:val="0"/>
          <w:numId w:val="34"/>
        </w:numPr>
        <w:ind w:firstLine="480"/>
        <w:rPr>
          <w:rFonts w:hint="eastAsia" w:ascii="宋体" w:hAnsi="宋体" w:eastAsia="宋体" w:cs="宋体"/>
          <w:lang w:val="en-GB"/>
        </w:rPr>
      </w:pPr>
      <w:r>
        <w:rPr>
          <w:rFonts w:hint="eastAsia" w:ascii="宋体" w:hAnsi="宋体" w:eastAsia="宋体" w:cs="宋体"/>
          <w:lang w:val="en-GB"/>
        </w:rPr>
        <w:t>复杂多重查询时间小于5s，批量数据，简单查询事件小于3s；</w:t>
      </w:r>
    </w:p>
    <w:p>
      <w:pPr>
        <w:numPr>
          <w:ilvl w:val="0"/>
          <w:numId w:val="34"/>
        </w:numPr>
        <w:ind w:firstLine="480"/>
        <w:rPr>
          <w:rFonts w:hint="eastAsia" w:ascii="宋体" w:hAnsi="宋体" w:eastAsia="宋体" w:cs="宋体"/>
          <w:lang w:val="en-GB"/>
        </w:rPr>
      </w:pPr>
      <w:r>
        <w:rPr>
          <w:rFonts w:hint="eastAsia" w:ascii="宋体" w:hAnsi="宋体" w:eastAsia="宋体" w:cs="宋体"/>
          <w:lang w:val="en-GB"/>
        </w:rPr>
        <w:t>对于数据存储的数据时间小于3s/100M。</w:t>
      </w:r>
    </w:p>
    <w:p>
      <w:pPr>
        <w:numPr>
          <w:ilvl w:val="0"/>
          <w:numId w:val="33"/>
        </w:numPr>
        <w:ind w:left="0" w:firstLine="482"/>
        <w:rPr>
          <w:rFonts w:hint="eastAsia" w:ascii="宋体" w:hAnsi="宋体" w:eastAsia="宋体" w:cs="宋体"/>
          <w:b/>
          <w:bCs/>
          <w:lang w:val="en-GB"/>
        </w:rPr>
      </w:pPr>
      <w:r>
        <w:rPr>
          <w:rFonts w:hint="eastAsia" w:ascii="宋体" w:hAnsi="宋体" w:eastAsia="宋体" w:cs="宋体"/>
          <w:b/>
          <w:bCs/>
          <w:lang w:val="en-GB"/>
        </w:rPr>
        <w:t>系统时延</w:t>
      </w:r>
    </w:p>
    <w:p>
      <w:pPr>
        <w:numPr>
          <w:ilvl w:val="0"/>
          <w:numId w:val="35"/>
        </w:numPr>
        <w:ind w:firstLine="480"/>
        <w:rPr>
          <w:rFonts w:hint="eastAsia" w:ascii="宋体" w:hAnsi="宋体" w:eastAsia="宋体" w:cs="宋体"/>
          <w:lang w:val="en-GB"/>
        </w:rPr>
      </w:pPr>
      <w:r>
        <w:rPr>
          <w:rFonts w:hint="eastAsia" w:ascii="宋体" w:hAnsi="宋体" w:eastAsia="宋体" w:cs="宋体"/>
          <w:lang w:val="en-GB"/>
        </w:rPr>
        <w:t>音视频失步时间应不大于0</w:t>
      </w:r>
      <w:r>
        <w:rPr>
          <w:rFonts w:hint="eastAsia" w:ascii="宋体" w:hAnsi="宋体" w:eastAsia="宋体" w:cs="宋体"/>
        </w:rPr>
        <w:t>.</w:t>
      </w:r>
      <w:r>
        <w:rPr>
          <w:rFonts w:hint="eastAsia" w:ascii="宋体" w:hAnsi="宋体" w:eastAsia="宋体" w:cs="宋体"/>
          <w:lang w:val="en-GB"/>
        </w:rPr>
        <w:t>6s；</w:t>
      </w:r>
    </w:p>
    <w:p>
      <w:pPr>
        <w:numPr>
          <w:ilvl w:val="0"/>
          <w:numId w:val="35"/>
        </w:numPr>
        <w:ind w:firstLine="480"/>
        <w:rPr>
          <w:rFonts w:hint="eastAsia" w:ascii="宋体" w:hAnsi="宋体" w:eastAsia="宋体" w:cs="宋体"/>
          <w:lang w:val="en-GB"/>
        </w:rPr>
      </w:pPr>
      <w:r>
        <w:rPr>
          <w:rFonts w:hint="eastAsia" w:ascii="宋体" w:hAnsi="宋体" w:eastAsia="宋体" w:cs="宋体"/>
          <w:lang w:val="en-GB"/>
        </w:rPr>
        <w:t>当信息经由数据网络传输时，端到端的信息延迟时间（双向）应不大于3s（包括发送端信息采集、编码、网络传输、信息接收端解码、显示等过程所经历的时间）；</w:t>
      </w:r>
    </w:p>
    <w:p>
      <w:pPr>
        <w:numPr>
          <w:ilvl w:val="0"/>
          <w:numId w:val="35"/>
        </w:numPr>
        <w:ind w:firstLine="480"/>
        <w:rPr>
          <w:rFonts w:hint="eastAsia" w:ascii="宋体" w:hAnsi="宋体" w:eastAsia="宋体" w:cs="宋体"/>
          <w:lang w:val="en-GB"/>
        </w:rPr>
      </w:pPr>
      <w:r>
        <w:rPr>
          <w:rFonts w:hint="eastAsia" w:ascii="宋体" w:hAnsi="宋体" w:eastAsia="宋体" w:cs="宋体"/>
          <w:lang w:val="en-GB"/>
        </w:rPr>
        <w:t>设备编解码时延应不大于500ms，每一级转发时时延应不大于50ms。</w:t>
      </w:r>
    </w:p>
    <w:p>
      <w:pPr>
        <w:pStyle w:val="7"/>
        <w:tabs>
          <w:tab w:val="clear" w:pos="0"/>
        </w:tabs>
        <w:spacing w:before="198" w:after="198"/>
        <w:rPr>
          <w:lang w:val="en-GB"/>
        </w:rPr>
      </w:pPr>
      <w:bookmarkStart w:id="141" w:name="_Toc6911"/>
      <w:r>
        <w:rPr>
          <w:rFonts w:hint="eastAsia"/>
          <w:lang w:val="en-GB"/>
        </w:rPr>
        <w:t>可靠性要求</w:t>
      </w:r>
      <w:bookmarkEnd w:id="141"/>
    </w:p>
    <w:p>
      <w:pPr>
        <w:numPr>
          <w:ilvl w:val="0"/>
          <w:numId w:val="36"/>
        </w:numPr>
        <w:ind w:firstLine="480"/>
        <w:rPr>
          <w:rFonts w:hint="eastAsia" w:ascii="宋体" w:hAnsi="宋体" w:eastAsia="宋体" w:cs="宋体"/>
          <w:lang w:val="en-GB"/>
        </w:rPr>
      </w:pPr>
      <w:r>
        <w:rPr>
          <w:rFonts w:hint="eastAsia" w:ascii="宋体" w:hAnsi="宋体" w:eastAsia="宋体" w:cs="宋体"/>
          <w:lang w:val="en-GB"/>
        </w:rPr>
        <w:t>硬件需采用双电源供电、双网卡、双控制器、双磁盘硬件镜像等保护措施；</w:t>
      </w:r>
    </w:p>
    <w:p>
      <w:pPr>
        <w:numPr>
          <w:ilvl w:val="0"/>
          <w:numId w:val="36"/>
        </w:numPr>
        <w:ind w:firstLine="480"/>
        <w:rPr>
          <w:rFonts w:hint="eastAsia" w:ascii="宋体" w:hAnsi="宋体" w:eastAsia="宋体" w:cs="宋体"/>
          <w:lang w:val="en-GB"/>
        </w:rPr>
      </w:pPr>
      <w:r>
        <w:rPr>
          <w:rFonts w:hint="eastAsia" w:ascii="宋体" w:hAnsi="宋体" w:eastAsia="宋体" w:cs="宋体"/>
          <w:lang w:val="en-GB"/>
        </w:rPr>
        <w:t>硬件设备必须支持连续7×24小时不间断地工作，支持主要配件如电源模块、磁盘等的热拔插；</w:t>
      </w:r>
    </w:p>
    <w:p>
      <w:pPr>
        <w:numPr>
          <w:ilvl w:val="0"/>
          <w:numId w:val="36"/>
        </w:numPr>
        <w:ind w:firstLine="480"/>
        <w:rPr>
          <w:rFonts w:hint="eastAsia" w:ascii="宋体" w:hAnsi="宋体" w:eastAsia="宋体" w:cs="宋体"/>
          <w:lang w:val="en-GB"/>
        </w:rPr>
      </w:pPr>
      <w:r>
        <w:rPr>
          <w:rFonts w:hint="eastAsia" w:ascii="宋体" w:hAnsi="宋体" w:eastAsia="宋体" w:cs="宋体"/>
          <w:lang w:val="en-GB"/>
        </w:rPr>
        <w:t>单节点（冗余热备后节点）达到99％的可靠标准，多节点组网的系统（含备用节点）可提供99</w:t>
      </w:r>
      <w:r>
        <w:rPr>
          <w:rFonts w:hint="eastAsia" w:ascii="宋体" w:hAnsi="宋体" w:eastAsia="宋体" w:cs="宋体"/>
        </w:rPr>
        <w:t>.</w:t>
      </w:r>
      <w:r>
        <w:rPr>
          <w:rFonts w:hint="eastAsia" w:ascii="宋体" w:hAnsi="宋体" w:eastAsia="宋体" w:cs="宋体"/>
          <w:lang w:val="en-GB"/>
        </w:rPr>
        <w:t>9%可靠性；</w:t>
      </w:r>
    </w:p>
    <w:p>
      <w:pPr>
        <w:numPr>
          <w:ilvl w:val="0"/>
          <w:numId w:val="36"/>
        </w:numPr>
        <w:ind w:firstLine="480"/>
        <w:rPr>
          <w:rFonts w:hint="eastAsia" w:ascii="宋体" w:hAnsi="宋体" w:eastAsia="宋体" w:cs="宋体"/>
          <w:lang w:val="en-GB"/>
        </w:rPr>
      </w:pPr>
      <w:r>
        <w:rPr>
          <w:rFonts w:hint="eastAsia" w:ascii="宋体" w:hAnsi="宋体" w:eastAsia="宋体" w:cs="宋体"/>
          <w:lang w:val="en-GB"/>
        </w:rPr>
        <w:t>硬件设备的CPU忙时峰值利用率平均不超过70%，内存忙时利用率平均不超过70%；</w:t>
      </w:r>
    </w:p>
    <w:p>
      <w:pPr>
        <w:numPr>
          <w:ilvl w:val="0"/>
          <w:numId w:val="36"/>
        </w:numPr>
        <w:ind w:firstLine="480"/>
        <w:rPr>
          <w:rFonts w:hint="eastAsia" w:ascii="宋体" w:hAnsi="宋体" w:eastAsia="宋体" w:cs="宋体"/>
          <w:lang w:val="en-GB"/>
        </w:rPr>
      </w:pPr>
      <w:r>
        <w:rPr>
          <w:rFonts w:hint="eastAsia" w:ascii="宋体" w:hAnsi="宋体" w:eastAsia="宋体" w:cs="宋体"/>
          <w:lang w:val="en-GB"/>
        </w:rPr>
        <w:t>支持定期进行主备或负荷分担设备业务迁移操作，迁移操作对在线业务无影响；</w:t>
      </w:r>
    </w:p>
    <w:p>
      <w:pPr>
        <w:numPr>
          <w:ilvl w:val="0"/>
          <w:numId w:val="36"/>
        </w:numPr>
        <w:ind w:firstLine="480"/>
        <w:rPr>
          <w:rFonts w:hint="eastAsia" w:ascii="宋体" w:hAnsi="宋体" w:eastAsia="宋体" w:cs="宋体"/>
          <w:lang w:val="en-GB"/>
        </w:rPr>
      </w:pPr>
      <w:r>
        <w:rPr>
          <w:rFonts w:hint="eastAsia" w:ascii="宋体" w:hAnsi="宋体" w:eastAsia="宋体" w:cs="宋体"/>
          <w:lang w:val="en-GB"/>
        </w:rPr>
        <w:t>操作系统必须是常用操作系统，最大程度保证系统架构的稳定性和可靠性；</w:t>
      </w:r>
    </w:p>
    <w:p>
      <w:pPr>
        <w:numPr>
          <w:ilvl w:val="0"/>
          <w:numId w:val="36"/>
        </w:numPr>
        <w:ind w:firstLine="480"/>
        <w:rPr>
          <w:rFonts w:hint="eastAsia" w:ascii="宋体" w:hAnsi="宋体" w:eastAsia="宋体" w:cs="宋体"/>
          <w:lang w:val="en-GB"/>
        </w:rPr>
      </w:pPr>
      <w:r>
        <w:rPr>
          <w:rFonts w:hint="eastAsia" w:ascii="宋体" w:hAnsi="宋体" w:eastAsia="宋体" w:cs="宋体"/>
          <w:lang w:val="en-GB"/>
        </w:rPr>
        <w:t>应用系统必须确保连续7×24小时不间断地正常工作，应用软件中的任一模块更新、加载时不影响业务运转和服务；</w:t>
      </w:r>
    </w:p>
    <w:p>
      <w:pPr>
        <w:numPr>
          <w:ilvl w:val="0"/>
          <w:numId w:val="36"/>
        </w:numPr>
        <w:ind w:firstLine="480"/>
        <w:rPr>
          <w:rFonts w:hint="eastAsia" w:ascii="宋体" w:hAnsi="宋体" w:eastAsia="宋体" w:cs="宋体"/>
          <w:lang w:val="en-GB"/>
        </w:rPr>
      </w:pPr>
      <w:r>
        <w:rPr>
          <w:rFonts w:hint="eastAsia" w:ascii="宋体" w:hAnsi="宋体" w:eastAsia="宋体" w:cs="宋体"/>
          <w:lang w:val="en-GB"/>
        </w:rPr>
        <w:t>应具备故障守护恢复机制，即当发生一般性软件和硬件障碍时，系统应具有自我恢复能力；</w:t>
      </w:r>
    </w:p>
    <w:p>
      <w:pPr>
        <w:numPr>
          <w:ilvl w:val="0"/>
          <w:numId w:val="36"/>
        </w:numPr>
        <w:ind w:firstLine="480"/>
        <w:rPr>
          <w:rFonts w:hint="eastAsia" w:ascii="宋体" w:hAnsi="宋体" w:eastAsia="宋体" w:cs="宋体"/>
          <w:lang w:val="en-GB"/>
        </w:rPr>
      </w:pPr>
      <w:r>
        <w:rPr>
          <w:rFonts w:hint="eastAsia" w:ascii="宋体" w:hAnsi="宋体" w:eastAsia="宋体" w:cs="宋体"/>
          <w:lang w:val="en-GB"/>
        </w:rPr>
        <w:t>具备过负荷控制的机制，防止短时间内的大量请求负荷把系统冲垮；</w:t>
      </w:r>
    </w:p>
    <w:p>
      <w:pPr>
        <w:numPr>
          <w:ilvl w:val="0"/>
          <w:numId w:val="36"/>
        </w:numPr>
        <w:ind w:firstLine="480"/>
        <w:rPr>
          <w:rFonts w:hint="eastAsia" w:ascii="宋体" w:hAnsi="宋体" w:eastAsia="宋体" w:cs="宋体"/>
          <w:lang w:val="en-GB"/>
        </w:rPr>
      </w:pPr>
      <w:r>
        <w:rPr>
          <w:rFonts w:hint="eastAsia" w:ascii="宋体" w:hAnsi="宋体" w:eastAsia="宋体" w:cs="宋体"/>
          <w:lang w:val="en-GB"/>
        </w:rPr>
        <w:t>接口应用程序应具备自我监控能力、能通过可灵活配置的告警方式(如Email、短信等)向维护人员发出故障告警。</w:t>
      </w:r>
    </w:p>
    <w:p>
      <w:pPr>
        <w:pStyle w:val="7"/>
        <w:tabs>
          <w:tab w:val="clear" w:pos="0"/>
        </w:tabs>
        <w:spacing w:before="198" w:after="198"/>
        <w:rPr>
          <w:lang w:val="en-GB"/>
        </w:rPr>
      </w:pPr>
      <w:bookmarkStart w:id="142" w:name="_Toc18050"/>
      <w:r>
        <w:rPr>
          <w:rFonts w:hint="eastAsia"/>
          <w:lang w:val="en-GB"/>
        </w:rPr>
        <w:t>安全性要求</w:t>
      </w:r>
      <w:bookmarkEnd w:id="142"/>
    </w:p>
    <w:p>
      <w:pPr>
        <w:numPr>
          <w:ilvl w:val="0"/>
          <w:numId w:val="33"/>
        </w:numPr>
        <w:ind w:left="0" w:firstLine="482"/>
        <w:rPr>
          <w:b/>
          <w:bCs/>
          <w:lang w:val="en-GB"/>
        </w:rPr>
      </w:pPr>
      <w:r>
        <w:rPr>
          <w:rFonts w:hint="eastAsia"/>
          <w:b/>
          <w:bCs/>
          <w:lang w:val="en-GB"/>
        </w:rPr>
        <w:t>安全物理环境</w:t>
      </w:r>
    </w:p>
    <w:p>
      <w:pPr>
        <w:ind w:firstLine="480"/>
        <w:rPr>
          <w:lang w:val="en-GB"/>
        </w:rPr>
      </w:pPr>
      <w:r>
        <w:rPr>
          <w:rFonts w:hint="eastAsia"/>
          <w:lang w:val="en-GB"/>
        </w:rPr>
        <w:t>物理层安全主要涉及的范畴包括环境安全（防火、防水、防雷击等）、设备和介质的防盗窃防破坏等方面。具体包括：物理位置的选择、物理访问控制、防盗窃和防破坏、防雷击、防火、防水和防潮、防静电、温湿度控制、电力供应和电磁防护等。</w:t>
      </w:r>
    </w:p>
    <w:p>
      <w:pPr>
        <w:numPr>
          <w:ilvl w:val="0"/>
          <w:numId w:val="33"/>
        </w:numPr>
        <w:ind w:left="0" w:firstLine="482"/>
        <w:rPr>
          <w:b/>
          <w:bCs/>
          <w:lang w:val="en-GB"/>
        </w:rPr>
      </w:pPr>
      <w:r>
        <w:rPr>
          <w:rFonts w:hint="eastAsia"/>
          <w:b/>
          <w:bCs/>
          <w:lang w:val="en-GB"/>
        </w:rPr>
        <w:t>安全通信网络</w:t>
      </w:r>
    </w:p>
    <w:p>
      <w:pPr>
        <w:numPr>
          <w:ilvl w:val="0"/>
          <w:numId w:val="37"/>
        </w:numPr>
        <w:tabs>
          <w:tab w:val="left" w:pos="0"/>
        </w:tabs>
        <w:ind w:firstLine="480"/>
        <w:rPr>
          <w:lang w:val="en-GB"/>
        </w:rPr>
      </w:pPr>
      <w:r>
        <w:rPr>
          <w:rFonts w:hint="eastAsia"/>
          <w:lang w:val="en-GB"/>
        </w:rPr>
        <w:t>应实现不同网络之间的物理隔离。</w:t>
      </w:r>
    </w:p>
    <w:p>
      <w:pPr>
        <w:numPr>
          <w:ilvl w:val="0"/>
          <w:numId w:val="37"/>
        </w:numPr>
        <w:ind w:firstLine="480"/>
        <w:rPr>
          <w:lang w:val="en-GB"/>
        </w:rPr>
      </w:pPr>
      <w:r>
        <w:rPr>
          <w:rFonts w:hint="eastAsia"/>
          <w:lang w:val="en-GB"/>
        </w:rPr>
        <w:t>具有根据客户业务需求自主设置安全策略的能力，包括定义访问路径、选择安全组件、配置安全策略。</w:t>
      </w:r>
    </w:p>
    <w:p>
      <w:pPr>
        <w:numPr>
          <w:ilvl w:val="0"/>
          <w:numId w:val="37"/>
        </w:numPr>
        <w:ind w:firstLine="480"/>
        <w:rPr>
          <w:lang w:val="en-GB"/>
        </w:rPr>
      </w:pPr>
      <w:r>
        <w:rPr>
          <w:rFonts w:hint="eastAsia"/>
          <w:lang w:val="en-GB"/>
        </w:rPr>
        <w:t>提供开放接口或开放性安全服务，允许客户接入第三方安全产品。</w:t>
      </w:r>
    </w:p>
    <w:p>
      <w:pPr>
        <w:numPr>
          <w:ilvl w:val="0"/>
          <w:numId w:val="33"/>
        </w:numPr>
        <w:ind w:left="0" w:firstLine="482"/>
        <w:rPr>
          <w:b/>
          <w:bCs/>
          <w:lang w:val="en-GB"/>
        </w:rPr>
      </w:pPr>
      <w:r>
        <w:rPr>
          <w:rFonts w:hint="eastAsia"/>
          <w:b/>
          <w:bCs/>
          <w:lang w:val="en-GB"/>
        </w:rPr>
        <w:t>安全区域防护</w:t>
      </w:r>
    </w:p>
    <w:p>
      <w:pPr>
        <w:numPr>
          <w:ilvl w:val="0"/>
          <w:numId w:val="38"/>
        </w:numPr>
        <w:tabs>
          <w:tab w:val="left" w:pos="0"/>
        </w:tabs>
        <w:ind w:firstLine="480"/>
        <w:rPr>
          <w:lang w:val="en-GB"/>
        </w:rPr>
      </w:pPr>
      <w:r>
        <w:rPr>
          <w:rFonts w:hint="eastAsia"/>
          <w:lang w:val="en-GB"/>
        </w:rPr>
        <w:t>访问控制</w:t>
      </w:r>
    </w:p>
    <w:p>
      <w:pPr>
        <w:ind w:firstLine="480"/>
        <w:rPr>
          <w:lang w:val="en-GB"/>
        </w:rPr>
      </w:pPr>
      <w:r>
        <w:rPr>
          <w:rFonts w:hint="eastAsia"/>
          <w:lang w:val="en-GB"/>
        </w:rPr>
        <w:t>1)在虚拟化网络边界部署访问控制机制，并设置访问控制规则。</w:t>
      </w:r>
    </w:p>
    <w:p>
      <w:pPr>
        <w:ind w:firstLine="480"/>
        <w:rPr>
          <w:lang w:val="en-GB"/>
        </w:rPr>
      </w:pPr>
      <w:r>
        <w:rPr>
          <w:rFonts w:hint="eastAsia"/>
          <w:lang w:val="en-GB"/>
        </w:rPr>
        <w:t>2)在不同等级的网络区域边界部署访问控制机制，设置访问控制规则。</w:t>
      </w:r>
    </w:p>
    <w:p>
      <w:pPr>
        <w:numPr>
          <w:ilvl w:val="0"/>
          <w:numId w:val="38"/>
        </w:numPr>
        <w:ind w:firstLine="480"/>
        <w:rPr>
          <w:lang w:val="en-GB"/>
        </w:rPr>
      </w:pPr>
      <w:r>
        <w:rPr>
          <w:rFonts w:hint="eastAsia"/>
          <w:lang w:val="en-GB"/>
        </w:rPr>
        <w:t>APP加密</w:t>
      </w:r>
    </w:p>
    <w:p>
      <w:pPr>
        <w:ind w:firstLine="480"/>
        <w:rPr>
          <w:lang w:val="en-GB"/>
        </w:rPr>
      </w:pPr>
      <w:r>
        <w:rPr>
          <w:rFonts w:hint="eastAsia"/>
          <w:lang w:val="en-GB"/>
        </w:rPr>
        <w:t>1)SSL VPN保证远程系统接入的用户身份安全、终端/数据安全、传输安全、应用权限安全和审计安全；</w:t>
      </w:r>
    </w:p>
    <w:p>
      <w:pPr>
        <w:ind w:firstLine="480"/>
        <w:rPr>
          <w:lang w:val="en-GB"/>
        </w:rPr>
      </w:pPr>
      <w:r>
        <w:rPr>
          <w:rFonts w:hint="eastAsia"/>
          <w:lang w:val="en-GB"/>
        </w:rPr>
        <w:t>2)支持针对不同的web页面进行数据优化，支持动态压缩技术，基于数据流进行压缩，减少不必要的数据传输；</w:t>
      </w:r>
    </w:p>
    <w:p>
      <w:pPr>
        <w:ind w:firstLine="480"/>
        <w:rPr>
          <w:lang w:val="en-GB"/>
        </w:rPr>
      </w:pPr>
      <w:r>
        <w:rPr>
          <w:rFonts w:hint="eastAsia"/>
          <w:lang w:val="en-GB"/>
        </w:rPr>
        <w:t>1)支持HTP快速传输协议，大幅优化无线环境（CDMA、GPRS、WIFI、3G）、高丢包、高延等恶劣网络环境下传输速度及效率；支持根据网络境自动选择并切换至最优的传输协议。</w:t>
      </w:r>
    </w:p>
    <w:p>
      <w:pPr>
        <w:numPr>
          <w:ilvl w:val="0"/>
          <w:numId w:val="38"/>
        </w:numPr>
        <w:ind w:firstLine="480"/>
        <w:rPr>
          <w:lang w:val="en-GB"/>
        </w:rPr>
      </w:pPr>
      <w:r>
        <w:rPr>
          <w:rFonts w:hint="eastAsia"/>
          <w:lang w:val="en-GB"/>
        </w:rPr>
        <w:t>安全隔离与数据交换</w:t>
      </w:r>
    </w:p>
    <w:p>
      <w:pPr>
        <w:ind w:firstLine="480"/>
        <w:rPr>
          <w:lang w:val="en-GB"/>
        </w:rPr>
      </w:pPr>
      <w:r>
        <w:rPr>
          <w:rFonts w:hint="eastAsia"/>
          <w:lang w:val="en-GB"/>
        </w:rPr>
        <w:t>为保证数据交换的安全性，跨网间的安全隔离数据交换系统采用“数据交换系统+网闸”的硬件架构。</w:t>
      </w:r>
    </w:p>
    <w:p>
      <w:pPr>
        <w:pStyle w:val="7"/>
        <w:tabs>
          <w:tab w:val="clear" w:pos="0"/>
        </w:tabs>
        <w:spacing w:before="198" w:after="198"/>
        <w:rPr>
          <w:lang w:val="en-GB"/>
        </w:rPr>
      </w:pPr>
      <w:bookmarkStart w:id="143" w:name="_Toc7832"/>
      <w:r>
        <w:rPr>
          <w:rFonts w:hint="eastAsia"/>
          <w:lang w:val="en-GB"/>
        </w:rPr>
        <w:t>易操作性要求</w:t>
      </w:r>
      <w:bookmarkEnd w:id="143"/>
    </w:p>
    <w:p>
      <w:pPr>
        <w:ind w:firstLine="480"/>
        <w:rPr>
          <w:lang w:val="en-GB"/>
        </w:rPr>
      </w:pPr>
      <w:r>
        <w:rPr>
          <w:rFonts w:hint="eastAsia"/>
          <w:lang w:val="en-GB"/>
        </w:rPr>
        <w:t>强调以人为本的设计思想，适应多功能、外向型的需求，对于来自内外的各种信息进行收集、处理、存储、传输、检索、查询，为实际使用者和管理者提供有效的信息服务和充分的决策依据，为用户和管理人员提供安全、舒适、方便、快捷、高效、节约的工作和办公环境。</w:t>
      </w:r>
    </w:p>
    <w:p>
      <w:pPr>
        <w:pStyle w:val="7"/>
        <w:tabs>
          <w:tab w:val="clear" w:pos="0"/>
        </w:tabs>
        <w:spacing w:before="198" w:after="198"/>
        <w:rPr>
          <w:lang w:val="en-GB"/>
        </w:rPr>
      </w:pPr>
      <w:bookmarkStart w:id="144" w:name="_Toc19045"/>
      <w:r>
        <w:rPr>
          <w:rFonts w:hint="eastAsia"/>
          <w:lang w:val="en-GB"/>
        </w:rPr>
        <w:t>易运行维护要求</w:t>
      </w:r>
      <w:bookmarkEnd w:id="144"/>
    </w:p>
    <w:p>
      <w:pPr>
        <w:ind w:firstLine="480"/>
        <w:rPr>
          <w:lang w:val="en-GB"/>
        </w:rPr>
      </w:pPr>
      <w:r>
        <w:rPr>
          <w:rFonts w:hint="eastAsia"/>
          <w:lang w:val="en-GB"/>
        </w:rPr>
        <w:t>建立科学合理的运维管理体系，可系统地将组织架构、管理流程、管控制度、绩效考核、运维成本核算以及技术平台贯穿融合，有效解决目前大多数信息系统运维工作中所面临的沟通不畅、效率低下、服务质量无法保障、被动维护等问题，改变各自为政、分散运维的状况，实现为业务应用服务的意识，更好地实现建设统一运维的目标。</w:t>
      </w:r>
    </w:p>
    <w:p>
      <w:pPr>
        <w:pStyle w:val="7"/>
        <w:tabs>
          <w:tab w:val="clear" w:pos="0"/>
        </w:tabs>
        <w:spacing w:before="198" w:after="198"/>
        <w:rPr>
          <w:lang w:val="en-GB"/>
        </w:rPr>
      </w:pPr>
      <w:bookmarkStart w:id="145" w:name="_Toc7937"/>
      <w:r>
        <w:rPr>
          <w:rFonts w:hint="eastAsia"/>
          <w:lang w:val="en-GB"/>
        </w:rPr>
        <w:t>扩展性、前瞻性要求</w:t>
      </w:r>
      <w:bookmarkEnd w:id="145"/>
    </w:p>
    <w:p>
      <w:pPr>
        <w:pStyle w:val="43"/>
        <w:ind w:firstLine="524"/>
        <w:rPr>
          <w:rFonts w:hint="eastAsia"/>
          <w:lang w:val="en-GB"/>
        </w:rPr>
      </w:pPr>
      <w:r>
        <w:rPr>
          <w:rFonts w:hint="eastAsia"/>
          <w:lang w:val="en-GB"/>
        </w:rPr>
        <w:t>系统应具备冗余扩展设计要求以及前瞻性设计要求，在规划架构上为后续扩展应用提供接口以及选择性接入方式的前瞻性设计。</w:t>
      </w:r>
    </w:p>
    <w:p>
      <w:pPr>
        <w:pStyle w:val="5"/>
        <w:bidi w:val="0"/>
        <w:rPr>
          <w:rFonts w:hint="eastAsia"/>
          <w:lang w:val="en-US" w:eastAsia="zh-CN"/>
        </w:rPr>
      </w:pPr>
      <w:bookmarkStart w:id="146" w:name="_Toc2785"/>
      <w:r>
        <w:rPr>
          <w:rFonts w:hint="eastAsia"/>
          <w:lang w:val="en-US" w:eastAsia="zh-CN"/>
        </w:rPr>
        <w:t>项目建设的必要性</w:t>
      </w:r>
      <w:bookmarkEnd w:id="146"/>
    </w:p>
    <w:p>
      <w:pPr>
        <w:pStyle w:val="6"/>
        <w:bidi w:val="0"/>
        <w:rPr>
          <w:rFonts w:hint="default"/>
          <w:lang w:val="en-US" w:eastAsia="zh-CN"/>
        </w:rPr>
      </w:pPr>
      <w:bookmarkStart w:id="147" w:name="_Toc8804"/>
      <w:r>
        <w:rPr>
          <w:rFonts w:hint="eastAsia"/>
          <w:lang w:val="en-US" w:eastAsia="zh-CN"/>
        </w:rPr>
        <w:t>优化监控范围和布局，提升监控精度和数据存储</w:t>
      </w:r>
      <w:bookmarkEnd w:id="147"/>
    </w:p>
    <w:p>
      <w:pPr>
        <w:bidi w:val="0"/>
        <w:rPr>
          <w:rFonts w:hint="default"/>
          <w:lang w:val="en-US" w:eastAsia="zh-CN"/>
        </w:rPr>
      </w:pPr>
      <w:r>
        <w:rPr>
          <w:rFonts w:hint="eastAsia"/>
          <w:lang w:val="en-US" w:eastAsia="zh-CN"/>
        </w:rPr>
        <w:t>本项目需要对原有的社区监控进行升级改造，同时结合公安局雪亮工程规划建设的点位进行科学补点，覆盖死角、盲点和危险区域，优化整体的监控范围和布局，实现全面的监控覆盖。升级改造现有的传统存储方式，采用集中存储的方式，增强数据存储及管理能力，确保资料完整性和长期保存。</w:t>
      </w:r>
    </w:p>
    <w:p>
      <w:pPr>
        <w:pStyle w:val="6"/>
        <w:bidi w:val="0"/>
        <w:rPr>
          <w:rFonts w:hint="default"/>
          <w:lang w:val="en-US" w:eastAsia="zh-CN"/>
        </w:rPr>
      </w:pPr>
      <w:bookmarkStart w:id="148" w:name="_Toc4354"/>
      <w:r>
        <w:rPr>
          <w:rFonts w:hint="eastAsia"/>
          <w:lang w:val="en-US" w:eastAsia="zh-CN"/>
        </w:rPr>
        <w:t>提升社会治安水平，确保居民安全</w:t>
      </w:r>
      <w:bookmarkEnd w:id="148"/>
    </w:p>
    <w:p>
      <w:pPr>
        <w:bidi w:val="0"/>
        <w:rPr>
          <w:rFonts w:hint="eastAsia" w:ascii="宋体" w:hAnsi="宋体" w:eastAsia="宋体" w:cs="宋体"/>
          <w:lang w:val="en-US" w:eastAsia="zh-CN"/>
        </w:rPr>
      </w:pPr>
      <w:r>
        <w:rPr>
          <w:rFonts w:hint="eastAsia"/>
          <w:lang w:val="en-US" w:eastAsia="zh-CN"/>
        </w:rPr>
        <w:t>目前原先建设的监控由于无人管理、无人维护等原因，导致大部分的监控点位都已经损坏，然而移民安置区内集中了大量的流动人口，如果未构建严格的治安防控体系，就容易发生各种事故和意外伤害，并且无法通过监控进行寻根溯源。通过本次项目的建设，升级改造移民安置区的监控系统，可以加强对安置区的管控和监视，及时发现和报警异常情况，便于快速采取行动，提升社会治安水平，确保居民安全。</w:t>
      </w:r>
    </w:p>
    <w:p>
      <w:pPr>
        <w:pStyle w:val="6"/>
        <w:bidi w:val="0"/>
        <w:rPr>
          <w:rFonts w:hint="default"/>
          <w:lang w:val="en-US" w:eastAsia="zh-CN"/>
        </w:rPr>
      </w:pPr>
      <w:bookmarkStart w:id="149" w:name="_Toc1766"/>
      <w:r>
        <w:rPr>
          <w:rFonts w:hint="eastAsia"/>
          <w:lang w:val="en-US" w:eastAsia="zh-CN"/>
        </w:rPr>
        <w:t>提升水质检测能力，保障水资源安全</w:t>
      </w:r>
      <w:bookmarkEnd w:id="149"/>
    </w:p>
    <w:p>
      <w:pPr>
        <w:bidi w:val="0"/>
        <w:rPr>
          <w:rFonts w:hint="default"/>
          <w:lang w:val="en-US" w:eastAsia="zh-CN"/>
        </w:rPr>
      </w:pPr>
      <w:r>
        <w:rPr>
          <w:rFonts w:hint="eastAsia"/>
          <w:lang w:val="en-US" w:eastAsia="zh-CN"/>
        </w:rPr>
        <w:t>本项目通过对水质自动监测站的设备仪器进行维护维修和升级，进一步完善</w:t>
      </w:r>
      <w:r>
        <w:rPr>
          <w:rFonts w:hint="eastAsia"/>
        </w:rPr>
        <w:t>水质</w:t>
      </w:r>
      <w:r>
        <w:rPr>
          <w:rFonts w:hint="eastAsia"/>
          <w:lang w:val="en-US" w:eastAsia="zh-CN"/>
        </w:rPr>
        <w:t>检测</w:t>
      </w:r>
      <w:r>
        <w:rPr>
          <w:rFonts w:hint="eastAsia"/>
        </w:rPr>
        <w:t>数据收集、存储和分析，同时为各级河长及时、全面、准确地掌握重点断面的水质时空变化、水环境质量状况和提高决策管理效率提供自动化科技手段</w:t>
      </w:r>
      <w:r>
        <w:rPr>
          <w:rFonts w:hint="eastAsia"/>
          <w:lang w:eastAsia="zh-CN"/>
        </w:rPr>
        <w:t>，</w:t>
      </w:r>
      <w:r>
        <w:rPr>
          <w:rFonts w:hint="eastAsia"/>
        </w:rPr>
        <w:t>帮助我们快速识别潜在的水质风险，加强对水资源的保护和管理</w:t>
      </w:r>
      <w:r>
        <w:rPr>
          <w:rFonts w:hint="eastAsia"/>
          <w:lang w:eastAsia="zh-CN"/>
        </w:rPr>
        <w:t>，</w:t>
      </w:r>
      <w:r>
        <w:rPr>
          <w:rFonts w:hint="eastAsia"/>
          <w:lang w:val="en-US" w:eastAsia="zh-CN"/>
        </w:rPr>
        <w:t>保障水资源安全。</w:t>
      </w:r>
    </w:p>
    <w:p>
      <w:pPr>
        <w:pStyle w:val="5"/>
        <w:bidi w:val="0"/>
        <w:rPr>
          <w:rFonts w:hint="default"/>
          <w:lang w:val="en-US" w:eastAsia="zh-CN"/>
        </w:rPr>
      </w:pPr>
      <w:bookmarkStart w:id="150" w:name="_Toc31859"/>
      <w:r>
        <w:rPr>
          <w:rFonts w:hint="eastAsia"/>
          <w:lang w:val="en-US" w:eastAsia="zh-CN"/>
        </w:rPr>
        <w:t>项目建设的可行性</w:t>
      </w:r>
      <w:bookmarkEnd w:id="150"/>
    </w:p>
    <w:p>
      <w:pPr>
        <w:pStyle w:val="6"/>
        <w:bidi w:val="0"/>
        <w:rPr>
          <w:rFonts w:hint="eastAsia"/>
          <w:lang w:val="en-US" w:eastAsia="zh-CN"/>
        </w:rPr>
      </w:pPr>
      <w:bookmarkStart w:id="151" w:name="_Toc205"/>
      <w:r>
        <w:rPr>
          <w:rFonts w:hint="eastAsia"/>
          <w:lang w:val="en-US" w:eastAsia="zh-CN"/>
        </w:rPr>
        <w:t>政策可行性</w:t>
      </w:r>
      <w:bookmarkEnd w:id="151"/>
    </w:p>
    <w:p>
      <w:pPr>
        <w:numPr>
          <w:ilvl w:val="0"/>
          <w:numId w:val="39"/>
        </w:numPr>
        <w:spacing w:line="360" w:lineRule="auto"/>
        <w:ind w:firstLine="524" w:firstLineChars="200"/>
        <w:jc w:val="left"/>
        <w:rPr>
          <w:rFonts w:hint="eastAsia"/>
          <w:color w:val="000000"/>
          <w:lang w:val="en-US" w:eastAsia="zh-CN"/>
        </w:rPr>
      </w:pPr>
      <w:r>
        <w:rPr>
          <w:rFonts w:hint="eastAsia"/>
        </w:rPr>
        <w:t>本项目</w:t>
      </w:r>
      <w:r>
        <w:rPr>
          <w:rFonts w:hint="eastAsia"/>
          <w:lang w:val="en-US" w:eastAsia="zh-CN"/>
        </w:rPr>
        <w:t>严格按照</w:t>
      </w:r>
      <w:r>
        <w:rPr>
          <w:rFonts w:hint="eastAsia" w:ascii="宋体" w:hAnsi="宋体" w:eastAsia="宋体" w:cs="宋体"/>
        </w:rPr>
        <w:t>《国家政务信息化项目建设管理办法》</w:t>
      </w:r>
      <w:r>
        <w:rPr>
          <w:rFonts w:hint="eastAsia" w:ascii="宋体" w:hAnsi="宋体" w:eastAsia="宋体" w:cs="宋体"/>
          <w:lang w:eastAsia="zh-CN"/>
        </w:rPr>
        <w:t>、</w:t>
      </w:r>
      <w:r>
        <w:rPr>
          <w:rFonts w:hint="eastAsia" w:ascii="宋体" w:hAnsi="宋体" w:eastAsia="宋体" w:cs="宋体"/>
        </w:rPr>
        <w:t>《重庆市政务信息资源共享开放管理办法》</w:t>
      </w:r>
      <w:r>
        <w:rPr>
          <w:rFonts w:hint="eastAsia"/>
          <w:color w:val="000000"/>
          <w:lang w:val="en-US" w:eastAsia="zh-CN"/>
        </w:rPr>
        <w:t>的要求进行规划建设，符合国家法律法规和国家的政策导向，充分根据国家的规划考虑了项目是否具有可操作性。</w:t>
      </w:r>
    </w:p>
    <w:p>
      <w:pPr>
        <w:numPr>
          <w:ilvl w:val="0"/>
          <w:numId w:val="39"/>
        </w:numPr>
        <w:spacing w:line="360" w:lineRule="auto"/>
        <w:ind w:firstLine="524" w:firstLineChars="200"/>
        <w:jc w:val="left"/>
        <w:rPr>
          <w:rFonts w:hint="default" w:eastAsia="宋体"/>
          <w:color w:val="000000"/>
          <w:lang w:val="en-US" w:eastAsia="zh-CN"/>
        </w:rPr>
      </w:pPr>
      <w:r>
        <w:rPr>
          <w:rFonts w:hint="eastAsia"/>
          <w:color w:val="000000"/>
          <w:lang w:val="en-US" w:eastAsia="zh-CN"/>
        </w:rPr>
        <w:t>项目的</w:t>
      </w:r>
      <w:r>
        <w:rPr>
          <w:rFonts w:hint="eastAsia"/>
        </w:rPr>
        <w:t>建设内容属于</w:t>
      </w:r>
      <w:r>
        <w:rPr>
          <w:rFonts w:hint="eastAsia" w:ascii="宋体" w:hAnsi="宋体" w:cs="宋体"/>
        </w:rPr>
        <w:t>《三峡后续工作规划》（2011年5月18日国务院常务会议）</w:t>
      </w:r>
      <w:r>
        <w:rPr>
          <w:rFonts w:hint="eastAsia" w:ascii="宋体" w:hAnsi="宋体" w:cs="宋体"/>
          <w:lang w:eastAsia="zh-CN"/>
        </w:rPr>
        <w:t>、</w:t>
      </w:r>
      <w:r>
        <w:rPr>
          <w:rFonts w:hint="eastAsia" w:ascii="宋体" w:hAnsi="宋体" w:cs="宋体"/>
        </w:rPr>
        <w:t>《重庆市城乡公共服务设施规划标准》</w:t>
      </w:r>
      <w:r>
        <w:rPr>
          <w:rFonts w:hint="eastAsia" w:ascii="宋体" w:hAnsi="宋体" w:cs="宋体"/>
          <w:lang w:val="en-US" w:eastAsia="zh-CN"/>
        </w:rPr>
        <w:t>和</w:t>
      </w:r>
      <w:r>
        <w:rPr>
          <w:rFonts w:hint="eastAsia" w:ascii="宋体" w:hAnsi="宋体" w:cs="宋体"/>
        </w:rPr>
        <w:t>《智慧社区建设指南》</w:t>
      </w:r>
      <w:r>
        <w:rPr>
          <w:rFonts w:hint="eastAsia"/>
        </w:rPr>
        <w:t>范畴内，符合</w:t>
      </w:r>
      <w:r>
        <w:rPr>
          <w:rFonts w:hint="eastAsia"/>
          <w:lang w:val="en-US" w:eastAsia="zh-CN"/>
        </w:rPr>
        <w:t>移民安置区的</w:t>
      </w:r>
      <w:r>
        <w:rPr>
          <w:rFonts w:hint="eastAsia"/>
        </w:rPr>
        <w:t>发展方向。</w:t>
      </w:r>
    </w:p>
    <w:p>
      <w:pPr>
        <w:numPr>
          <w:ilvl w:val="0"/>
          <w:numId w:val="39"/>
        </w:numPr>
        <w:spacing w:line="360" w:lineRule="auto"/>
        <w:ind w:firstLine="524" w:firstLineChars="200"/>
        <w:jc w:val="left"/>
        <w:rPr>
          <w:rFonts w:hint="eastAsia"/>
          <w:lang w:val="en-US" w:eastAsia="zh-CN"/>
        </w:rPr>
      </w:pPr>
      <w:r>
        <w:rPr>
          <w:rFonts w:hint="eastAsia"/>
          <w:lang w:val="en-US" w:eastAsia="zh-CN"/>
        </w:rPr>
        <w:t>项目的信息化技术规范参照</w:t>
      </w:r>
      <w:r>
        <w:rPr>
          <w:rFonts w:hint="eastAsia"/>
          <w:highlight w:val="none"/>
        </w:rPr>
        <w:t>《公共安全视频监控联网系统信息传输、交换、控制技术要求》</w:t>
      </w:r>
      <w:r>
        <w:rPr>
          <w:rFonts w:hint="eastAsia"/>
          <w:color w:val="000000"/>
          <w:lang w:eastAsia="zh-CN"/>
        </w:rPr>
        <w:t>、</w:t>
      </w:r>
      <w:r>
        <w:rPr>
          <w:rFonts w:hint="eastAsia"/>
          <w:highlight w:val="none"/>
        </w:rPr>
        <w:t>《公共安全视频图像信息共享交换网络技术要求》</w:t>
      </w:r>
      <w:r>
        <w:rPr>
          <w:rFonts w:hint="eastAsia"/>
          <w:color w:val="000000"/>
          <w:lang w:eastAsia="zh-CN"/>
        </w:rPr>
        <w:t>、</w:t>
      </w:r>
      <w:r>
        <w:rPr>
          <w:rFonts w:hint="eastAsia"/>
          <w:highlight w:val="none"/>
        </w:rPr>
        <w:t>《视频安防监控系统技术要求》</w:t>
      </w:r>
      <w:r>
        <w:rPr>
          <w:rFonts w:hint="eastAsia"/>
          <w:highlight w:val="none"/>
          <w:lang w:eastAsia="zh-CN"/>
        </w:rPr>
        <w:t>、</w:t>
      </w:r>
      <w:r>
        <w:rPr>
          <w:rFonts w:hint="eastAsia"/>
        </w:rPr>
        <w:t>《地表水自动监测技术规范》</w:t>
      </w:r>
      <w:r>
        <w:rPr>
          <w:rFonts w:hint="eastAsia"/>
          <w:lang w:val="en-US" w:eastAsia="zh-CN"/>
        </w:rPr>
        <w:t>和</w:t>
      </w:r>
      <w:r>
        <w:rPr>
          <w:rFonts w:hint="eastAsia"/>
        </w:rPr>
        <w:t>《水环境监测规范》</w:t>
      </w:r>
      <w:r>
        <w:rPr>
          <w:rFonts w:hint="eastAsia"/>
          <w:color w:val="000000"/>
          <w:lang w:val="en-US" w:eastAsia="zh-CN"/>
        </w:rPr>
        <w:t>等相关规范，使得项目信息化建设具备有效性和可取性。</w:t>
      </w:r>
    </w:p>
    <w:p>
      <w:pPr>
        <w:pStyle w:val="6"/>
        <w:bidi w:val="0"/>
        <w:rPr>
          <w:rFonts w:hint="eastAsia"/>
          <w:lang w:val="en-US" w:eastAsia="zh-CN"/>
        </w:rPr>
      </w:pPr>
      <w:bookmarkStart w:id="152" w:name="_Toc17585"/>
      <w:r>
        <w:rPr>
          <w:rFonts w:hint="eastAsia"/>
          <w:lang w:val="en-US" w:eastAsia="zh-CN"/>
        </w:rPr>
        <w:t>资金可行性</w:t>
      </w:r>
      <w:bookmarkEnd w:id="152"/>
    </w:p>
    <w:p>
      <w:pPr>
        <w:bidi w:val="0"/>
        <w:rPr>
          <w:rFonts w:hint="eastAsia"/>
          <w:lang w:val="en-US" w:eastAsia="zh-CN"/>
        </w:rPr>
      </w:pPr>
      <w:r>
        <w:rPr>
          <w:rFonts w:hint="eastAsia"/>
          <w:lang w:val="en-US" w:eastAsia="zh-CN"/>
        </w:rPr>
        <w:t>本项目是一项需要大量资金支持的重要工程，主要涉及到以下三个方面：</w:t>
      </w:r>
    </w:p>
    <w:p>
      <w:pPr>
        <w:bidi w:val="0"/>
        <w:rPr>
          <w:rFonts w:hint="eastAsia"/>
          <w:lang w:val="en-US" w:eastAsia="zh-CN"/>
        </w:rPr>
      </w:pPr>
      <w:r>
        <w:rPr>
          <w:rFonts w:hint="eastAsia"/>
          <w:lang w:val="en-US" w:eastAsia="zh-CN"/>
        </w:rPr>
        <w:t>前期投入费用：本项目需要进行前期推进和规划，包括需求调研、技术方案设计、施工图设计等，这些阶段都需要专业的咨询设计公司进行技术支持。</w:t>
      </w:r>
    </w:p>
    <w:p>
      <w:pPr>
        <w:bidi w:val="0"/>
        <w:rPr>
          <w:rFonts w:hint="default"/>
          <w:lang w:val="en-US" w:eastAsia="zh-CN"/>
        </w:rPr>
      </w:pPr>
      <w:r>
        <w:rPr>
          <w:rFonts w:hint="default"/>
          <w:lang w:val="en-US" w:eastAsia="zh-CN"/>
        </w:rPr>
        <w:t>系统建设费用：</w:t>
      </w:r>
      <w:r>
        <w:rPr>
          <w:rFonts w:hint="eastAsia"/>
          <w:lang w:val="en-US" w:eastAsia="zh-CN"/>
        </w:rPr>
        <w:t>本项目</w:t>
      </w:r>
      <w:r>
        <w:rPr>
          <w:rFonts w:hint="default"/>
          <w:lang w:val="en-US" w:eastAsia="zh-CN"/>
        </w:rPr>
        <w:t>需要</w:t>
      </w:r>
      <w:r>
        <w:rPr>
          <w:rFonts w:hint="eastAsia"/>
          <w:lang w:val="en-US" w:eastAsia="zh-CN"/>
        </w:rPr>
        <w:t>建设</w:t>
      </w:r>
      <w:r>
        <w:rPr>
          <w:rFonts w:hint="default"/>
          <w:lang w:val="en-US" w:eastAsia="zh-CN"/>
        </w:rPr>
        <w:t>具备先进的硬件设备、软件及网络设施等，提供稳定而高效的系统运行保障。</w:t>
      </w:r>
    </w:p>
    <w:p>
      <w:pPr>
        <w:bidi w:val="0"/>
        <w:rPr>
          <w:rFonts w:hint="default"/>
          <w:lang w:val="en-US" w:eastAsia="zh-CN"/>
        </w:rPr>
      </w:pPr>
      <w:r>
        <w:rPr>
          <w:rFonts w:hint="default"/>
          <w:lang w:val="en-US" w:eastAsia="zh-CN"/>
        </w:rPr>
        <w:t>运维</w:t>
      </w:r>
      <w:r>
        <w:rPr>
          <w:rFonts w:hint="eastAsia"/>
          <w:lang w:val="en-US" w:eastAsia="zh-CN"/>
        </w:rPr>
        <w:t>费用</w:t>
      </w:r>
      <w:r>
        <w:rPr>
          <w:rFonts w:hint="default"/>
          <w:lang w:val="en-US" w:eastAsia="zh-CN"/>
        </w:rPr>
        <w:t>：为了保持</w:t>
      </w:r>
      <w:r>
        <w:rPr>
          <w:rFonts w:hint="eastAsia"/>
          <w:lang w:val="en-US" w:eastAsia="zh-CN"/>
        </w:rPr>
        <w:t>已经建设的监控</w:t>
      </w:r>
      <w:r>
        <w:rPr>
          <w:rFonts w:hint="default"/>
          <w:lang w:val="en-US" w:eastAsia="zh-CN"/>
        </w:rPr>
        <w:t>系统的正常运行，还需要进行系统的维护、以及运营管理等。</w:t>
      </w:r>
    </w:p>
    <w:p>
      <w:pPr>
        <w:bidi w:val="0"/>
        <w:rPr>
          <w:rFonts w:hint="eastAsia"/>
          <w:lang w:val="en-US" w:eastAsia="zh-CN"/>
        </w:rPr>
      </w:pPr>
      <w:r>
        <w:rPr>
          <w:rFonts w:hint="eastAsia"/>
          <w:lang w:val="en-US" w:eastAsia="zh-CN"/>
        </w:rPr>
        <w:t>目前该项目规划采用丰都县三峡移民应急</w:t>
      </w:r>
      <w:r>
        <w:rPr>
          <w:rFonts w:hint="eastAsia"/>
        </w:rPr>
        <w:t>资金</w:t>
      </w:r>
      <w:r>
        <w:rPr>
          <w:rFonts w:hint="eastAsia"/>
          <w:lang w:val="en-US" w:eastAsia="zh-CN"/>
        </w:rPr>
        <w:t>进行建设，具备资金可行性。</w:t>
      </w:r>
    </w:p>
    <w:p>
      <w:pPr>
        <w:pStyle w:val="6"/>
        <w:bidi w:val="0"/>
        <w:rPr>
          <w:rFonts w:hint="default"/>
          <w:lang w:val="en-US" w:eastAsia="zh-CN"/>
        </w:rPr>
      </w:pPr>
      <w:bookmarkStart w:id="153" w:name="_Toc18014"/>
      <w:r>
        <w:rPr>
          <w:rFonts w:hint="eastAsia"/>
          <w:lang w:val="en-US" w:eastAsia="zh-CN"/>
        </w:rPr>
        <w:t>技术可行性</w:t>
      </w:r>
      <w:bookmarkEnd w:id="153"/>
    </w:p>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24"/>
    <w:bookmarkEnd w:id="125"/>
    <w:p>
      <w:pPr>
        <w:bidi w:val="0"/>
        <w:rPr>
          <w:rFonts w:hint="default"/>
          <w:lang w:val="en-US" w:eastAsia="zh-CN"/>
        </w:rPr>
      </w:pPr>
      <w:bookmarkStart w:id="154" w:name="_Toc2370"/>
      <w:bookmarkStart w:id="155" w:name="_Toc5818"/>
      <w:r>
        <w:rPr>
          <w:rFonts w:hint="eastAsia"/>
          <w:lang w:val="en-US" w:eastAsia="zh-CN"/>
        </w:rPr>
        <w:t>本项目依托雪亮工程建设的公共安全视频图像信息共享平台进行前端感知设备和后端存储设备的建设，目前该项目涉及的采集技术、数据处理技术、信息交换技术等在以往的项目都有不同的建设，并且具备较多较为完善的技术规范，即本次项目可结合之前建设的信息化技术，科学规划和创新改进，使得各种技术互相支持，实现整体程度的提升，具备技术的可行性。</w:t>
      </w:r>
    </w:p>
    <w:bookmarkEnd w:id="154"/>
    <w:bookmarkEnd w:id="155"/>
    <w:p>
      <w:pPr>
        <w:pStyle w:val="4"/>
        <w:spacing w:before="156" w:after="156"/>
        <w:rPr>
          <w:rFonts w:hint="default"/>
          <w:color w:val="auto"/>
        </w:rPr>
      </w:pPr>
      <w:bookmarkStart w:id="156" w:name="_Toc22715"/>
      <w:r>
        <w:rPr>
          <w:rFonts w:hint="eastAsia"/>
          <w:color w:val="auto"/>
          <w:lang w:val="en-US" w:eastAsia="zh-CN"/>
        </w:rPr>
        <w:t>项目架构治理方案</w:t>
      </w:r>
      <w:bookmarkEnd w:id="156"/>
    </w:p>
    <w:p>
      <w:pPr>
        <w:pStyle w:val="5"/>
        <w:rPr>
          <w:rFonts w:hint="default"/>
          <w:color w:val="auto"/>
        </w:rPr>
      </w:pPr>
      <w:bookmarkStart w:id="157" w:name="_Toc3798"/>
      <w:bookmarkStart w:id="158" w:name="_Toc9753"/>
      <w:bookmarkStart w:id="159" w:name="_Toc7463"/>
      <w:r>
        <w:rPr>
          <w:color w:val="auto"/>
        </w:rPr>
        <w:t>设计</w:t>
      </w:r>
      <w:bookmarkEnd w:id="157"/>
      <w:bookmarkEnd w:id="158"/>
      <w:r>
        <w:rPr>
          <w:rFonts w:hint="eastAsia"/>
          <w:color w:val="auto"/>
          <w:lang w:val="en-US" w:eastAsia="zh-CN"/>
        </w:rPr>
        <w:t>思路</w:t>
      </w:r>
      <w:bookmarkEnd w:id="159"/>
    </w:p>
    <w:p>
      <w:pPr>
        <w:keepNext w:val="0"/>
        <w:keepLines w:val="0"/>
        <w:pageBreakBefore w:val="0"/>
        <w:widowControl w:val="0"/>
        <w:numPr>
          <w:ilvl w:val="0"/>
          <w:numId w:val="40"/>
        </w:numPr>
        <w:kinsoku/>
        <w:wordWrap/>
        <w:overflowPunct/>
        <w:topLinePunct w:val="0"/>
        <w:autoSpaceDE/>
        <w:autoSpaceDN/>
        <w:bidi w:val="0"/>
        <w:adjustRightInd/>
        <w:snapToGrid w:val="0"/>
        <w:ind w:left="0" w:leftChars="0" w:firstLine="524" w:firstLineChars="200"/>
        <w:textAlignment w:val="auto"/>
      </w:pPr>
      <w:r>
        <w:rPr>
          <w:rFonts w:hint="eastAsia"/>
        </w:rPr>
        <w:t>投资保护原则</w:t>
      </w:r>
    </w:p>
    <w:p>
      <w:pPr>
        <w:bidi w:val="0"/>
      </w:pPr>
      <w:r>
        <w:rPr>
          <w:rFonts w:hint="eastAsia"/>
        </w:rPr>
        <w:t>充分利用现有资源进行本项目建设，统筹规划，系统谋划，顶层设计，精心组织，逐步推进，稳步实施；避免重复规划、重复建设，造成资源浪费。</w:t>
      </w:r>
    </w:p>
    <w:p>
      <w:pPr>
        <w:keepNext w:val="0"/>
        <w:keepLines w:val="0"/>
        <w:pageBreakBefore w:val="0"/>
        <w:widowControl w:val="0"/>
        <w:numPr>
          <w:ilvl w:val="0"/>
          <w:numId w:val="40"/>
        </w:numPr>
        <w:kinsoku/>
        <w:wordWrap/>
        <w:overflowPunct/>
        <w:topLinePunct w:val="0"/>
        <w:autoSpaceDE/>
        <w:autoSpaceDN/>
        <w:bidi w:val="0"/>
        <w:adjustRightInd/>
        <w:snapToGrid w:val="0"/>
        <w:ind w:left="0" w:leftChars="0" w:firstLine="524" w:firstLineChars="200"/>
        <w:textAlignment w:val="auto"/>
        <w:rPr>
          <w:rFonts w:hint="eastAsia"/>
        </w:rPr>
      </w:pPr>
      <w:r>
        <w:rPr>
          <w:rFonts w:hint="eastAsia"/>
        </w:rPr>
        <w:t>先进性与实用性</w:t>
      </w:r>
    </w:p>
    <w:p>
      <w:pPr>
        <w:bidi w:val="0"/>
      </w:pPr>
      <w:r>
        <w:rPr>
          <w:rFonts w:hint="eastAsia"/>
        </w:rPr>
        <w:t>实现总体目标，必须兼顾近期与长远的利益，立足现在又面向未来。因此，既要考虑技术试用性，又要考虑技术的先进性和可扩展性，确保已有的投资能持续发挥作用。</w:t>
      </w:r>
    </w:p>
    <w:p>
      <w:pPr>
        <w:keepNext w:val="0"/>
        <w:keepLines w:val="0"/>
        <w:pageBreakBefore w:val="0"/>
        <w:widowControl w:val="0"/>
        <w:numPr>
          <w:ilvl w:val="0"/>
          <w:numId w:val="40"/>
        </w:numPr>
        <w:kinsoku/>
        <w:wordWrap/>
        <w:overflowPunct/>
        <w:topLinePunct w:val="0"/>
        <w:autoSpaceDE/>
        <w:autoSpaceDN/>
        <w:bidi w:val="0"/>
        <w:adjustRightInd/>
        <w:snapToGrid w:val="0"/>
        <w:ind w:left="0" w:leftChars="0" w:firstLine="524" w:firstLineChars="200"/>
        <w:textAlignment w:val="auto"/>
      </w:pPr>
      <w:bookmarkStart w:id="160" w:name="_Toc23200"/>
      <w:bookmarkStart w:id="161" w:name="_Toc1784"/>
      <w:bookmarkStart w:id="162" w:name="_Toc17677"/>
      <w:bookmarkStart w:id="163" w:name="_Toc508635634"/>
      <w:bookmarkStart w:id="164" w:name="_Toc417128784"/>
      <w:bookmarkStart w:id="165" w:name="_Toc25390"/>
      <w:r>
        <w:rPr>
          <w:rFonts w:hint="eastAsia"/>
        </w:rPr>
        <w:t>合理配置、适度超前</w:t>
      </w:r>
      <w:bookmarkEnd w:id="160"/>
      <w:bookmarkEnd w:id="161"/>
      <w:bookmarkEnd w:id="162"/>
      <w:bookmarkEnd w:id="163"/>
      <w:bookmarkEnd w:id="164"/>
    </w:p>
    <w:p>
      <w:pPr>
        <w:bidi w:val="0"/>
      </w:pPr>
      <w:r>
        <w:rPr>
          <w:rFonts w:hint="eastAsia"/>
        </w:rPr>
        <w:t>基础设施必须能够适应业务系统的需求不断完善，同时在性能上应至少能够满足未来5年的业务发展｡当基础设施资源负荷高于80%，基础设施必须扩容｡</w:t>
      </w:r>
    </w:p>
    <w:p>
      <w:pPr>
        <w:keepNext w:val="0"/>
        <w:keepLines w:val="0"/>
        <w:pageBreakBefore w:val="0"/>
        <w:widowControl w:val="0"/>
        <w:numPr>
          <w:ilvl w:val="0"/>
          <w:numId w:val="40"/>
        </w:numPr>
        <w:kinsoku/>
        <w:wordWrap/>
        <w:overflowPunct/>
        <w:topLinePunct w:val="0"/>
        <w:autoSpaceDE/>
        <w:autoSpaceDN/>
        <w:bidi w:val="0"/>
        <w:adjustRightInd/>
        <w:snapToGrid w:val="0"/>
        <w:ind w:left="0" w:leftChars="0" w:firstLine="524" w:firstLineChars="200"/>
        <w:textAlignment w:val="auto"/>
      </w:pPr>
      <w:bookmarkStart w:id="166" w:name="_Toc417128785"/>
      <w:bookmarkStart w:id="167" w:name="_Toc508635635"/>
      <w:bookmarkStart w:id="168" w:name="_Toc12214"/>
      <w:bookmarkStart w:id="169" w:name="_Toc32710"/>
      <w:bookmarkStart w:id="170" w:name="_Toc11806"/>
      <w:r>
        <w:rPr>
          <w:rFonts w:hint="eastAsia"/>
        </w:rPr>
        <w:t>快速响应、按需提供</w:t>
      </w:r>
      <w:bookmarkEnd w:id="166"/>
      <w:bookmarkEnd w:id="167"/>
      <w:bookmarkEnd w:id="168"/>
      <w:bookmarkEnd w:id="169"/>
      <w:bookmarkEnd w:id="170"/>
    </w:p>
    <w:p>
      <w:pPr>
        <w:bidi w:val="0"/>
      </w:pPr>
      <w:r>
        <w:rPr>
          <w:rFonts w:hint="eastAsia"/>
        </w:rPr>
        <w:t>相关设备应遵循业界标准，保证良好的互通性和互操作性，支持业务的快速部署｡</w:t>
      </w:r>
    </w:p>
    <w:p>
      <w:pPr>
        <w:keepNext w:val="0"/>
        <w:keepLines w:val="0"/>
        <w:pageBreakBefore w:val="0"/>
        <w:widowControl w:val="0"/>
        <w:numPr>
          <w:ilvl w:val="0"/>
          <w:numId w:val="40"/>
        </w:numPr>
        <w:kinsoku/>
        <w:wordWrap/>
        <w:overflowPunct/>
        <w:topLinePunct w:val="0"/>
        <w:autoSpaceDE/>
        <w:autoSpaceDN/>
        <w:bidi w:val="0"/>
        <w:adjustRightInd/>
        <w:snapToGrid w:val="0"/>
        <w:ind w:left="0" w:leftChars="0" w:firstLine="524" w:firstLineChars="200"/>
        <w:textAlignment w:val="auto"/>
      </w:pPr>
      <w:bookmarkStart w:id="171" w:name="_Toc27128"/>
      <w:bookmarkStart w:id="172" w:name="_Toc32529"/>
      <w:bookmarkStart w:id="173" w:name="_Toc508635636"/>
      <w:bookmarkStart w:id="174" w:name="_Toc417128786"/>
      <w:r>
        <w:rPr>
          <w:rFonts w:hint="eastAsia"/>
        </w:rPr>
        <w:t>可靠性、安全性</w:t>
      </w:r>
      <w:bookmarkEnd w:id="171"/>
      <w:bookmarkEnd w:id="172"/>
      <w:bookmarkEnd w:id="173"/>
      <w:bookmarkEnd w:id="174"/>
    </w:p>
    <w:p>
      <w:pPr>
        <w:bidi w:val="0"/>
      </w:pPr>
      <w:r>
        <w:rPr>
          <w:rFonts w:hint="eastAsia"/>
        </w:rPr>
        <w:t>项目涉及的数据资源丰富，数据类型较多，因此，整个系统的运行必须稳定可靠，安全体系要健全，要保障政府信息安全、民众隐私安全、企业秘密安全。</w:t>
      </w:r>
    </w:p>
    <w:p>
      <w:pPr>
        <w:keepNext w:val="0"/>
        <w:keepLines w:val="0"/>
        <w:pageBreakBefore w:val="0"/>
        <w:widowControl w:val="0"/>
        <w:numPr>
          <w:ilvl w:val="0"/>
          <w:numId w:val="40"/>
        </w:numPr>
        <w:kinsoku/>
        <w:wordWrap/>
        <w:overflowPunct/>
        <w:topLinePunct w:val="0"/>
        <w:autoSpaceDE/>
        <w:autoSpaceDN/>
        <w:bidi w:val="0"/>
        <w:adjustRightInd/>
        <w:snapToGrid w:val="0"/>
        <w:ind w:left="0" w:leftChars="0" w:firstLine="524" w:firstLineChars="200"/>
        <w:textAlignment w:val="auto"/>
      </w:pPr>
      <w:bookmarkStart w:id="175" w:name="_Toc21907"/>
      <w:bookmarkStart w:id="176" w:name="_Toc20939"/>
      <w:bookmarkStart w:id="177" w:name="_Toc417128787"/>
      <w:bookmarkStart w:id="178" w:name="_Toc14528"/>
      <w:bookmarkStart w:id="179" w:name="_Toc508635637"/>
      <w:r>
        <w:rPr>
          <w:rFonts w:hint="eastAsia"/>
        </w:rPr>
        <w:t>开放性、可扩充性</w:t>
      </w:r>
      <w:bookmarkEnd w:id="175"/>
      <w:bookmarkEnd w:id="176"/>
      <w:bookmarkEnd w:id="177"/>
      <w:bookmarkEnd w:id="178"/>
      <w:bookmarkEnd w:id="179"/>
    </w:p>
    <w:p>
      <w:pPr>
        <w:bidi w:val="0"/>
        <w:rPr>
          <w:highlight w:val="none"/>
        </w:rPr>
      </w:pPr>
      <w:r>
        <w:rPr>
          <w:rFonts w:hint="eastAsia"/>
        </w:rPr>
        <w:t>各业务系统的建设要有前瞻性，系统架构应满足未来几年内，系统接入的资源和应用服务越来越多的情形，保证系统的开放性，可提供更多类型的服务。</w:t>
      </w:r>
    </w:p>
    <w:p>
      <w:pPr>
        <w:pStyle w:val="5"/>
        <w:bidi w:val="0"/>
      </w:pPr>
      <w:bookmarkStart w:id="180" w:name="_Toc22605"/>
      <w:r>
        <w:rPr>
          <w:rFonts w:hint="eastAsia"/>
        </w:rPr>
        <w:t>总体目标</w:t>
      </w:r>
      <w:bookmarkEnd w:id="165"/>
      <w:bookmarkEnd w:id="180"/>
    </w:p>
    <w:p>
      <w:pPr>
        <w:ind w:firstLine="524"/>
        <w:rPr>
          <w:rFonts w:hint="eastAsia"/>
        </w:rPr>
      </w:pPr>
      <w:bookmarkStart w:id="181" w:name="_Toc9264"/>
      <w:bookmarkStart w:id="182" w:name="_Toc17603"/>
      <w:r>
        <w:rPr>
          <w:rFonts w:hint="eastAsia"/>
        </w:rPr>
        <w:t>改革开放以来，我国社会发生了翻天覆地的变化，在经济迅速发展、人民生活逐步提高的同时，社会治安形势也发生了深刻的变化，新的形势对社区治理工作提出了更高的要求。开展三峡库区镇街移民安置区综合应急能力提升项目建设是实现科技创安的重要组成部分，是从科技对安全的保障上增强移民群众的安全感。</w:t>
      </w:r>
    </w:p>
    <w:p>
      <w:pPr>
        <w:bidi w:val="0"/>
        <w:rPr>
          <w:rFonts w:hint="eastAsia"/>
          <w:lang w:eastAsia="zh-CN"/>
        </w:rPr>
      </w:pPr>
      <w:r>
        <w:rPr>
          <w:rFonts w:hint="eastAsia"/>
          <w:lang w:val="en-US" w:eastAsia="zh-CN"/>
        </w:rPr>
        <w:t>本项目</w:t>
      </w:r>
      <w:r>
        <w:rPr>
          <w:rFonts w:hint="eastAsia"/>
        </w:rPr>
        <w:t>以习近平新时代中国特色社会主义思想为指导，深入贯彻落实党的十九大、十九届二中、三中、四中、五中全会精神和习近平总书记关于应急管理重要论述，坚持人民至上、生命至上，着力解决乡镇（街道）、村（社区）应急力量不足、装备配备不到位、综合应急能力不强等问题，进一步明确任务、落实责任，整合资源，夯实应急管理基层基础，</w:t>
      </w:r>
      <w:r>
        <w:rPr>
          <w:rFonts w:hint="eastAsia"/>
          <w:lang w:val="en-US" w:eastAsia="zh-CN"/>
        </w:rPr>
        <w:t>从</w:t>
      </w:r>
      <w:r>
        <w:rPr>
          <w:rFonts w:hint="eastAsia"/>
        </w:rPr>
        <w:t>“治安防控”、“社会管理”、“服务民生”三个维度出发，开展乡镇（街道）和社区视频监控建设，</w:t>
      </w:r>
      <w:r>
        <w:rPr>
          <w:rFonts w:hint="eastAsia"/>
          <w:lang w:val="en-US" w:eastAsia="zh-CN"/>
        </w:rPr>
        <w:t>实现</w:t>
      </w:r>
      <w:r>
        <w:rPr>
          <w:rFonts w:hint="eastAsia"/>
        </w:rPr>
        <w:t>视频图像联网可调可存可控可用，基本实现“全域覆盖、全网共享、全时可用、全程可控、全面应用”的公共安全视频监控建设联网应用格局</w:t>
      </w:r>
      <w:r>
        <w:rPr>
          <w:rFonts w:hint="eastAsia"/>
          <w:lang w:eastAsia="zh-CN"/>
        </w:rPr>
        <w:t>，</w:t>
      </w:r>
      <w:r>
        <w:rPr>
          <w:rFonts w:hint="eastAsia"/>
        </w:rPr>
        <w:t>切实加强移民</w:t>
      </w:r>
      <w:r>
        <w:rPr>
          <w:rFonts w:hint="eastAsia"/>
          <w:lang w:val="en-US" w:eastAsia="zh-CN"/>
        </w:rPr>
        <w:t>安置区</w:t>
      </w:r>
      <w:r>
        <w:rPr>
          <w:rFonts w:hint="eastAsia"/>
        </w:rPr>
        <w:t>的安全保障能力和应急响应能力</w:t>
      </w:r>
      <w:r>
        <w:rPr>
          <w:rFonts w:hint="eastAsia"/>
          <w:lang w:eastAsia="zh-CN"/>
        </w:rPr>
        <w:t>。</w:t>
      </w:r>
    </w:p>
    <w:p>
      <w:pPr>
        <w:bidi w:val="0"/>
        <w:rPr>
          <w:rFonts w:hint="default"/>
          <w:lang w:val="en-US" w:eastAsia="zh-CN"/>
        </w:rPr>
      </w:pPr>
      <w:r>
        <w:rPr>
          <w:rFonts w:hint="eastAsia"/>
          <w:lang w:val="en-US" w:eastAsia="zh-CN"/>
        </w:rPr>
        <w:t>为提升丰都县移民安置区综合应急能力，丰都县河库综合事务中心</w:t>
      </w:r>
      <w:r>
        <w:rPr>
          <w:rFonts w:hint="eastAsia"/>
        </w:rPr>
        <w:t>拟通过本项目的建设，</w:t>
      </w:r>
      <w:r>
        <w:rPr>
          <w:rFonts w:hint="eastAsia"/>
          <w:lang w:val="en-US" w:eastAsia="zh-CN"/>
        </w:rPr>
        <w:t>完成丰都县移民安置区区域内三合街道、名山街道、高家镇城市监控的运行维护和升级改造，通过将原有的重点监控点位升级为智能结构化镜头，并将其统一接入丰都县</w:t>
      </w:r>
      <w:r>
        <w:rPr>
          <w:rFonts w:hint="eastAsia" w:ascii="宋体" w:hAnsi="宋体" w:cs="宋体"/>
          <w:color w:val="000000" w:themeColor="text1"/>
          <w14:textFill>
            <w14:solidFill>
              <w14:schemeClr w14:val="tx1"/>
            </w14:solidFill>
          </w14:textFill>
        </w:rPr>
        <w:t>公共安全视频图像联网信息平台</w:t>
      </w:r>
      <w:r>
        <w:rPr>
          <w:rFonts w:hint="eastAsia"/>
          <w:lang w:val="en-US" w:eastAsia="zh-CN"/>
        </w:rPr>
        <w:t>，保证各个社区视频监控的</w:t>
      </w:r>
      <w:r>
        <w:rPr>
          <w:rFonts w:hint="eastAsia"/>
        </w:rPr>
        <w:t>可调可存可控可用</w:t>
      </w:r>
      <w:r>
        <w:rPr>
          <w:rFonts w:hint="eastAsia"/>
          <w:lang w:val="en-US" w:eastAsia="zh-CN"/>
        </w:rPr>
        <w:t>；同时对丰都县水质站及其他设施设备进行维护升级，更换升级部分前端硬件采集设备，保证网络平台、检测数据及系统质量控制正常运行等，提升移民安置区的综合应急能力，保护移民社区安全生活。</w:t>
      </w:r>
    </w:p>
    <w:p>
      <w:pPr>
        <w:pStyle w:val="5"/>
        <w:bidi w:val="0"/>
        <w:rPr>
          <w:rFonts w:hint="default"/>
        </w:rPr>
      </w:pPr>
      <w:bookmarkStart w:id="183" w:name="_Toc23757"/>
      <w:r>
        <w:t>建设内容</w:t>
      </w:r>
      <w:bookmarkEnd w:id="181"/>
      <w:bookmarkEnd w:id="182"/>
      <w:bookmarkEnd w:id="183"/>
    </w:p>
    <w:p>
      <w:pPr>
        <w:bidi w:val="0"/>
        <w:rPr>
          <w:rFonts w:hint="eastAsia"/>
        </w:rPr>
      </w:pPr>
      <w:r>
        <w:rPr>
          <w:rFonts w:hint="eastAsia"/>
        </w:rPr>
        <w:t>本项目主要</w:t>
      </w:r>
      <w:r>
        <w:rPr>
          <w:rFonts w:hint="eastAsia"/>
          <w:lang w:val="en-US" w:eastAsia="zh-CN"/>
        </w:rPr>
        <w:t>对移民安置区范围内的丰都县三合街道、名山街道、高家镇进行综合应急能力提升建设。</w:t>
      </w:r>
      <w:r>
        <w:rPr>
          <w:rFonts w:hint="eastAsia"/>
        </w:rPr>
        <w:t>在国家强有力的持续支持下，三峡移民全力建设新家园，移民社区基础设施和社会面貌有所</w:t>
      </w:r>
      <w:r>
        <w:rPr>
          <w:rFonts w:hint="eastAsia"/>
          <w:lang w:val="en-US" w:eastAsia="zh-CN"/>
        </w:rPr>
        <w:t>改观</w:t>
      </w:r>
      <w:r>
        <w:rPr>
          <w:rFonts w:hint="eastAsia"/>
        </w:rPr>
        <w:t>，但随着城市现代化进程，产</w:t>
      </w:r>
      <w:r>
        <w:rPr>
          <w:rFonts w:hint="eastAsia"/>
          <w:lang w:val="en-US" w:eastAsia="zh-CN"/>
        </w:rPr>
        <w:t>生</w:t>
      </w:r>
      <w:r>
        <w:rPr>
          <w:rFonts w:hint="eastAsia"/>
        </w:rPr>
        <w:t>了新的问题与矛盾，为提升</w:t>
      </w:r>
      <w:r>
        <w:rPr>
          <w:rFonts w:hint="eastAsia"/>
          <w:lang w:val="en-US" w:eastAsia="zh-CN"/>
        </w:rPr>
        <w:t>移民安置区的综合应急能力</w:t>
      </w:r>
      <w:r>
        <w:rPr>
          <w:rFonts w:hint="eastAsia"/>
        </w:rPr>
        <w:t>，进行了可行性的论证，规划了建设内容，主要建设内容如下：</w:t>
      </w:r>
    </w:p>
    <w:p>
      <w:pPr>
        <w:bidi w:val="0"/>
        <w:rPr>
          <w:rFonts w:hint="eastAsia"/>
          <w:lang w:val="en-US" w:eastAsia="zh-CN"/>
        </w:rPr>
      </w:pPr>
      <w:r>
        <w:rPr>
          <w:rFonts w:hint="eastAsia"/>
          <w:lang w:val="en-US" w:eastAsia="zh-CN"/>
        </w:rPr>
        <w:t>（1）前端及配套建设：本项目的前端建设在丰都县综合帮扶项目的基础上，对丰都县三合街道、名山街道、高家镇原有的260个前端点位进行智能化监控改造，即本次需要建设309路结构化镜头（130路结构化枪机、179路结构化球机）、260个智能机箱、30根3米立杆、69根0.5米支臂和150根2米支臂等。</w:t>
      </w:r>
    </w:p>
    <w:p>
      <w:pPr>
        <w:bidi w:val="0"/>
        <w:rPr>
          <w:rFonts w:hint="default"/>
          <w:lang w:val="en-US" w:eastAsia="zh-CN"/>
        </w:rPr>
      </w:pPr>
      <w:r>
        <w:rPr>
          <w:rFonts w:hint="eastAsia"/>
          <w:lang w:val="en-US" w:eastAsia="zh-CN"/>
        </w:rPr>
        <w:t>（2）终端系统：为提升三合街道、名山街道、高家镇等移民安置区的应急事件处理能力需要增加15台操作终端、6个移动设备终端满足丰都县水利局使用需求。同时为保障丰都县水质监测站的正常运行，需要采购氨氮仪器触摸屏3个、</w:t>
      </w:r>
      <w:r>
        <w:rPr>
          <w:rFonts w:hint="eastAsia"/>
          <w:lang w:val="en-US" w:eastAsia="zh-CN"/>
        </w:rPr>
        <w:tab/>
      </w:r>
      <w:r>
        <w:rPr>
          <w:rFonts w:hint="eastAsia"/>
          <w:lang w:val="en-US" w:eastAsia="zh-CN"/>
        </w:rPr>
        <w:t>氨氮仪器液位传感器1个、</w:t>
      </w:r>
      <w:r>
        <w:rPr>
          <w:rFonts w:hint="eastAsia"/>
          <w:lang w:val="en-US" w:eastAsia="zh-CN"/>
        </w:rPr>
        <w:tab/>
      </w:r>
      <w:r>
        <w:rPr>
          <w:rFonts w:hint="eastAsia"/>
          <w:lang w:val="en-US" w:eastAsia="zh-CN"/>
        </w:rPr>
        <w:t>氨氮仪器沉淀池进样电磁阀2个</w:t>
      </w:r>
      <w:r>
        <w:rPr>
          <w:rFonts w:hint="eastAsia"/>
          <w:lang w:val="en-US" w:eastAsia="zh-CN"/>
        </w:rPr>
        <w:tab/>
      </w:r>
      <w:r>
        <w:rPr>
          <w:rFonts w:hint="eastAsia"/>
          <w:lang w:val="en-US" w:eastAsia="zh-CN"/>
        </w:rPr>
        <w:t>、总磷仪器触摸屏3个、</w:t>
      </w:r>
      <w:r>
        <w:rPr>
          <w:rFonts w:hint="eastAsia"/>
          <w:lang w:val="en-US" w:eastAsia="zh-CN"/>
        </w:rPr>
        <w:tab/>
      </w:r>
      <w:r>
        <w:rPr>
          <w:rFonts w:hint="eastAsia"/>
          <w:lang w:val="en-US" w:eastAsia="zh-CN"/>
        </w:rPr>
        <w:t>五参数仪器PH探头</w:t>
      </w:r>
      <w:r>
        <w:rPr>
          <w:rFonts w:hint="eastAsia"/>
          <w:lang w:val="en-US" w:eastAsia="zh-CN"/>
        </w:rPr>
        <w:tab/>
      </w:r>
      <w:r>
        <w:rPr>
          <w:rFonts w:hint="eastAsia"/>
          <w:lang w:val="en-US" w:eastAsia="zh-CN"/>
        </w:rPr>
        <w:t>3个、五参数仪器浊度探头2个、</w:t>
      </w:r>
      <w:r>
        <w:rPr>
          <w:rFonts w:hint="eastAsia"/>
          <w:lang w:val="en-US" w:eastAsia="zh-CN"/>
        </w:rPr>
        <w:tab/>
      </w:r>
      <w:r>
        <w:rPr>
          <w:rFonts w:hint="eastAsia"/>
          <w:lang w:val="en-US" w:eastAsia="zh-CN"/>
        </w:rPr>
        <w:t>五参数仪器溶解氧探头2个、</w:t>
      </w:r>
      <w:r>
        <w:rPr>
          <w:rFonts w:hint="eastAsia"/>
          <w:lang w:val="en-US" w:eastAsia="zh-CN"/>
        </w:rPr>
        <w:tab/>
      </w:r>
      <w:r>
        <w:rPr>
          <w:rFonts w:hint="eastAsia"/>
          <w:lang w:val="en-US" w:eastAsia="zh-CN"/>
        </w:rPr>
        <w:t>潜水泵1个、</w:t>
      </w:r>
      <w:r>
        <w:rPr>
          <w:rFonts w:hint="eastAsia"/>
          <w:lang w:val="en-US" w:eastAsia="zh-CN"/>
        </w:rPr>
        <w:tab/>
      </w:r>
      <w:r>
        <w:rPr>
          <w:rFonts w:hint="eastAsia"/>
          <w:lang w:val="en-US" w:eastAsia="zh-CN"/>
        </w:rPr>
        <w:t>总磷仪器主板</w:t>
      </w:r>
      <w:r>
        <w:rPr>
          <w:rFonts w:hint="eastAsia"/>
          <w:lang w:val="en-US" w:eastAsia="zh-CN"/>
        </w:rPr>
        <w:tab/>
      </w:r>
      <w:r>
        <w:rPr>
          <w:rFonts w:hint="eastAsia"/>
          <w:lang w:val="en-US" w:eastAsia="zh-CN"/>
        </w:rPr>
        <w:t>1套、氨氮仪器主板1套、</w:t>
      </w:r>
      <w:r>
        <w:rPr>
          <w:rFonts w:hint="eastAsia"/>
          <w:lang w:val="en-US" w:eastAsia="zh-CN"/>
        </w:rPr>
        <w:tab/>
      </w:r>
      <w:r>
        <w:rPr>
          <w:rFonts w:hint="eastAsia"/>
          <w:lang w:val="en-US" w:eastAsia="zh-CN"/>
        </w:rPr>
        <w:t>COD十通阀液位传感器1套。</w:t>
      </w:r>
    </w:p>
    <w:p>
      <w:pPr>
        <w:bidi w:val="0"/>
        <w:rPr>
          <w:rFonts w:hint="default"/>
          <w:lang w:val="en-US" w:eastAsia="zh-CN"/>
        </w:rPr>
      </w:pPr>
      <w:r>
        <w:rPr>
          <w:rFonts w:hint="eastAsia"/>
          <w:lang w:val="en-US" w:eastAsia="zh-CN"/>
        </w:rPr>
        <w:t>（3）数据处理及存储系统：为满足视频监控和丰都县水利局服务器存储需求，本次项目建设4台云存储节点、32块8TB硬盘分别用于公安局视频云存储扩容和水利局服务器数据存储、视频存储。</w:t>
      </w:r>
    </w:p>
    <w:p>
      <w:pPr>
        <w:bidi w:val="0"/>
        <w:rPr>
          <w:rFonts w:hint="default"/>
          <w:lang w:val="en-US" w:eastAsia="zh-CN"/>
        </w:rPr>
      </w:pPr>
      <w:r>
        <w:rPr>
          <w:rFonts w:hint="eastAsia"/>
          <w:lang w:val="en-US" w:eastAsia="zh-CN"/>
        </w:rPr>
        <w:t>（4）运维服务：完善的视频监控系统需要完备的运维服务机制，项目通过运维服务采购的方式，实现</w:t>
      </w:r>
      <w:r>
        <w:rPr>
          <w:rFonts w:hint="eastAsia"/>
        </w:rPr>
        <w:t>视频图像信息的全时可用</w:t>
      </w:r>
      <w:r>
        <w:rPr>
          <w:rFonts w:hint="eastAsia"/>
          <w:lang w:eastAsia="zh-CN"/>
        </w:rPr>
        <w:t>。</w:t>
      </w:r>
      <w:r>
        <w:rPr>
          <w:rFonts w:hint="eastAsia"/>
          <w:lang w:val="en-US" w:eastAsia="zh-CN"/>
        </w:rPr>
        <w:t>运维服务工作内包含外场维护、内场运维、备品备件和考核方案等。</w:t>
      </w:r>
    </w:p>
    <w:p>
      <w:pPr>
        <w:pStyle w:val="5"/>
        <w:rPr>
          <w:rFonts w:hint="default" w:eastAsia="宋体"/>
          <w:color w:val="auto"/>
          <w:lang w:val="en-US" w:eastAsia="zh-CN"/>
        </w:rPr>
      </w:pPr>
      <w:bookmarkStart w:id="184" w:name="_Toc32742"/>
      <w:r>
        <w:rPr>
          <w:rFonts w:hint="eastAsia"/>
          <w:color w:val="auto"/>
          <w:lang w:val="en-US" w:eastAsia="zh-CN"/>
        </w:rPr>
        <w:t>项目架构方案</w:t>
      </w:r>
      <w:bookmarkEnd w:id="184"/>
    </w:p>
    <w:p>
      <w:pPr>
        <w:pStyle w:val="6"/>
      </w:pPr>
      <w:bookmarkStart w:id="185" w:name="_Toc10144"/>
      <w:bookmarkStart w:id="186" w:name="_Toc19837"/>
      <w:r>
        <w:rPr>
          <w:rFonts w:hint="eastAsia"/>
          <w:color w:val="auto"/>
        </w:rPr>
        <w:t>总体架构</w:t>
      </w:r>
      <w:bookmarkEnd w:id="185"/>
      <w:bookmarkEnd w:id="186"/>
    </w:p>
    <w:p>
      <w:pPr>
        <w:ind w:firstLine="520"/>
        <w:rPr>
          <w:rFonts w:hint="eastAsia" w:ascii="宋体" w:hAnsi="宋体" w:cs="宋体"/>
        </w:rPr>
      </w:pPr>
      <w:r>
        <w:rPr>
          <w:rFonts w:hint="eastAsia" w:ascii="宋体" w:hAnsi="宋体" w:cs="宋体"/>
        </w:rPr>
        <w:t>本</w:t>
      </w:r>
      <w:r>
        <w:rPr>
          <w:rFonts w:hint="eastAsia" w:cs="宋体"/>
          <w:lang w:val="en-US" w:eastAsia="zh-CN"/>
        </w:rPr>
        <w:t>项目整体架构分为</w:t>
      </w:r>
      <w:r>
        <w:rPr>
          <w:rFonts w:hint="eastAsia" w:ascii="宋体" w:hAnsi="宋体" w:cs="宋体"/>
        </w:rPr>
        <w:t>感知层、网络层、基础层、数据层、支撑层、应用层</w:t>
      </w:r>
      <w:r>
        <w:rPr>
          <w:rFonts w:hint="eastAsia" w:cs="宋体"/>
          <w:lang w:val="en-US" w:eastAsia="zh-CN"/>
        </w:rPr>
        <w:t>六</w:t>
      </w:r>
      <w:r>
        <w:rPr>
          <w:rFonts w:hint="eastAsia" w:ascii="宋体" w:hAnsi="宋体" w:cs="宋体"/>
        </w:rPr>
        <w:t>个层次，整体架构如下图所示：</w:t>
      </w:r>
    </w:p>
    <w:p>
      <w:pPr>
        <w:keepNext w:val="0"/>
        <w:keepLines w:val="0"/>
        <w:pageBreakBefore w:val="0"/>
        <w:widowControl w:val="0"/>
        <w:kinsoku/>
        <w:wordWrap/>
        <w:overflowPunct/>
        <w:topLinePunct w:val="0"/>
        <w:autoSpaceDE/>
        <w:autoSpaceDN/>
        <w:bidi w:val="0"/>
        <w:adjustRightInd/>
        <w:snapToGrid w:val="0"/>
        <w:ind w:firstLine="0" w:firstLineChars="0"/>
        <w:textAlignment w:val="auto"/>
      </w:pPr>
      <w:r>
        <w:object>
          <v:shape id="_x0000_i1027" o:spt="75" type="#_x0000_t75" style="height:203.95pt;width:412.3pt;" o:ole="t" filled="f" o:preferrelative="t" stroked="f" coordsize="21600,21600">
            <v:path/>
            <v:fill on="f" focussize="0,0"/>
            <v:stroke on="f"/>
            <v:imagedata r:id="rId18" o:title=""/>
            <o:lock v:ext="edit" aspectratio="f"/>
            <w10:wrap type="none"/>
            <w10:anchorlock/>
          </v:shape>
          <o:OLEObject Type="Embed" ProgID="Visio.Drawing.15" ShapeID="_x0000_i1027" DrawAspect="Content" ObjectID="_1468075727" r:id="rId17">
            <o:LockedField>false</o:LockedField>
          </o:OLEObject>
        </w:object>
      </w:r>
    </w:p>
    <w:p>
      <w:pPr>
        <w:numPr>
          <w:ilvl w:val="0"/>
          <w:numId w:val="41"/>
        </w:numPr>
        <w:tabs>
          <w:tab w:val="left" w:pos="0"/>
        </w:tabs>
        <w:ind w:firstLineChars="0"/>
        <w:jc w:val="center"/>
        <w:rPr>
          <w:sz w:val="21"/>
          <w:szCs w:val="21"/>
        </w:rPr>
      </w:pPr>
      <w:r>
        <w:rPr>
          <w:rFonts w:hint="eastAsia"/>
          <w:sz w:val="21"/>
          <w:szCs w:val="21"/>
          <w:lang w:val="en-US" w:eastAsia="zh-CN"/>
        </w:rPr>
        <w:t>本项目总体</w:t>
      </w:r>
      <w:r>
        <w:rPr>
          <w:rFonts w:hint="eastAsia"/>
          <w:sz w:val="21"/>
          <w:szCs w:val="21"/>
        </w:rPr>
        <w:t>架构</w:t>
      </w:r>
      <w:r>
        <w:rPr>
          <w:rFonts w:hint="eastAsia"/>
          <w:sz w:val="21"/>
          <w:szCs w:val="21"/>
          <w:lang w:val="en-US" w:eastAsia="zh-CN"/>
        </w:rPr>
        <w:t>图</w:t>
      </w:r>
    </w:p>
    <w:p>
      <w:pPr>
        <w:numPr>
          <w:ilvl w:val="0"/>
          <w:numId w:val="42"/>
        </w:numPr>
        <w:ind w:firstLine="520"/>
      </w:pPr>
      <w:r>
        <w:rPr>
          <w:rFonts w:hint="eastAsia"/>
        </w:rPr>
        <w:t>感知层：包括治安监控、卡口</w:t>
      </w:r>
      <w:r>
        <w:rPr>
          <w:rFonts w:hint="eastAsia"/>
          <w:lang w:val="en-US" w:eastAsia="zh-CN"/>
        </w:rPr>
        <w:t>抓拍</w:t>
      </w:r>
      <w:r>
        <w:rPr>
          <w:rFonts w:hint="eastAsia"/>
        </w:rPr>
        <w:t>、</w:t>
      </w:r>
      <w:r>
        <w:rPr>
          <w:rFonts w:hint="eastAsia"/>
          <w:lang w:val="en-US" w:eastAsia="zh-CN"/>
        </w:rPr>
        <w:t>结构化枪机、结构化球机</w:t>
      </w:r>
      <w:r>
        <w:rPr>
          <w:rFonts w:hint="eastAsia"/>
        </w:rPr>
        <w:t>、人脸</w:t>
      </w:r>
      <w:r>
        <w:rPr>
          <w:rFonts w:hint="eastAsia"/>
          <w:lang w:val="en-US" w:eastAsia="zh-CN"/>
        </w:rPr>
        <w:t>抓拍</w:t>
      </w:r>
      <w:r>
        <w:rPr>
          <w:rFonts w:hint="eastAsia"/>
        </w:rPr>
        <w:t>、</w:t>
      </w:r>
      <w:r>
        <w:rPr>
          <w:rFonts w:hint="eastAsia"/>
          <w:lang w:val="en-US" w:eastAsia="zh-CN"/>
        </w:rPr>
        <w:t>传感器、探头、仪器触摸屏</w:t>
      </w:r>
      <w:r>
        <w:rPr>
          <w:rFonts w:hint="eastAsia"/>
        </w:rPr>
        <w:t>等；</w:t>
      </w:r>
    </w:p>
    <w:p>
      <w:pPr>
        <w:numPr>
          <w:ilvl w:val="0"/>
          <w:numId w:val="42"/>
        </w:numPr>
        <w:ind w:firstLine="520"/>
      </w:pPr>
      <w:r>
        <w:rPr>
          <w:rFonts w:hint="eastAsia"/>
        </w:rPr>
        <w:t>网络层：包括公安</w:t>
      </w:r>
      <w:r>
        <w:t>信息专网、</w:t>
      </w:r>
      <w:r>
        <w:rPr>
          <w:rFonts w:hint="eastAsia"/>
        </w:rPr>
        <w:t>视频专网、电子政务外网、社会单位专网、互联网</w:t>
      </w:r>
      <w:r>
        <w:rPr>
          <w:rFonts w:hint="eastAsia"/>
          <w:lang w:eastAsia="zh-CN"/>
        </w:rPr>
        <w:t>、</w:t>
      </w:r>
      <w:r>
        <w:rPr>
          <w:rFonts w:hint="eastAsia"/>
          <w:lang w:val="en-US" w:eastAsia="zh-CN"/>
        </w:rPr>
        <w:t>数据专网</w:t>
      </w:r>
      <w:r>
        <w:rPr>
          <w:rFonts w:hint="eastAsia"/>
        </w:rPr>
        <w:t>等</w:t>
      </w:r>
      <w:r>
        <w:t>；</w:t>
      </w:r>
    </w:p>
    <w:p>
      <w:pPr>
        <w:numPr>
          <w:ilvl w:val="0"/>
          <w:numId w:val="42"/>
        </w:numPr>
        <w:ind w:firstLine="520"/>
      </w:pPr>
      <w:r>
        <w:rPr>
          <w:rFonts w:hint="eastAsia"/>
        </w:rPr>
        <w:t>基础层：包括网络资源池、服务器资源池、存储资源池等云资源池；</w:t>
      </w:r>
    </w:p>
    <w:p>
      <w:pPr>
        <w:numPr>
          <w:ilvl w:val="0"/>
          <w:numId w:val="42"/>
        </w:numPr>
        <w:ind w:firstLine="520"/>
      </w:pPr>
      <w:r>
        <w:rPr>
          <w:rFonts w:hint="eastAsia"/>
        </w:rPr>
        <w:t>数据层：包括社会资源数据、</w:t>
      </w:r>
      <w:r>
        <w:rPr>
          <w:rFonts w:hint="eastAsia"/>
          <w:lang w:val="en-US" w:eastAsia="zh-CN"/>
        </w:rPr>
        <w:t>小区资源、</w:t>
      </w:r>
      <w:r>
        <w:rPr>
          <w:rFonts w:hint="eastAsia"/>
        </w:rPr>
        <w:t>应急联动数据、地理信息数据、人脸库</w:t>
      </w:r>
      <w:r>
        <w:rPr>
          <w:rFonts w:hint="eastAsia"/>
          <w:lang w:val="en-US" w:eastAsia="zh-CN"/>
        </w:rPr>
        <w:t>数据</w:t>
      </w:r>
      <w:r>
        <w:rPr>
          <w:rFonts w:hint="eastAsia"/>
        </w:rPr>
        <w:t>、车辆库</w:t>
      </w:r>
      <w:r>
        <w:rPr>
          <w:rFonts w:hint="eastAsia"/>
          <w:lang w:val="en-US" w:eastAsia="zh-CN"/>
        </w:rPr>
        <w:t>数据</w:t>
      </w:r>
      <w:r>
        <w:rPr>
          <w:rFonts w:hint="eastAsia"/>
        </w:rPr>
        <w:t>、案事件库</w:t>
      </w:r>
      <w:r>
        <w:rPr>
          <w:rFonts w:hint="eastAsia"/>
          <w:lang w:val="en-US" w:eastAsia="zh-CN"/>
        </w:rPr>
        <w:t>数据</w:t>
      </w:r>
      <w:r>
        <w:rPr>
          <w:rFonts w:hint="eastAsia"/>
        </w:rPr>
        <w:t>、</w:t>
      </w:r>
      <w:r>
        <w:rPr>
          <w:rFonts w:hint="eastAsia"/>
          <w:lang w:val="en-US" w:eastAsia="zh-CN"/>
        </w:rPr>
        <w:t>视频数据</w:t>
      </w:r>
      <w:r>
        <w:rPr>
          <w:rFonts w:hint="eastAsia"/>
        </w:rPr>
        <w:t>、</w:t>
      </w:r>
      <w:r>
        <w:rPr>
          <w:rFonts w:hint="eastAsia"/>
          <w:lang w:val="en-US" w:eastAsia="zh-CN"/>
        </w:rPr>
        <w:t>人体库数据、水质监测数据</w:t>
      </w:r>
      <w:r>
        <w:rPr>
          <w:rFonts w:hint="eastAsia"/>
        </w:rPr>
        <w:t>等；</w:t>
      </w:r>
    </w:p>
    <w:p>
      <w:pPr>
        <w:numPr>
          <w:ilvl w:val="0"/>
          <w:numId w:val="42"/>
        </w:numPr>
        <w:ind w:firstLine="520"/>
      </w:pPr>
      <w:r>
        <w:rPr>
          <w:rFonts w:hint="eastAsia"/>
        </w:rPr>
        <w:t>基础支撑层：包括地理信息服务、大屏显示系统、视频管理系统、</w:t>
      </w:r>
      <w:r>
        <w:rPr>
          <w:rFonts w:hint="eastAsia"/>
          <w:lang w:val="en-US" w:eastAsia="zh-CN"/>
        </w:rPr>
        <w:t>算法分析系统、</w:t>
      </w:r>
      <w:r>
        <w:rPr>
          <w:rFonts w:hint="eastAsia"/>
        </w:rPr>
        <w:t>视频图像资源信息库</w:t>
      </w:r>
      <w:r>
        <w:rPr>
          <w:rFonts w:hint="eastAsia"/>
          <w:lang w:eastAsia="zh-CN"/>
        </w:rPr>
        <w:t>、</w:t>
      </w:r>
      <w:r>
        <w:rPr>
          <w:rFonts w:hint="eastAsia"/>
          <w:lang w:val="en-US" w:eastAsia="zh-CN"/>
        </w:rPr>
        <w:t>视频图像智能化应用系统</w:t>
      </w:r>
      <w:r>
        <w:rPr>
          <w:rFonts w:hint="eastAsia"/>
        </w:rPr>
        <w:t>等；</w:t>
      </w:r>
    </w:p>
    <w:p>
      <w:pPr>
        <w:numPr>
          <w:ilvl w:val="0"/>
          <w:numId w:val="42"/>
        </w:numPr>
        <w:ind w:firstLine="520"/>
      </w:pPr>
      <w:r>
        <w:rPr>
          <w:rFonts w:hint="eastAsia"/>
        </w:rPr>
        <w:t>应用层：包括视频共享综合管理、</w:t>
      </w:r>
      <w:r>
        <w:rPr>
          <w:rFonts w:hint="eastAsia"/>
          <w:lang w:val="en-US" w:eastAsia="zh-CN"/>
        </w:rPr>
        <w:t>视频图像智能化管理、综治业务应用、公安业务应用、智慧交通应用、智慧安防小区应用、治安防控应用</w:t>
      </w:r>
      <w:r>
        <w:rPr>
          <w:rFonts w:hint="eastAsia"/>
        </w:rPr>
        <w:t>等；</w:t>
      </w:r>
    </w:p>
    <w:p>
      <w:pPr>
        <w:pStyle w:val="6"/>
        <w:rPr>
          <w:rFonts w:hint="eastAsia"/>
          <w:color w:val="auto"/>
        </w:rPr>
      </w:pPr>
      <w:bookmarkStart w:id="187" w:name="_Toc9733"/>
      <w:r>
        <w:rPr>
          <w:rFonts w:hint="eastAsia"/>
          <w:color w:val="auto"/>
          <w:lang w:val="en-US" w:eastAsia="zh-CN"/>
        </w:rPr>
        <w:t>网络架构</w:t>
      </w:r>
      <w:bookmarkEnd w:id="187"/>
    </w:p>
    <w:p>
      <w:pPr>
        <w:rPr>
          <w:rFonts w:hint="eastAsia"/>
          <w:color w:val="auto"/>
          <w:lang w:val="en-US" w:eastAsia="zh-CN"/>
        </w:rPr>
        <w:sectPr>
          <w:pgSz w:w="11849" w:h="16781"/>
          <w:pgMar w:top="1440" w:right="1797" w:bottom="1440" w:left="1797" w:header="850" w:footer="992" w:gutter="0"/>
          <w:pgNumType w:fmt="decimal"/>
          <w:cols w:space="0" w:num="1"/>
          <w:rtlGutter w:val="0"/>
          <w:docGrid w:type="lines" w:linePitch="397" w:charSpace="0"/>
        </w:sectPr>
      </w:pPr>
      <w:r>
        <w:rPr>
          <w:rFonts w:hint="eastAsia"/>
        </w:rPr>
        <w:t>本项目在</w:t>
      </w:r>
      <w:r>
        <w:rPr>
          <w:rFonts w:hint="eastAsia"/>
          <w:lang w:val="en-US" w:eastAsia="zh-CN"/>
        </w:rPr>
        <w:t>丰都县应指工程和</w:t>
      </w:r>
      <w:r>
        <w:rPr>
          <w:rFonts w:hint="eastAsia"/>
        </w:rPr>
        <w:t>雪亮工程项目基础之上，新增前端监控设备和后端存储设备。整体架构如下图所示：</w:t>
      </w:r>
    </w:p>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lang w:val="en-US" w:eastAsia="zh-CN"/>
        </w:rPr>
      </w:pPr>
      <w:r>
        <w:rPr>
          <w:rFonts w:hint="eastAsia"/>
          <w:lang w:val="en-US" w:eastAsia="zh-CN"/>
        </w:rPr>
        <w:object>
          <v:shape id="_x0000_i1028" o:spt="75" type="#_x0000_t75" style="height:366pt;width:555.6pt;" o:ole="t" filled="f" o:preferrelative="t" stroked="f" coordsize="21600,21600">
            <v:path/>
            <v:fill on="f" focussize="0,0"/>
            <v:stroke on="f"/>
            <v:imagedata r:id="rId20" o:title=""/>
            <o:lock v:ext="edit" aspectratio="f"/>
            <w10:wrap type="none"/>
            <w10:anchorlock/>
          </v:shape>
          <o:OLEObject Type="Embed" ProgID="Visio.Drawing.15" ShapeID="_x0000_i1028" DrawAspect="Content" ObjectID="_1468075728" r:id="rId19">
            <o:LockedField>false</o:LockedField>
          </o:OLEObject>
        </w:object>
      </w:r>
    </w:p>
    <w:p>
      <w:pPr>
        <w:pStyle w:val="42"/>
        <w:bidi w:val="0"/>
        <w:rPr>
          <w:rFonts w:hint="eastAsia"/>
          <w:lang w:val="en-US" w:eastAsia="zh-CN"/>
        </w:rPr>
      </w:pPr>
      <w:r>
        <w:rPr>
          <w:rFonts w:hint="eastAsia"/>
          <w:lang w:val="en-US" w:eastAsia="zh-CN"/>
        </w:rPr>
        <w:t>网络架构图</w:t>
      </w:r>
    </w:p>
    <w:p>
      <w:pPr>
        <w:pStyle w:val="6"/>
        <w:rPr>
          <w:rFonts w:hint="default"/>
          <w:color w:val="auto"/>
          <w:lang w:val="en-US" w:eastAsia="zh-CN"/>
        </w:rPr>
      </w:pPr>
      <w:bookmarkStart w:id="188" w:name="_Toc26293"/>
      <w:r>
        <w:rPr>
          <w:rFonts w:hint="eastAsia"/>
          <w:color w:val="auto"/>
          <w:lang w:val="en-US" w:eastAsia="zh-CN"/>
        </w:rPr>
        <w:t>数据流图</w:t>
      </w:r>
      <w:bookmarkEnd w:id="188"/>
    </w:p>
    <w:p>
      <w:pPr>
        <w:pStyle w:val="16"/>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eastAsia"/>
          <w:lang w:val="en-US" w:eastAsia="zh-CN"/>
        </w:rPr>
      </w:pPr>
      <w:r>
        <w:drawing>
          <wp:inline distT="0" distB="0" distL="114300" distR="114300">
            <wp:extent cx="7461250" cy="4123690"/>
            <wp:effectExtent l="0" t="0" r="6350" b="10160"/>
            <wp:docPr id="35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1"/>
                    <pic:cNvPicPr>
                      <a:picLocks noChangeAspect="1"/>
                    </pic:cNvPicPr>
                  </pic:nvPicPr>
                  <pic:blipFill>
                    <a:blip r:embed="rId21"/>
                    <a:stretch>
                      <a:fillRect/>
                    </a:stretch>
                  </pic:blipFill>
                  <pic:spPr>
                    <a:xfrm>
                      <a:off x="0" y="0"/>
                      <a:ext cx="7461250" cy="4123690"/>
                    </a:xfrm>
                    <a:prstGeom prst="rect">
                      <a:avLst/>
                    </a:prstGeom>
                    <a:noFill/>
                    <a:ln w="9525">
                      <a:noFill/>
                    </a:ln>
                  </pic:spPr>
                </pic:pic>
              </a:graphicData>
            </a:graphic>
          </wp:inline>
        </w:drawing>
      </w:r>
    </w:p>
    <w:p>
      <w:pPr>
        <w:pStyle w:val="42"/>
        <w:bidi w:val="0"/>
        <w:rPr>
          <w:rFonts w:hint="default"/>
          <w:lang w:val="en-US" w:eastAsia="zh-CN"/>
        </w:rPr>
        <w:sectPr>
          <w:pgSz w:w="16781" w:h="11849" w:orient="landscape"/>
          <w:pgMar w:top="1797" w:right="1440" w:bottom="1797" w:left="1440" w:header="850" w:footer="992" w:gutter="0"/>
          <w:pgNumType w:fmt="decimal"/>
          <w:cols w:space="0" w:num="1"/>
          <w:rtlGutter w:val="0"/>
          <w:docGrid w:type="lines" w:linePitch="397" w:charSpace="0"/>
        </w:sectPr>
      </w:pPr>
      <w:r>
        <w:rPr>
          <w:rFonts w:hint="eastAsia"/>
          <w:lang w:val="en-US" w:eastAsia="zh-CN"/>
        </w:rPr>
        <w:t>数据流图</w:t>
      </w:r>
    </w:p>
    <w:p>
      <w:pPr>
        <w:pStyle w:val="5"/>
        <w:rPr>
          <w:rFonts w:hint="default" w:cs="宋体"/>
          <w:lang w:val="en-US" w:eastAsia="zh-CN"/>
        </w:rPr>
      </w:pPr>
      <w:bookmarkStart w:id="189" w:name="_Toc23359"/>
      <w:bookmarkStart w:id="190" w:name="_Toc31371"/>
      <w:bookmarkStart w:id="191" w:name="_Toc12058"/>
      <w:r>
        <w:rPr>
          <w:rFonts w:hint="eastAsia" w:cs="宋体"/>
          <w:lang w:val="en-US" w:eastAsia="zh-CN"/>
        </w:rPr>
        <w:t>项目与丰都县电子政务架构体系关系</w:t>
      </w:r>
      <w:bookmarkEnd w:id="189"/>
    </w:p>
    <w:p>
      <w:pPr>
        <w:bidi w:val="0"/>
        <w:rPr>
          <w:rFonts w:hint="default"/>
          <w:lang w:val="en-US" w:eastAsia="zh-CN"/>
        </w:rPr>
      </w:pPr>
      <w:r>
        <w:rPr>
          <w:rFonts w:hint="eastAsia"/>
          <w:lang w:val="en-US" w:eastAsia="zh-CN"/>
        </w:rPr>
        <w:t>本项目所建设的视频监控将统一接入丰都县公安局的公共安全视频图像联网信息平台，平台已建设相关的视频边界，预留电子政务外网的访问接口，后期相关认证用户可通过电子政务网进行视频访问，但目前丰都县公安局未将平台与电子政务网进行连接。</w:t>
      </w:r>
    </w:p>
    <w:p>
      <w:pPr>
        <w:pStyle w:val="5"/>
        <w:rPr>
          <w:rFonts w:cs="宋体"/>
        </w:rPr>
      </w:pPr>
      <w:bookmarkStart w:id="192" w:name="_Toc22909"/>
      <w:r>
        <w:rPr>
          <w:rFonts w:cs="宋体"/>
        </w:rPr>
        <w:t>项目与</w:t>
      </w:r>
      <w:r>
        <w:rPr>
          <w:rFonts w:hint="eastAsia" w:cs="宋体"/>
          <w:lang w:val="en-US" w:eastAsia="zh-CN"/>
        </w:rPr>
        <w:t>丰都县智慧城市平台</w:t>
      </w:r>
      <w:r>
        <w:rPr>
          <w:rFonts w:cs="宋体"/>
        </w:rPr>
        <w:t>之间的关系</w:t>
      </w:r>
      <w:bookmarkEnd w:id="192"/>
    </w:p>
    <w:p>
      <w:pPr>
        <w:bidi w:val="0"/>
        <w:rPr>
          <w:rFonts w:hint="default" w:ascii="宋体" w:hAnsi="宋体" w:eastAsia="宋体" w:cs="宋体"/>
          <w:lang w:val="en-US" w:eastAsia="zh-CN"/>
        </w:rPr>
      </w:pPr>
      <w:r>
        <w:rPr>
          <w:rFonts w:hint="eastAsia" w:ascii="宋体" w:hAnsi="宋体" w:eastAsia="宋体" w:cs="宋体"/>
          <w:lang w:val="en-US" w:eastAsia="zh-CN"/>
        </w:rPr>
        <w:t>本项目不涉及使用丰都县智慧城市平台提供的相关共性平台。</w:t>
      </w:r>
    </w:p>
    <w:p>
      <w:pPr>
        <w:pStyle w:val="5"/>
        <w:rPr>
          <w:rFonts w:cs="宋体"/>
        </w:rPr>
      </w:pPr>
      <w:bookmarkStart w:id="193" w:name="_Toc3105"/>
      <w:r>
        <w:rPr>
          <w:rFonts w:cs="宋体"/>
        </w:rPr>
        <w:t>项目与</w:t>
      </w:r>
      <w:r>
        <w:rPr>
          <w:rFonts w:hint="eastAsia" w:cs="宋体"/>
          <w:lang w:val="en-US" w:eastAsia="zh-CN"/>
        </w:rPr>
        <w:t>县</w:t>
      </w:r>
      <w:r>
        <w:rPr>
          <w:rFonts w:cs="宋体"/>
        </w:rPr>
        <w:t>级其他部门</w:t>
      </w:r>
      <w:r>
        <w:rPr>
          <w:rFonts w:hint="eastAsia" w:cs="宋体"/>
          <w:lang w:val="en-US" w:eastAsia="zh-CN"/>
        </w:rPr>
        <w:t>的</w:t>
      </w:r>
      <w:r>
        <w:rPr>
          <w:rFonts w:cs="宋体"/>
        </w:rPr>
        <w:t>关系</w:t>
      </w:r>
      <w:bookmarkEnd w:id="193"/>
    </w:p>
    <w:p>
      <w:pPr>
        <w:bidi w:val="0"/>
        <w:rPr>
          <w:rFonts w:hint="eastAsia"/>
          <w:lang w:val="en-US" w:eastAsia="zh-CN"/>
        </w:rPr>
      </w:pPr>
      <w:r>
        <w:rPr>
          <w:rFonts w:hint="eastAsia"/>
          <w:lang w:val="en-US" w:eastAsia="zh-CN"/>
        </w:rPr>
        <w:t>本此项目是以提升丰都县移民安置区综合应急能力为主，需要对三合街道、名山街道和高家镇辖区进行视频监控系统运维升级，同时为响应相关的政策，本次将所有建设的视频监控统一接入丰都县公安局。</w:t>
      </w:r>
    </w:p>
    <w:p>
      <w:pPr>
        <w:bidi w:val="0"/>
        <w:rPr>
          <w:rFonts w:hint="default"/>
          <w:lang w:val="en-US" w:eastAsia="zh-CN"/>
        </w:rPr>
      </w:pPr>
      <w:r>
        <w:rPr>
          <w:rFonts w:hint="eastAsia"/>
          <w:lang w:val="en-US" w:eastAsia="zh-CN"/>
        </w:rPr>
        <w:t>前期水利局、设计单位和丰都县公安局针对本项目开展了相应的座谈会，丰都县公安局同意本次在三峡移民安置区建设的视频监控接入丰都县公安局的公共安全视频图像联网信息平台，利用丰都县公安局的相关平台能力，实现视频监控上云。设计单位在了解丰都县公安局雪亮工程的前端布点位置和后端平台能力后，进行各个社区的视频监控查漏补缺和后端存储设备的配置，完成了本方案的编制。</w:t>
      </w:r>
    </w:p>
    <w:p>
      <w:pPr>
        <w:pStyle w:val="5"/>
        <w:rPr>
          <w:rFonts w:hint="default" w:cs="宋体"/>
        </w:rPr>
      </w:pPr>
      <w:bookmarkStart w:id="194" w:name="_Toc26956"/>
      <w:r>
        <w:rPr>
          <w:rFonts w:cs="宋体"/>
        </w:rPr>
        <w:t>信息资源共享方案</w:t>
      </w:r>
      <w:bookmarkEnd w:id="194"/>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1"/>
        <w:gridCol w:w="2127"/>
        <w:gridCol w:w="2091"/>
        <w:gridCol w:w="1959"/>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blHead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信息资源名称</w:t>
            </w:r>
          </w:p>
        </w:tc>
        <w:tc>
          <w:tcPr>
            <w:tcW w:w="12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信息资源描述</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共享属性</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车辆类型</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车辆品牌</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车辆型号</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车辆年款</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车辆长度</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车辆宽度</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车辆高度</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车牌颜色</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证件种类</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证件号码</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姓名</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曾用名</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绰号</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性别代码</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民族代码</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国籍代码</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籍贯省市县代码</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居住地行政代码</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肤色</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发型</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发色</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脸型</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脸部特征</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身高</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体型</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人脸信息</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行为</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指标数据</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PH值</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指标数据</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浊度</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指标数据</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溶解氧</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指标数据</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硫化物</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指标数据</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氢离子浓度</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指标数据</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亚硝酸盐</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指标数据</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总磷</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指标数据</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总氮</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有条件共享</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内部信息，需进行部门申请</w:t>
            </w:r>
          </w:p>
        </w:tc>
      </w:tr>
    </w:tbl>
    <w:p>
      <w:pPr>
        <w:pStyle w:val="5"/>
        <w:rPr>
          <w:rFonts w:hint="default" w:cs="宋体"/>
          <w:lang w:val="en-US" w:eastAsia="zh-CN"/>
        </w:rPr>
      </w:pPr>
      <w:bookmarkStart w:id="195" w:name="_Toc15094"/>
      <w:r>
        <w:rPr>
          <w:rFonts w:hint="eastAsia" w:cs="宋体"/>
          <w:lang w:val="en-US" w:eastAsia="zh-CN"/>
        </w:rPr>
        <w:t>外部信息资源需求描述</w:t>
      </w:r>
      <w:bookmarkEnd w:id="195"/>
    </w:p>
    <w:p>
      <w:pPr>
        <w:rPr>
          <w:rFonts w:hint="default"/>
          <w:lang w:val="en-US" w:eastAsia="zh-CN"/>
        </w:rPr>
      </w:pPr>
      <w:r>
        <w:rPr>
          <w:rFonts w:hint="eastAsia" w:cs="宋体"/>
          <w:lang w:val="en-US" w:eastAsia="zh-CN"/>
        </w:rPr>
        <w:t>本项目不涉及外部信息资源的需求。</w:t>
      </w:r>
    </w:p>
    <w:p>
      <w:pPr>
        <w:pStyle w:val="4"/>
        <w:bidi w:val="0"/>
        <w:rPr>
          <w:rFonts w:hint="default"/>
        </w:rPr>
      </w:pPr>
      <w:bookmarkStart w:id="196" w:name="_Toc28969"/>
      <w:r>
        <w:rPr>
          <w:rFonts w:hint="eastAsia"/>
          <w:lang w:val="en-US" w:eastAsia="zh-CN"/>
        </w:rPr>
        <w:t>本项目</w:t>
      </w:r>
      <w:r>
        <w:t>设计方案</w:t>
      </w:r>
      <w:bookmarkEnd w:id="190"/>
      <w:bookmarkEnd w:id="191"/>
      <w:bookmarkEnd w:id="196"/>
    </w:p>
    <w:p>
      <w:pPr>
        <w:pStyle w:val="5"/>
        <w:rPr>
          <w:color w:val="auto"/>
        </w:rPr>
      </w:pPr>
      <w:bookmarkStart w:id="197" w:name="_Toc12156"/>
      <w:bookmarkStart w:id="198" w:name="_Toc22761"/>
      <w:bookmarkStart w:id="199" w:name="_Toc513097197"/>
      <w:bookmarkStart w:id="200" w:name="_Toc28426"/>
      <w:bookmarkStart w:id="201" w:name="_Toc6088"/>
      <w:bookmarkStart w:id="202" w:name="_Toc25792"/>
      <w:bookmarkStart w:id="203" w:name="_Toc30179"/>
      <w:bookmarkStart w:id="204" w:name="_Toc8074"/>
      <w:bookmarkStart w:id="205" w:name="_Toc22602"/>
      <w:r>
        <w:rPr>
          <w:rFonts w:hint="eastAsia"/>
          <w:color w:val="auto"/>
        </w:rPr>
        <w:t>建设原则和策略</w:t>
      </w:r>
      <w:bookmarkEnd w:id="197"/>
      <w:bookmarkEnd w:id="198"/>
    </w:p>
    <w:p>
      <w:pPr>
        <w:ind w:firstLine="480"/>
        <w:rPr>
          <w:color w:val="auto"/>
        </w:rPr>
      </w:pPr>
      <w:bookmarkStart w:id="206" w:name="_Toc529947762"/>
      <w:bookmarkStart w:id="207" w:name="_Toc417128781"/>
      <w:r>
        <w:rPr>
          <w:rFonts w:hint="eastAsia"/>
          <w:color w:val="auto"/>
        </w:rPr>
        <w:t>（一）统一规划、统一标准</w:t>
      </w:r>
      <w:bookmarkEnd w:id="206"/>
      <w:bookmarkEnd w:id="207"/>
    </w:p>
    <w:p>
      <w:pPr>
        <w:ind w:firstLine="480"/>
        <w:rPr>
          <w:color w:val="auto"/>
        </w:rPr>
      </w:pPr>
      <w:r>
        <w:rPr>
          <w:rFonts w:hint="eastAsia"/>
          <w:color w:val="auto"/>
        </w:rPr>
        <w:t>整体项目的建设要从全局高度出发，在遵循国家相关规范的基础上，根据</w:t>
      </w:r>
      <w:r>
        <w:rPr>
          <w:rFonts w:hint="eastAsia"/>
          <w:color w:val="auto"/>
          <w:lang w:val="en-US" w:eastAsia="zh-CN"/>
        </w:rPr>
        <w:t>丰都县移民安置区</w:t>
      </w:r>
      <w:r>
        <w:rPr>
          <w:rFonts w:hint="eastAsia"/>
          <w:color w:val="auto"/>
        </w:rPr>
        <w:t>公共安全的实际需求统一规划，制定相关标准规范和接口规范。</w:t>
      </w:r>
    </w:p>
    <w:p>
      <w:pPr>
        <w:ind w:firstLine="480"/>
        <w:rPr>
          <w:color w:val="auto"/>
        </w:rPr>
      </w:pPr>
      <w:bookmarkStart w:id="208" w:name="_Toc417128782"/>
      <w:bookmarkStart w:id="209" w:name="_Toc529947763"/>
      <w:r>
        <w:rPr>
          <w:rFonts w:hint="eastAsia"/>
          <w:color w:val="auto"/>
        </w:rPr>
        <w:t>（二）完整性、系统性</w:t>
      </w:r>
      <w:bookmarkEnd w:id="208"/>
      <w:bookmarkEnd w:id="209"/>
    </w:p>
    <w:p>
      <w:pPr>
        <w:ind w:firstLine="480"/>
        <w:rPr>
          <w:color w:val="auto"/>
        </w:rPr>
      </w:pPr>
      <w:r>
        <w:rPr>
          <w:rFonts w:hint="eastAsia"/>
          <w:color w:val="auto"/>
        </w:rPr>
        <w:t>整个项目的建设要具有系统性，体现各个</w:t>
      </w:r>
      <w:r>
        <w:rPr>
          <w:rFonts w:hint="eastAsia"/>
          <w:color w:val="auto"/>
          <w:lang w:val="en-US" w:eastAsia="zh-CN"/>
        </w:rPr>
        <w:t>系统</w:t>
      </w:r>
      <w:r>
        <w:rPr>
          <w:rFonts w:hint="eastAsia"/>
          <w:color w:val="auto"/>
        </w:rPr>
        <w:t>之间内部联系和区别，使建设体系做到层次合理、分明，标准之间体现出相互依赖、衔接的配套关系，并避免相互交叉。</w:t>
      </w:r>
    </w:p>
    <w:p>
      <w:pPr>
        <w:ind w:firstLine="480"/>
        <w:rPr>
          <w:color w:val="auto"/>
        </w:rPr>
      </w:pPr>
      <w:bookmarkStart w:id="210" w:name="_Toc529947764"/>
      <w:bookmarkStart w:id="211" w:name="_Toc417128783"/>
      <w:r>
        <w:rPr>
          <w:rFonts w:hint="eastAsia"/>
          <w:color w:val="auto"/>
        </w:rPr>
        <w:t>（三）先进性、预见性</w:t>
      </w:r>
      <w:bookmarkEnd w:id="210"/>
      <w:bookmarkEnd w:id="211"/>
    </w:p>
    <w:p>
      <w:pPr>
        <w:ind w:firstLine="480"/>
        <w:rPr>
          <w:color w:val="auto"/>
        </w:rPr>
      </w:pPr>
      <w:r>
        <w:rPr>
          <w:rFonts w:hint="eastAsia"/>
          <w:color w:val="auto"/>
        </w:rPr>
        <w:t>建设要求体系所包括的标准应充分体现等同采用或修改采用国际标准的精神，达到的标准与国际、行业标准的一致性或兼容性。在编制顶层设计时，既要考虑到目前的信息技术水平，也要对未来信息技术的发展有所预见，使建设要求体系能适应各项应用技术的迅猛发展。</w:t>
      </w:r>
    </w:p>
    <w:p>
      <w:pPr>
        <w:ind w:firstLine="480"/>
        <w:rPr>
          <w:color w:val="auto"/>
        </w:rPr>
      </w:pPr>
      <w:bookmarkStart w:id="212" w:name="_Toc529947765"/>
      <w:r>
        <w:rPr>
          <w:rFonts w:hint="eastAsia"/>
          <w:color w:val="auto"/>
        </w:rPr>
        <w:t>（四）合理配置、适度超前</w:t>
      </w:r>
      <w:bookmarkEnd w:id="212"/>
    </w:p>
    <w:p>
      <w:pPr>
        <w:ind w:firstLine="480"/>
        <w:rPr>
          <w:color w:val="auto"/>
        </w:rPr>
      </w:pPr>
      <w:r>
        <w:rPr>
          <w:rFonts w:hint="eastAsia"/>
          <w:color w:val="auto"/>
        </w:rPr>
        <w:t>基础设施必须能够适应业务系统的需求不断完善，同时在性能上应至少能够满足未来5年的业务发展｡当基础设施资源负荷高于80%，基础设施必须扩容｡</w:t>
      </w:r>
    </w:p>
    <w:p>
      <w:pPr>
        <w:ind w:firstLine="480"/>
        <w:rPr>
          <w:color w:val="auto"/>
        </w:rPr>
      </w:pPr>
      <w:bookmarkStart w:id="213" w:name="_Toc529947766"/>
      <w:r>
        <w:rPr>
          <w:rFonts w:hint="eastAsia"/>
          <w:color w:val="auto"/>
        </w:rPr>
        <w:t>（五）快速响应、按需提供</w:t>
      </w:r>
      <w:bookmarkEnd w:id="213"/>
    </w:p>
    <w:p>
      <w:pPr>
        <w:ind w:firstLine="480"/>
        <w:rPr>
          <w:color w:val="auto"/>
        </w:rPr>
      </w:pPr>
      <w:r>
        <w:rPr>
          <w:rFonts w:hint="eastAsia"/>
          <w:color w:val="auto"/>
        </w:rPr>
        <w:t>相关设备应遵循业界标准，保证良好的互通性和互操作性，支持业务的快速部署｡</w:t>
      </w:r>
    </w:p>
    <w:p>
      <w:pPr>
        <w:ind w:firstLine="480"/>
        <w:rPr>
          <w:color w:val="auto"/>
        </w:rPr>
      </w:pPr>
      <w:bookmarkStart w:id="214" w:name="_Toc529947768"/>
      <w:r>
        <w:rPr>
          <w:rFonts w:hint="eastAsia"/>
          <w:color w:val="auto"/>
        </w:rPr>
        <w:t>（</w:t>
      </w:r>
      <w:r>
        <w:rPr>
          <w:rFonts w:hint="eastAsia"/>
          <w:color w:val="auto"/>
          <w:lang w:val="en-US" w:eastAsia="zh-CN"/>
        </w:rPr>
        <w:t>六</w:t>
      </w:r>
      <w:r>
        <w:rPr>
          <w:rFonts w:hint="eastAsia"/>
          <w:color w:val="auto"/>
        </w:rPr>
        <w:t>）开放性、可扩充性</w:t>
      </w:r>
      <w:bookmarkEnd w:id="214"/>
    </w:p>
    <w:p>
      <w:pPr>
        <w:ind w:firstLine="480"/>
        <w:rPr>
          <w:rFonts w:hint="eastAsia"/>
          <w:color w:val="auto"/>
        </w:rPr>
      </w:pPr>
      <w:r>
        <w:rPr>
          <w:rFonts w:hint="eastAsia"/>
          <w:color w:val="auto"/>
        </w:rPr>
        <w:t>各业务系统的建设要有前瞻性，系统架构应满足未来几年内，系统接入的资源和应用服务越来越多的情形，保证系统的开放性，可提供更多类型的服务。</w:t>
      </w:r>
    </w:p>
    <w:p>
      <w:pPr>
        <w:pStyle w:val="5"/>
        <w:bidi w:val="0"/>
        <w:ind w:left="0" w:leftChars="0" w:firstLine="0" w:firstLineChars="0"/>
        <w:rPr>
          <w:rFonts w:hint="default"/>
          <w:lang w:val="en-US" w:eastAsia="zh-CN"/>
        </w:rPr>
      </w:pPr>
      <w:bookmarkStart w:id="215" w:name="_Toc7887"/>
      <w:r>
        <w:rPr>
          <w:rFonts w:hint="eastAsia"/>
          <w:lang w:val="en-US" w:eastAsia="zh-CN"/>
        </w:rPr>
        <w:t>信息资源规划</w:t>
      </w:r>
      <w:bookmarkEnd w:id="215"/>
    </w:p>
    <w:p>
      <w:pPr>
        <w:pStyle w:val="6"/>
        <w:bidi w:val="0"/>
        <w:rPr>
          <w:rFonts w:hint="eastAsia"/>
          <w:lang w:val="en-US" w:eastAsia="zh-CN"/>
        </w:rPr>
      </w:pPr>
      <w:bookmarkStart w:id="216" w:name="_Toc16672"/>
      <w:r>
        <w:rPr>
          <w:rFonts w:hint="eastAsia"/>
          <w:lang w:val="en-US" w:eastAsia="zh-CN"/>
        </w:rPr>
        <w:t>信息资源规划</w:t>
      </w:r>
      <w:bookmarkEnd w:id="216"/>
    </w:p>
    <w:p>
      <w:pPr>
        <w:pStyle w:val="7"/>
        <w:bidi w:val="0"/>
        <w:rPr>
          <w:rFonts w:hint="default"/>
          <w:lang w:val="en-US" w:eastAsia="zh-CN"/>
        </w:rPr>
      </w:pPr>
      <w:r>
        <w:rPr>
          <w:rFonts w:hint="eastAsia"/>
          <w:lang w:val="en-US" w:eastAsia="zh-CN"/>
        </w:rPr>
        <w:t>信息资源构成</w:t>
      </w:r>
    </w:p>
    <w:p>
      <w:pPr>
        <w:bidi w:val="0"/>
        <w:rPr>
          <w:rFonts w:hint="eastAsia"/>
          <w:lang w:val="en-US" w:eastAsia="zh-CN"/>
        </w:rPr>
      </w:pPr>
      <w:r>
        <w:rPr>
          <w:rFonts w:hint="eastAsia"/>
          <w:lang w:val="en-US" w:eastAsia="zh-CN"/>
        </w:rPr>
        <w:t>本项目信息资源构成主要来自视频监控的前端采集数据和水质监测站采集到的相关数据。</w:t>
      </w:r>
    </w:p>
    <w:p>
      <w:pPr>
        <w:bidi w:val="0"/>
        <w:rPr>
          <w:rFonts w:hint="eastAsia"/>
          <w:lang w:val="en-US" w:eastAsia="zh-CN"/>
        </w:rPr>
      </w:pPr>
      <w:r>
        <w:rPr>
          <w:rFonts w:hint="eastAsia"/>
          <w:lang w:val="en-US" w:eastAsia="zh-CN"/>
        </w:rPr>
        <w:t>1、视频监控采集数据：视频数据、人脸数据、车辆数据、车牌数据、动作行为数据等。</w:t>
      </w:r>
    </w:p>
    <w:p>
      <w:pPr>
        <w:bidi w:val="0"/>
        <w:rPr>
          <w:rFonts w:hint="eastAsia"/>
          <w:lang w:val="en-US" w:eastAsia="zh-CN"/>
        </w:rPr>
      </w:pPr>
      <w:r>
        <w:rPr>
          <w:rFonts w:hint="eastAsia"/>
          <w:lang w:val="en-US" w:eastAsia="zh-CN"/>
        </w:rPr>
        <w:t>2、水质监测站采集数据：pH值、浊度、溶解氧、硫化物、氢离子浓度、亚硝酸盐、总磷、总氮等指标数据。</w:t>
      </w:r>
    </w:p>
    <w:p>
      <w:pPr>
        <w:pStyle w:val="7"/>
        <w:bidi w:val="0"/>
        <w:rPr>
          <w:rFonts w:hint="default"/>
          <w:lang w:val="en-US" w:eastAsia="zh-CN"/>
        </w:rPr>
      </w:pPr>
      <w:r>
        <w:rPr>
          <w:rFonts w:hint="eastAsia"/>
          <w:lang w:val="en-US" w:eastAsia="zh-CN"/>
        </w:rPr>
        <w:t>信息资源传输</w:t>
      </w:r>
    </w:p>
    <w:p>
      <w:pPr>
        <w:bidi w:val="0"/>
        <w:rPr>
          <w:rFonts w:hint="eastAsia"/>
          <w:lang w:val="en-US" w:eastAsia="zh-CN"/>
        </w:rPr>
      </w:pPr>
      <w:r>
        <w:rPr>
          <w:rFonts w:hint="eastAsia"/>
          <w:lang w:val="en-US" w:eastAsia="zh-CN"/>
        </w:rPr>
        <w:t>本项目的信息资源传输主要有视频监控信息资源和水质检测信息资源两部分。两类信息资源的传输方式如下：</w:t>
      </w:r>
    </w:p>
    <w:p>
      <w:pPr>
        <w:bidi w:val="0"/>
        <w:rPr>
          <w:rFonts w:hint="eastAsia"/>
          <w:lang w:val="en-US" w:eastAsia="zh-CN"/>
        </w:rPr>
      </w:pPr>
      <w:r>
        <w:rPr>
          <w:rFonts w:hint="eastAsia"/>
          <w:lang w:val="en-US" w:eastAsia="zh-CN"/>
        </w:rPr>
        <w:t>1、视频监控信息资源：前端点位的结构化镜头通过运营商链路将视频监控产生的视频数据、人脸数据、车辆数据、车牌数据、动作行为等数据传回丰都公安局的公安分平台，相关的人脸数据、车辆数据、车牌数据、动作行为等数据通过接口的方式可共享给需要的相关单位，其中原始的视频数据从视频专网经安全边界传输到公共安全视频图像信息共享交换平台，相关单位申请通过后可经过电子政务外网进行查看。</w:t>
      </w:r>
    </w:p>
    <w:p>
      <w:pPr>
        <w:bidi w:val="0"/>
        <w:rPr>
          <w:rFonts w:hint="default"/>
          <w:lang w:val="en-US" w:eastAsia="zh-CN"/>
        </w:rPr>
      </w:pPr>
      <w:r>
        <w:rPr>
          <w:rFonts w:hint="eastAsia"/>
          <w:lang w:val="en-US" w:eastAsia="zh-CN"/>
        </w:rPr>
        <w:t>2、水质检测信息资源：水质监测站的相关采集设备将现场采集的pH值、浊度、溶解氧、硫化物、氢离子浓度、亚硝酸盐、总磷、总氮等指标数据通过运营商链路传回丰都县水利局的平台，再将数据传到丰都县水利局上级单位，相关的信息资源通过上级单位的共享接口的可共享给需要的相关单位。</w:t>
      </w:r>
    </w:p>
    <w:p>
      <w:pPr>
        <w:pStyle w:val="6"/>
        <w:bidi w:val="0"/>
        <w:rPr>
          <w:rFonts w:hint="default"/>
          <w:lang w:val="en-US" w:eastAsia="zh-CN"/>
        </w:rPr>
      </w:pPr>
      <w:bookmarkStart w:id="217" w:name="_Toc31696"/>
      <w:r>
        <w:rPr>
          <w:rFonts w:hint="eastAsia"/>
          <w:lang w:val="en-US" w:eastAsia="zh-CN"/>
        </w:rPr>
        <w:t>信息资源目录</w:t>
      </w:r>
      <w:bookmarkEnd w:id="217"/>
    </w:p>
    <w:p>
      <w:pPr>
        <w:pStyle w:val="43"/>
        <w:ind w:firstLine="524"/>
      </w:pPr>
      <w:r>
        <w:rPr>
          <w:rFonts w:hint="eastAsia"/>
        </w:rPr>
        <w:t>本项目相关的政务信息资源通过</w:t>
      </w:r>
      <w:r>
        <w:rPr>
          <w:rFonts w:hint="eastAsia"/>
          <w:lang w:val="en-US" w:eastAsia="zh-CN"/>
        </w:rPr>
        <w:t>接口对接的方式</w:t>
      </w:r>
      <w:r>
        <w:rPr>
          <w:rFonts w:hint="eastAsia"/>
        </w:rPr>
        <w:t>实现信息资源的共享与开放。</w:t>
      </w:r>
    </w:p>
    <w:p>
      <w:pPr>
        <w:pStyle w:val="43"/>
        <w:ind w:firstLine="524"/>
        <w:rPr>
          <w:rFonts w:hint="eastAsia"/>
        </w:rPr>
      </w:pPr>
      <w:r>
        <w:rPr>
          <w:rFonts w:hint="eastAsia"/>
        </w:rPr>
        <w:t>具体的信息资源目录详见附表政务信息资源目录清单。</w:t>
      </w:r>
    </w:p>
    <w:bookmarkEnd w:id="199"/>
    <w:bookmarkEnd w:id="200"/>
    <w:bookmarkEnd w:id="201"/>
    <w:bookmarkEnd w:id="202"/>
    <w:bookmarkEnd w:id="203"/>
    <w:bookmarkEnd w:id="204"/>
    <w:bookmarkEnd w:id="205"/>
    <w:p>
      <w:pPr>
        <w:pStyle w:val="5"/>
        <w:bidi w:val="0"/>
        <w:ind w:left="0" w:leftChars="0" w:firstLine="0" w:firstLineChars="0"/>
        <w:rPr>
          <w:rFonts w:hint="default"/>
          <w:lang w:val="en-US" w:eastAsia="zh-CN"/>
        </w:rPr>
      </w:pPr>
      <w:bookmarkStart w:id="218" w:name="_Toc11714"/>
      <w:bookmarkStart w:id="219" w:name="_Toc32509"/>
      <w:bookmarkStart w:id="220" w:name="_Toc5246"/>
      <w:bookmarkStart w:id="221" w:name="_Toc16076"/>
      <w:bookmarkStart w:id="222" w:name="_Toc4875"/>
      <w:r>
        <w:rPr>
          <w:rFonts w:hint="eastAsia"/>
          <w:lang w:val="en-US" w:eastAsia="zh-CN"/>
        </w:rPr>
        <w:t>前端监控系统</w:t>
      </w:r>
      <w:bookmarkEnd w:id="218"/>
    </w:p>
    <w:p>
      <w:pPr>
        <w:pStyle w:val="6"/>
        <w:bidi w:val="0"/>
        <w:ind w:left="0" w:leftChars="0" w:firstLine="0" w:firstLineChars="0"/>
      </w:pPr>
      <w:bookmarkStart w:id="223" w:name="_Toc23832"/>
      <w:r>
        <w:rPr>
          <w:rFonts w:hint="eastAsia"/>
          <w:lang w:val="en-US" w:eastAsia="zh-CN"/>
        </w:rPr>
        <w:t>系统概述</w:t>
      </w:r>
      <w:bookmarkEnd w:id="223"/>
    </w:p>
    <w:p>
      <w:pPr>
        <w:bidi w:val="0"/>
        <w:rPr>
          <w:rFonts w:hint="eastAsia"/>
          <w:lang w:val="en-US" w:eastAsia="zh-CN"/>
        </w:rPr>
      </w:pPr>
      <w:r>
        <w:rPr>
          <w:rFonts w:hint="eastAsia"/>
          <w:lang w:val="en-US" w:eastAsia="zh-CN"/>
        </w:rPr>
        <w:t>项目的前端建设在丰都县综合帮扶项目的基础上，</w:t>
      </w:r>
      <w:r>
        <w:rPr>
          <w:rFonts w:hint="eastAsia"/>
        </w:rPr>
        <w:t>对</w:t>
      </w:r>
      <w:r>
        <w:rPr>
          <w:rFonts w:hint="eastAsia"/>
          <w:lang w:val="en-US" w:eastAsia="zh-CN"/>
        </w:rPr>
        <w:t>丰都县三合街道、名山街道、高家镇原有的260个前端点位进行智能化监控改造，即本次需要建设309路结构化镜头（130路结构化枪机、179路结构化球机）、260个智能机箱、30根3米立杆、69根0.5米支臂和150根2米支臂等。</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6"/>
        <w:gridCol w:w="917"/>
        <w:gridCol w:w="1443"/>
        <w:gridCol w:w="1092"/>
        <w:gridCol w:w="1092"/>
        <w:gridCol w:w="566"/>
        <w:gridCol w:w="1049"/>
        <w:gridCol w:w="873"/>
        <w:gridCol w:w="8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blHead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镇街</w:t>
            </w:r>
          </w:p>
        </w:tc>
        <w:tc>
          <w:tcPr>
            <w:tcW w:w="8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结构化球机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结构化枪机</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机箱</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0.5米支臂</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2米支臂</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3米立杆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三合街道</w:t>
            </w:r>
          </w:p>
        </w:tc>
        <w:tc>
          <w:tcPr>
            <w:tcW w:w="8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南天湖东路社区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名山街道</w:t>
            </w:r>
          </w:p>
        </w:tc>
        <w:tc>
          <w:tcPr>
            <w:tcW w:w="8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花园社区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w:t>
            </w:r>
          </w:p>
        </w:tc>
        <w:tc>
          <w:tcPr>
            <w:tcW w:w="8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8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r>
    </w:tbl>
    <w:p>
      <w:pPr>
        <w:pStyle w:val="27"/>
      </w:pPr>
    </w:p>
    <w:p>
      <w:pPr>
        <w:pStyle w:val="6"/>
        <w:tabs>
          <w:tab w:val="left" w:pos="575"/>
          <w:tab w:val="clear" w:pos="0"/>
        </w:tabs>
        <w:bidi w:val="0"/>
        <w:ind w:left="0" w:leftChars="0" w:firstLine="0" w:firstLineChars="0"/>
        <w:rPr>
          <w:rFonts w:hint="default"/>
        </w:rPr>
      </w:pPr>
      <w:bookmarkStart w:id="224" w:name="_Toc21309"/>
      <w:r>
        <w:rPr>
          <w:rFonts w:hint="eastAsia"/>
          <w:lang w:val="en-US" w:eastAsia="zh-CN"/>
        </w:rPr>
        <w:t>点位清单</w:t>
      </w:r>
      <w:bookmarkEnd w:id="224"/>
    </w:p>
    <w:tbl>
      <w:tblPr>
        <w:tblStyle w:val="2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7"/>
        <w:gridCol w:w="1873"/>
        <w:gridCol w:w="1019"/>
        <w:gridCol w:w="618"/>
        <w:gridCol w:w="618"/>
        <w:gridCol w:w="618"/>
        <w:gridCol w:w="1170"/>
        <w:gridCol w:w="969"/>
        <w:gridCol w:w="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blHeader/>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点位名称</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安装方式</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枪机</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球机</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机箱</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0.5米支臂</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2米支臂</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3米立杆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雪玉路社区11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滨江西路社区21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滨江西路社区22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滨江西路社区23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滨江西路社区24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滨江西路社区25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南天湖中路社区31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南天湖中路社区32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滨江中路社区11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滨江中路社区13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滨江中路社区14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平都东路社区21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平都东路社区22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平都东路社区23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平都东路社区24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平都东路社区25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平都中路社区21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平都中路社区22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平都中路社区23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平都中路社区24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平都中路社区25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平都中路社区26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平都西路社区11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平都西路社区13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平都西路社区14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双桂社区11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花园社区1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花园社区2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花园社区3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花园社区4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花园社区5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251</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252</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253</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254</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255</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256</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257</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258</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259</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w:t>
            </w: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bl>
    <w:p>
      <w:pPr>
        <w:pStyle w:val="6"/>
        <w:tabs>
          <w:tab w:val="left" w:pos="575"/>
          <w:tab w:val="clear" w:pos="0"/>
        </w:tabs>
        <w:bidi w:val="0"/>
        <w:ind w:left="0" w:leftChars="0" w:firstLine="0" w:firstLineChars="0"/>
        <w:rPr>
          <w:rFonts w:hint="default"/>
        </w:rPr>
      </w:pPr>
      <w:bookmarkStart w:id="225" w:name="_Toc7579"/>
      <w:r>
        <w:t>监控要求</w:t>
      </w:r>
      <w:bookmarkEnd w:id="225"/>
    </w:p>
    <w:p>
      <w:pPr>
        <w:ind w:firstLine="520"/>
        <w:rPr>
          <w:highlight w:val="none"/>
        </w:rPr>
      </w:pPr>
      <w:r>
        <w:rPr>
          <w:rFonts w:hint="eastAsia"/>
          <w:highlight w:val="none"/>
        </w:rPr>
        <w:t>视频监控联网系统的摄像机应满足以下要求：</w:t>
      </w:r>
    </w:p>
    <w:p>
      <w:pPr>
        <w:numPr>
          <w:ilvl w:val="0"/>
          <w:numId w:val="43"/>
        </w:numPr>
        <w:ind w:firstLine="520"/>
        <w:rPr>
          <w:highlight w:val="none"/>
        </w:rPr>
      </w:pPr>
      <w:r>
        <w:rPr>
          <w:rFonts w:hint="eastAsia"/>
          <w:highlight w:val="none"/>
        </w:rPr>
        <w:t>在整个视频图像共享系统范围内统一编码；</w:t>
      </w:r>
    </w:p>
    <w:p>
      <w:pPr>
        <w:numPr>
          <w:ilvl w:val="0"/>
          <w:numId w:val="43"/>
        </w:numPr>
        <w:ind w:firstLine="520"/>
        <w:rPr>
          <w:highlight w:val="none"/>
        </w:rPr>
      </w:pPr>
      <w:r>
        <w:rPr>
          <w:rFonts w:hint="eastAsia"/>
          <w:highlight w:val="none"/>
        </w:rPr>
        <w:t>实时预览视频图像；</w:t>
      </w:r>
    </w:p>
    <w:p>
      <w:pPr>
        <w:numPr>
          <w:ilvl w:val="0"/>
          <w:numId w:val="43"/>
        </w:numPr>
        <w:ind w:firstLine="520"/>
        <w:rPr>
          <w:highlight w:val="none"/>
        </w:rPr>
      </w:pPr>
      <w:r>
        <w:rPr>
          <w:rFonts w:hint="eastAsia"/>
          <w:highlight w:val="none"/>
        </w:rPr>
        <w:t>回放存储的历史视频图像；</w:t>
      </w:r>
    </w:p>
    <w:p>
      <w:pPr>
        <w:numPr>
          <w:ilvl w:val="0"/>
          <w:numId w:val="43"/>
        </w:numPr>
        <w:ind w:firstLine="520"/>
        <w:rPr>
          <w:highlight w:val="none"/>
        </w:rPr>
      </w:pPr>
      <w:r>
        <w:rPr>
          <w:rFonts w:hint="eastAsia"/>
          <w:highlight w:val="none"/>
        </w:rPr>
        <w:t>保证存储视频图像的连续性和完整性，不得无故中断、修剪视频图像的存储，不得降低格式存储；</w:t>
      </w:r>
    </w:p>
    <w:p>
      <w:pPr>
        <w:numPr>
          <w:ilvl w:val="0"/>
          <w:numId w:val="43"/>
        </w:numPr>
        <w:ind w:firstLine="520"/>
        <w:rPr>
          <w:highlight w:val="none"/>
        </w:rPr>
      </w:pPr>
      <w:r>
        <w:rPr>
          <w:rFonts w:hint="eastAsia"/>
          <w:highlight w:val="none"/>
        </w:rPr>
        <w:t>开放摄像机的控制权限；</w:t>
      </w:r>
    </w:p>
    <w:p>
      <w:pPr>
        <w:numPr>
          <w:ilvl w:val="0"/>
          <w:numId w:val="43"/>
        </w:numPr>
        <w:ind w:firstLine="520"/>
        <w:rPr>
          <w:highlight w:val="none"/>
        </w:rPr>
      </w:pPr>
      <w:r>
        <w:rPr>
          <w:rFonts w:hint="eastAsia"/>
          <w:highlight w:val="none"/>
        </w:rPr>
        <w:t>前端设备可按照国家标准GB/T28181-2016要求，通过信令服务器获取时间信息来校时；也可以采用NTP协议，直接与接入系统的NTP时间服务器进行时钟同步；</w:t>
      </w:r>
    </w:p>
    <w:p>
      <w:pPr>
        <w:numPr>
          <w:ilvl w:val="0"/>
          <w:numId w:val="43"/>
        </w:numPr>
        <w:ind w:firstLine="520"/>
        <w:rPr>
          <w:highlight w:val="none"/>
        </w:rPr>
      </w:pPr>
      <w:r>
        <w:rPr>
          <w:rFonts w:hint="eastAsia"/>
          <w:highlight w:val="none"/>
        </w:rPr>
        <w:t>采集的视频和图像信息应满足对目标识别的要求，应能覆盖监控范围；大范围宏观观察应与特定目标区域的固定监控相结合，分时扫描应与实时跟踪特定目标相结合；采用多个摄像机分区域监控时，监控区域应相互衔接，达到对整个监控区域的有效覆盖；</w:t>
      </w:r>
    </w:p>
    <w:p>
      <w:pPr>
        <w:pStyle w:val="6"/>
        <w:bidi w:val="0"/>
        <w:ind w:left="0" w:leftChars="0" w:firstLine="0" w:firstLineChars="0"/>
      </w:pPr>
      <w:bookmarkStart w:id="226" w:name="_Toc1071"/>
      <w:bookmarkStart w:id="227" w:name="_Toc9720"/>
      <w:bookmarkStart w:id="228" w:name="_Toc12194"/>
      <w:bookmarkStart w:id="229" w:name="_Toc19059"/>
      <w:r>
        <w:rPr>
          <w:rFonts w:hint="eastAsia"/>
        </w:rPr>
        <w:t>杆体及防雷设计</w:t>
      </w:r>
      <w:bookmarkEnd w:id="226"/>
      <w:bookmarkEnd w:id="227"/>
      <w:bookmarkEnd w:id="228"/>
      <w:bookmarkEnd w:id="229"/>
    </w:p>
    <w:p>
      <w:pPr>
        <w:pStyle w:val="7"/>
        <w:spacing w:before="198" w:after="198"/>
        <w:rPr>
          <w:rFonts w:hint="default"/>
        </w:rPr>
      </w:pPr>
      <w:r>
        <w:t>监控立杆和基础</w:t>
      </w:r>
    </w:p>
    <w:p>
      <w:pPr>
        <w:pStyle w:val="8"/>
        <w:spacing w:before="198" w:after="198"/>
      </w:pPr>
      <w:r>
        <w:t>杆件材质</w:t>
      </w:r>
    </w:p>
    <w:p>
      <w:pPr>
        <w:bidi w:val="0"/>
      </w:pPr>
      <w:r>
        <w:t>监控立杆外形为八棱锥形，立杆的截面为正八边形，选用优质钢材Q235B热扎钢卷一次成型；底部法兰选用Q235B优质板材制作成型,厚度20mm及以上；所有来料应符合GB/T12467-2009的规范，表面质量应符合GB50205规定。</w:t>
      </w:r>
    </w:p>
    <w:p>
      <w:pPr>
        <w:pStyle w:val="8"/>
        <w:tabs>
          <w:tab w:val="left" w:pos="0"/>
          <w:tab w:val="clear" w:pos="1282"/>
        </w:tabs>
        <w:spacing w:before="198" w:after="198"/>
      </w:pPr>
      <w:r>
        <w:t>表面处理</w:t>
      </w:r>
    </w:p>
    <w:p>
      <w:pPr>
        <w:bidi w:val="0"/>
      </w:pPr>
      <w:r>
        <w:t>杆件表面处理采用内外热浸镀锌工艺和静电喷塑工艺。</w:t>
      </w:r>
    </w:p>
    <w:p>
      <w:pPr>
        <w:bidi w:val="0"/>
      </w:pPr>
      <w:r>
        <w:t>镀锌层附着力达GB/T13912-2002要求</w:t>
      </w:r>
      <w:r>
        <w:rPr>
          <w:rFonts w:hint="eastAsia"/>
        </w:rPr>
        <w:t>，</w:t>
      </w:r>
      <w:r>
        <w:t>镀锌后，锌层平均厚度≥80μm。</w:t>
      </w:r>
    </w:p>
    <w:p>
      <w:pPr>
        <w:bidi w:val="0"/>
      </w:pPr>
      <w:r>
        <w:t>喷塑层附着力达到GB9286-880级要求，喷塑后，杆件表面喷涂层平均厚度≥140μm。</w:t>
      </w:r>
    </w:p>
    <w:p>
      <w:pPr>
        <w:pStyle w:val="8"/>
        <w:tabs>
          <w:tab w:val="left" w:pos="0"/>
          <w:tab w:val="clear" w:pos="1282"/>
        </w:tabs>
        <w:spacing w:before="198" w:after="198"/>
      </w:pPr>
      <w:r>
        <w:t>外观要求</w:t>
      </w:r>
    </w:p>
    <w:p>
      <w:pPr>
        <w:ind w:firstLine="480"/>
      </w:pPr>
      <w:r>
        <w:t>杆体设计制作应满足方便穿线、便于防雷接地的要求。杆体颜色应与智能监控箱保持一致，统一采用国标色卡GSB05-1426-2001标准样卡的中灰（色号B02）。</w:t>
      </w:r>
    </w:p>
    <w:p>
      <w:pPr>
        <w:ind w:firstLine="480"/>
      </w:pPr>
      <w:r>
        <w:t>前端监控点的立杆按实际情况而定，</w:t>
      </w:r>
      <w:r>
        <w:rPr>
          <w:rFonts w:hint="eastAsia"/>
        </w:rPr>
        <w:t>具体立杆要求如下：</w:t>
      </w:r>
    </w:p>
    <w:p>
      <w:pPr>
        <w:pStyle w:val="36"/>
        <w:bidi w:val="0"/>
      </w:pPr>
      <w:r>
        <w:rPr>
          <w:rFonts w:hint="eastAsia"/>
        </w:rPr>
        <w:t>立杆设计要求</w:t>
      </w:r>
    </w:p>
    <w:tbl>
      <w:tblPr>
        <w:tblStyle w:val="28"/>
        <w:tblW w:w="5000" w:type="pct"/>
        <w:tblInd w:w="0" w:type="dxa"/>
        <w:tblLayout w:type="autofit"/>
        <w:tblCellMar>
          <w:top w:w="0" w:type="dxa"/>
          <w:left w:w="108" w:type="dxa"/>
          <w:bottom w:w="0" w:type="dxa"/>
          <w:right w:w="108" w:type="dxa"/>
        </w:tblCellMar>
      </w:tblPr>
      <w:tblGrid>
        <w:gridCol w:w="1729"/>
        <w:gridCol w:w="2150"/>
        <w:gridCol w:w="2291"/>
        <w:gridCol w:w="2301"/>
      </w:tblGrid>
      <w:tr>
        <w:tblPrEx>
          <w:tblCellMar>
            <w:top w:w="0" w:type="dxa"/>
            <w:left w:w="108" w:type="dxa"/>
            <w:bottom w:w="0" w:type="dxa"/>
            <w:right w:w="108" w:type="dxa"/>
          </w:tblCellMar>
        </w:tblPrEx>
        <w:trPr>
          <w:trHeight w:val="624" w:hRule="atLeast"/>
          <w:tblHeader/>
        </w:trPr>
        <w:tc>
          <w:tcPr>
            <w:tcW w:w="5000" w:type="pct"/>
            <w:gridSpan w:val="4"/>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宋体"/>
                <w:b/>
                <w:bCs/>
                <w:kern w:val="0"/>
                <w:sz w:val="21"/>
                <w:szCs w:val="21"/>
              </w:rPr>
            </w:pPr>
            <w:r>
              <w:rPr>
                <w:rFonts w:hint="eastAsia" w:cs="宋体"/>
                <w:b/>
                <w:bCs/>
                <w:kern w:val="0"/>
                <w:sz w:val="21"/>
                <w:szCs w:val="21"/>
              </w:rPr>
              <w:t>立杆规格最小要求</w:t>
            </w:r>
          </w:p>
        </w:tc>
      </w:tr>
      <w:tr>
        <w:tblPrEx>
          <w:tblCellMar>
            <w:top w:w="0" w:type="dxa"/>
            <w:left w:w="108" w:type="dxa"/>
            <w:bottom w:w="0" w:type="dxa"/>
            <w:right w:w="108" w:type="dxa"/>
          </w:tblCellMar>
        </w:tblPrEx>
        <w:trPr>
          <w:trHeight w:val="454" w:hRule="atLeast"/>
        </w:trPr>
        <w:tc>
          <w:tcPr>
            <w:tcW w:w="1021" w:type="pct"/>
            <w:tcBorders>
              <w:top w:val="nil"/>
              <w:left w:val="single" w:color="auto" w:sz="4" w:space="0"/>
              <w:bottom w:val="single" w:color="000000" w:sz="4" w:space="0"/>
              <w:right w:val="single" w:color="auto" w:sz="4" w:space="0"/>
            </w:tcBorders>
            <w:noWrap/>
            <w:vAlign w:val="center"/>
          </w:tcPr>
          <w:p>
            <w:pPr>
              <w:widowControl/>
              <w:spacing w:line="240" w:lineRule="auto"/>
              <w:ind w:firstLine="0" w:firstLineChars="0"/>
              <w:jc w:val="both"/>
              <w:rPr>
                <w:rFonts w:cs="宋体"/>
                <w:bCs/>
                <w:sz w:val="21"/>
                <w:szCs w:val="21"/>
              </w:rPr>
            </w:pPr>
            <w:r>
              <w:rPr>
                <w:rFonts w:hint="eastAsia" w:cs="宋体"/>
                <w:bCs/>
                <w:sz w:val="21"/>
                <w:szCs w:val="21"/>
              </w:rPr>
              <w:t>高度（m）</w:t>
            </w:r>
          </w:p>
        </w:tc>
        <w:tc>
          <w:tcPr>
            <w:tcW w:w="1269" w:type="pct"/>
            <w:tcBorders>
              <w:top w:val="nil"/>
              <w:left w:val="single" w:color="auto" w:sz="4" w:space="0"/>
              <w:bottom w:val="single" w:color="000000" w:sz="4" w:space="0"/>
              <w:right w:val="single" w:color="auto" w:sz="4" w:space="0"/>
            </w:tcBorders>
            <w:noWrap/>
            <w:vAlign w:val="center"/>
          </w:tcPr>
          <w:p>
            <w:pPr>
              <w:widowControl/>
              <w:spacing w:line="240" w:lineRule="auto"/>
              <w:ind w:firstLine="0" w:firstLineChars="0"/>
              <w:jc w:val="both"/>
              <w:rPr>
                <w:rFonts w:cs="宋体"/>
                <w:bCs/>
                <w:sz w:val="21"/>
                <w:szCs w:val="21"/>
              </w:rPr>
            </w:pPr>
            <w:r>
              <w:rPr>
                <w:rFonts w:hint="eastAsia" w:cs="宋体"/>
                <w:bCs/>
                <w:sz w:val="21"/>
                <w:szCs w:val="21"/>
              </w:rPr>
              <w:t>壁厚（mm）</w:t>
            </w:r>
          </w:p>
        </w:tc>
        <w:tc>
          <w:tcPr>
            <w:tcW w:w="1352" w:type="pct"/>
            <w:tcBorders>
              <w:top w:val="nil"/>
              <w:left w:val="single" w:color="auto" w:sz="4" w:space="0"/>
              <w:bottom w:val="single" w:color="000000" w:sz="4" w:space="0"/>
              <w:right w:val="single" w:color="auto" w:sz="4" w:space="0"/>
            </w:tcBorders>
            <w:noWrap/>
            <w:vAlign w:val="center"/>
          </w:tcPr>
          <w:p>
            <w:pPr>
              <w:widowControl/>
              <w:spacing w:line="240" w:lineRule="auto"/>
              <w:ind w:firstLine="0" w:firstLineChars="0"/>
              <w:jc w:val="both"/>
              <w:rPr>
                <w:rFonts w:cs="宋体"/>
                <w:bCs/>
                <w:sz w:val="21"/>
                <w:szCs w:val="21"/>
              </w:rPr>
            </w:pPr>
            <w:r>
              <w:rPr>
                <w:rFonts w:hint="eastAsia" w:cs="宋体"/>
                <w:bCs/>
                <w:sz w:val="21"/>
                <w:szCs w:val="21"/>
              </w:rPr>
              <w:t>上口径（mm）</w:t>
            </w:r>
          </w:p>
        </w:tc>
        <w:tc>
          <w:tcPr>
            <w:tcW w:w="1356" w:type="pct"/>
            <w:tcBorders>
              <w:top w:val="nil"/>
              <w:left w:val="single" w:color="auto" w:sz="4" w:space="0"/>
              <w:bottom w:val="single" w:color="000000" w:sz="4" w:space="0"/>
              <w:right w:val="single" w:color="auto" w:sz="4" w:space="0"/>
            </w:tcBorders>
            <w:noWrap/>
            <w:vAlign w:val="center"/>
          </w:tcPr>
          <w:p>
            <w:pPr>
              <w:widowControl/>
              <w:spacing w:line="240" w:lineRule="auto"/>
              <w:ind w:firstLine="0" w:firstLineChars="0"/>
              <w:jc w:val="both"/>
              <w:rPr>
                <w:rFonts w:cs="宋体"/>
                <w:bCs/>
                <w:sz w:val="21"/>
                <w:szCs w:val="21"/>
              </w:rPr>
            </w:pPr>
            <w:r>
              <w:rPr>
                <w:rFonts w:hint="eastAsia" w:cs="宋体"/>
                <w:bCs/>
                <w:sz w:val="21"/>
                <w:szCs w:val="21"/>
              </w:rPr>
              <w:t>下口径（mm）</w:t>
            </w:r>
          </w:p>
        </w:tc>
      </w:tr>
      <w:tr>
        <w:tblPrEx>
          <w:tblCellMar>
            <w:top w:w="0" w:type="dxa"/>
            <w:left w:w="108" w:type="dxa"/>
            <w:bottom w:w="0" w:type="dxa"/>
            <w:right w:w="108" w:type="dxa"/>
          </w:tblCellMar>
        </w:tblPrEx>
        <w:trPr>
          <w:trHeight w:val="454" w:hRule="atLeast"/>
        </w:trPr>
        <w:tc>
          <w:tcPr>
            <w:tcW w:w="1021" w:type="pct"/>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jc w:val="both"/>
              <w:rPr>
                <w:rFonts w:cs="宋体"/>
                <w:bCs/>
                <w:sz w:val="21"/>
                <w:szCs w:val="21"/>
              </w:rPr>
            </w:pPr>
            <w:r>
              <w:rPr>
                <w:rFonts w:hint="eastAsia" w:cs="宋体"/>
                <w:bCs/>
                <w:sz w:val="21"/>
                <w:szCs w:val="21"/>
              </w:rPr>
              <w:t>3-5</w:t>
            </w:r>
          </w:p>
        </w:tc>
        <w:tc>
          <w:tcPr>
            <w:tcW w:w="1269" w:type="pct"/>
            <w:tcBorders>
              <w:top w:val="nil"/>
              <w:left w:val="nil"/>
              <w:bottom w:val="single" w:color="auto" w:sz="4" w:space="0"/>
              <w:right w:val="single" w:color="auto" w:sz="4" w:space="0"/>
            </w:tcBorders>
            <w:noWrap/>
            <w:vAlign w:val="center"/>
          </w:tcPr>
          <w:p>
            <w:pPr>
              <w:widowControl/>
              <w:spacing w:line="240" w:lineRule="auto"/>
              <w:ind w:firstLine="0" w:firstLineChars="0"/>
              <w:jc w:val="both"/>
              <w:rPr>
                <w:rFonts w:cs="宋体"/>
                <w:bCs/>
                <w:sz w:val="21"/>
                <w:szCs w:val="21"/>
              </w:rPr>
            </w:pPr>
            <w:r>
              <w:rPr>
                <w:rFonts w:hint="eastAsia" w:cs="宋体"/>
                <w:bCs/>
                <w:sz w:val="21"/>
                <w:szCs w:val="21"/>
              </w:rPr>
              <w:t>3.5</w:t>
            </w:r>
          </w:p>
        </w:tc>
        <w:tc>
          <w:tcPr>
            <w:tcW w:w="1352" w:type="pct"/>
            <w:tcBorders>
              <w:top w:val="nil"/>
              <w:left w:val="nil"/>
              <w:bottom w:val="single" w:color="auto" w:sz="4" w:space="0"/>
              <w:right w:val="single" w:color="auto" w:sz="4" w:space="0"/>
            </w:tcBorders>
            <w:noWrap/>
            <w:vAlign w:val="center"/>
          </w:tcPr>
          <w:p>
            <w:pPr>
              <w:widowControl/>
              <w:spacing w:line="240" w:lineRule="auto"/>
              <w:ind w:firstLine="0" w:firstLineChars="0"/>
              <w:jc w:val="both"/>
              <w:rPr>
                <w:rFonts w:cs="宋体"/>
                <w:bCs/>
                <w:sz w:val="21"/>
                <w:szCs w:val="21"/>
              </w:rPr>
            </w:pPr>
            <w:r>
              <w:rPr>
                <w:rFonts w:hint="eastAsia" w:cs="宋体"/>
                <w:bCs/>
                <w:sz w:val="21"/>
                <w:szCs w:val="21"/>
              </w:rPr>
              <w:t>90</w:t>
            </w:r>
          </w:p>
        </w:tc>
        <w:tc>
          <w:tcPr>
            <w:tcW w:w="1356" w:type="pct"/>
            <w:tcBorders>
              <w:top w:val="nil"/>
              <w:left w:val="nil"/>
              <w:bottom w:val="single" w:color="auto" w:sz="4" w:space="0"/>
              <w:right w:val="single" w:color="auto" w:sz="4" w:space="0"/>
            </w:tcBorders>
            <w:noWrap/>
            <w:vAlign w:val="center"/>
          </w:tcPr>
          <w:p>
            <w:pPr>
              <w:widowControl/>
              <w:spacing w:line="240" w:lineRule="auto"/>
              <w:ind w:firstLine="0" w:firstLineChars="0"/>
              <w:jc w:val="both"/>
              <w:rPr>
                <w:rFonts w:cs="宋体"/>
                <w:bCs/>
                <w:sz w:val="21"/>
                <w:szCs w:val="21"/>
              </w:rPr>
            </w:pPr>
            <w:r>
              <w:rPr>
                <w:rFonts w:hint="eastAsia" w:cs="宋体"/>
                <w:bCs/>
                <w:sz w:val="21"/>
                <w:szCs w:val="21"/>
              </w:rPr>
              <w:t>110</w:t>
            </w:r>
          </w:p>
        </w:tc>
      </w:tr>
    </w:tbl>
    <w:p>
      <w:pPr>
        <w:pStyle w:val="36"/>
        <w:bidi w:val="0"/>
      </w:pPr>
      <w:r>
        <w:rPr>
          <w:rFonts w:hint="eastAsia"/>
        </w:rPr>
        <w:t>支臂设计要求</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852"/>
        <w:gridCol w:w="1608"/>
        <w:gridCol w:w="1608"/>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000" w:type="pct"/>
            <w:gridSpan w:val="5"/>
            <w:noWrap/>
            <w:vAlign w:val="center"/>
          </w:tcPr>
          <w:p>
            <w:pPr>
              <w:widowControl/>
              <w:spacing w:line="240" w:lineRule="auto"/>
              <w:ind w:firstLine="0" w:firstLineChars="0"/>
              <w:jc w:val="center"/>
              <w:rPr>
                <w:rFonts w:cs="宋体"/>
                <w:b/>
                <w:bCs/>
                <w:kern w:val="0"/>
                <w:sz w:val="21"/>
                <w:szCs w:val="21"/>
              </w:rPr>
            </w:pPr>
            <w:r>
              <w:rPr>
                <w:rFonts w:hint="eastAsia" w:cs="宋体"/>
                <w:b/>
                <w:bCs/>
                <w:kern w:val="0"/>
                <w:sz w:val="21"/>
                <w:szCs w:val="21"/>
              </w:rPr>
              <w:t>支臂规格最小要求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51" w:type="pct"/>
            <w:vMerge w:val="restart"/>
            <w:noWrap/>
            <w:vAlign w:val="center"/>
          </w:tcPr>
          <w:p>
            <w:pPr>
              <w:widowControl/>
              <w:spacing w:line="240" w:lineRule="auto"/>
              <w:ind w:firstLine="0" w:firstLineChars="0"/>
              <w:jc w:val="center"/>
              <w:rPr>
                <w:rFonts w:cs="宋体"/>
                <w:bCs/>
                <w:sz w:val="21"/>
                <w:szCs w:val="21"/>
              </w:rPr>
            </w:pPr>
            <w:r>
              <w:rPr>
                <w:rFonts w:hint="eastAsia" w:cs="宋体"/>
                <w:bCs/>
                <w:sz w:val="21"/>
                <w:szCs w:val="21"/>
              </w:rPr>
              <w:t>长度（m）</w:t>
            </w:r>
          </w:p>
        </w:tc>
        <w:tc>
          <w:tcPr>
            <w:tcW w:w="1093" w:type="pct"/>
            <w:vMerge w:val="restart"/>
            <w:noWrap/>
            <w:vAlign w:val="center"/>
          </w:tcPr>
          <w:p>
            <w:pPr>
              <w:widowControl/>
              <w:spacing w:line="240" w:lineRule="auto"/>
              <w:ind w:firstLine="0" w:firstLineChars="0"/>
              <w:jc w:val="center"/>
              <w:rPr>
                <w:rFonts w:cs="宋体"/>
                <w:bCs/>
                <w:sz w:val="21"/>
                <w:szCs w:val="21"/>
              </w:rPr>
            </w:pPr>
            <w:r>
              <w:rPr>
                <w:rFonts w:hint="eastAsia" w:cs="宋体"/>
                <w:bCs/>
                <w:sz w:val="21"/>
                <w:szCs w:val="21"/>
              </w:rPr>
              <w:t>壁厚（mm）</w:t>
            </w:r>
          </w:p>
        </w:tc>
        <w:tc>
          <w:tcPr>
            <w:tcW w:w="1898" w:type="pct"/>
            <w:gridSpan w:val="2"/>
            <w:noWrap/>
            <w:vAlign w:val="center"/>
          </w:tcPr>
          <w:p>
            <w:pPr>
              <w:widowControl/>
              <w:spacing w:line="240" w:lineRule="auto"/>
              <w:ind w:firstLine="0" w:firstLineChars="0"/>
              <w:jc w:val="center"/>
              <w:rPr>
                <w:rFonts w:cs="宋体"/>
                <w:bCs/>
                <w:sz w:val="21"/>
                <w:szCs w:val="21"/>
              </w:rPr>
            </w:pPr>
            <w:r>
              <w:rPr>
                <w:rFonts w:hint="eastAsia" w:cs="宋体"/>
                <w:bCs/>
                <w:sz w:val="21"/>
                <w:szCs w:val="21"/>
              </w:rPr>
              <w:t>锥形支臂</w:t>
            </w:r>
          </w:p>
        </w:tc>
        <w:tc>
          <w:tcPr>
            <w:tcW w:w="1156" w:type="pct"/>
            <w:noWrap/>
            <w:vAlign w:val="center"/>
          </w:tcPr>
          <w:p>
            <w:pPr>
              <w:widowControl/>
              <w:spacing w:line="240" w:lineRule="auto"/>
              <w:ind w:firstLine="0" w:firstLineChars="0"/>
              <w:jc w:val="center"/>
              <w:rPr>
                <w:rFonts w:cs="宋体"/>
                <w:bCs/>
                <w:sz w:val="21"/>
                <w:szCs w:val="21"/>
              </w:rPr>
            </w:pPr>
            <w:r>
              <w:rPr>
                <w:rFonts w:hint="eastAsia" w:cs="宋体"/>
                <w:bCs/>
                <w:sz w:val="21"/>
                <w:szCs w:val="21"/>
              </w:rPr>
              <w:t>等径支臂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pct"/>
            <w:vMerge w:val="continue"/>
            <w:vAlign w:val="center"/>
          </w:tcPr>
          <w:p>
            <w:pPr>
              <w:widowControl/>
              <w:spacing w:line="240" w:lineRule="auto"/>
              <w:ind w:firstLine="0" w:firstLineChars="0"/>
              <w:jc w:val="center"/>
              <w:rPr>
                <w:rFonts w:cs="宋体"/>
                <w:bCs/>
                <w:sz w:val="21"/>
                <w:szCs w:val="21"/>
              </w:rPr>
            </w:pPr>
          </w:p>
        </w:tc>
        <w:tc>
          <w:tcPr>
            <w:tcW w:w="1093" w:type="pct"/>
            <w:vMerge w:val="continue"/>
            <w:vAlign w:val="center"/>
          </w:tcPr>
          <w:p>
            <w:pPr>
              <w:widowControl/>
              <w:spacing w:line="240" w:lineRule="auto"/>
              <w:ind w:firstLine="0" w:firstLineChars="0"/>
              <w:jc w:val="center"/>
              <w:rPr>
                <w:rFonts w:cs="宋体"/>
                <w:bCs/>
                <w:sz w:val="21"/>
                <w:szCs w:val="21"/>
              </w:rPr>
            </w:pPr>
          </w:p>
        </w:tc>
        <w:tc>
          <w:tcPr>
            <w:tcW w:w="949" w:type="pct"/>
            <w:noWrap/>
            <w:vAlign w:val="center"/>
          </w:tcPr>
          <w:p>
            <w:pPr>
              <w:widowControl/>
              <w:spacing w:line="240" w:lineRule="auto"/>
              <w:ind w:firstLine="0" w:firstLineChars="0"/>
              <w:jc w:val="center"/>
              <w:rPr>
                <w:rFonts w:cs="宋体"/>
                <w:bCs/>
                <w:sz w:val="21"/>
                <w:szCs w:val="21"/>
              </w:rPr>
            </w:pPr>
            <w:r>
              <w:rPr>
                <w:rFonts w:hint="eastAsia" w:cs="宋体"/>
                <w:bCs/>
                <w:sz w:val="21"/>
                <w:szCs w:val="21"/>
              </w:rPr>
              <w:t>小口径（mm）</w:t>
            </w:r>
          </w:p>
        </w:tc>
        <w:tc>
          <w:tcPr>
            <w:tcW w:w="949" w:type="pct"/>
            <w:noWrap/>
            <w:vAlign w:val="center"/>
          </w:tcPr>
          <w:p>
            <w:pPr>
              <w:widowControl/>
              <w:spacing w:line="240" w:lineRule="auto"/>
              <w:ind w:firstLine="0" w:firstLineChars="0"/>
              <w:jc w:val="center"/>
              <w:rPr>
                <w:rFonts w:cs="宋体"/>
                <w:bCs/>
                <w:sz w:val="21"/>
                <w:szCs w:val="21"/>
              </w:rPr>
            </w:pPr>
            <w:r>
              <w:rPr>
                <w:rFonts w:hint="eastAsia" w:cs="宋体"/>
                <w:bCs/>
                <w:sz w:val="21"/>
                <w:szCs w:val="21"/>
              </w:rPr>
              <w:t>大口径（mm）</w:t>
            </w:r>
          </w:p>
        </w:tc>
        <w:tc>
          <w:tcPr>
            <w:tcW w:w="1156" w:type="pct"/>
            <w:noWrap/>
            <w:vAlign w:val="center"/>
          </w:tcPr>
          <w:p>
            <w:pPr>
              <w:widowControl/>
              <w:spacing w:line="240" w:lineRule="auto"/>
              <w:ind w:firstLine="0" w:firstLineChars="0"/>
              <w:jc w:val="center"/>
              <w:rPr>
                <w:rFonts w:cs="宋体"/>
                <w:bCs/>
                <w:sz w:val="21"/>
                <w:szCs w:val="21"/>
              </w:rPr>
            </w:pPr>
            <w:r>
              <w:rPr>
                <w:rFonts w:hint="eastAsia" w:cs="宋体"/>
                <w:bCs/>
                <w:sz w:val="21"/>
                <w:szCs w:val="21"/>
              </w:rPr>
              <w:t>直径/对边（mm）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pct"/>
            <w:noWrap/>
            <w:vAlign w:val="center"/>
          </w:tcPr>
          <w:p>
            <w:pPr>
              <w:widowControl/>
              <w:spacing w:line="240" w:lineRule="auto"/>
              <w:ind w:firstLine="0" w:firstLineChars="0"/>
              <w:jc w:val="center"/>
              <w:rPr>
                <w:rFonts w:cs="宋体"/>
                <w:bCs/>
                <w:sz w:val="21"/>
                <w:szCs w:val="21"/>
              </w:rPr>
            </w:pPr>
            <w:r>
              <w:rPr>
                <w:rFonts w:hint="eastAsia" w:cs="宋体"/>
                <w:bCs/>
                <w:sz w:val="21"/>
                <w:szCs w:val="21"/>
              </w:rPr>
              <w:t>1-2</w:t>
            </w:r>
          </w:p>
        </w:tc>
        <w:tc>
          <w:tcPr>
            <w:tcW w:w="1093" w:type="pct"/>
            <w:noWrap/>
            <w:vAlign w:val="center"/>
          </w:tcPr>
          <w:p>
            <w:pPr>
              <w:widowControl/>
              <w:spacing w:line="240" w:lineRule="auto"/>
              <w:ind w:firstLine="0" w:firstLineChars="0"/>
              <w:jc w:val="center"/>
              <w:rPr>
                <w:rFonts w:cs="宋体"/>
                <w:bCs/>
                <w:sz w:val="21"/>
                <w:szCs w:val="21"/>
              </w:rPr>
            </w:pPr>
            <w:r>
              <w:rPr>
                <w:rFonts w:hint="eastAsia" w:cs="宋体"/>
                <w:bCs/>
                <w:sz w:val="21"/>
                <w:szCs w:val="21"/>
              </w:rPr>
              <w:t>3.5</w:t>
            </w:r>
          </w:p>
        </w:tc>
        <w:tc>
          <w:tcPr>
            <w:tcW w:w="949" w:type="pct"/>
            <w:noWrap/>
            <w:vAlign w:val="center"/>
          </w:tcPr>
          <w:p>
            <w:pPr>
              <w:widowControl/>
              <w:spacing w:line="240" w:lineRule="auto"/>
              <w:ind w:firstLine="0" w:firstLineChars="0"/>
              <w:jc w:val="center"/>
              <w:rPr>
                <w:rFonts w:cs="宋体"/>
                <w:bCs/>
                <w:sz w:val="21"/>
                <w:szCs w:val="21"/>
              </w:rPr>
            </w:pPr>
            <w:r>
              <w:rPr>
                <w:rFonts w:hint="eastAsia" w:cs="宋体"/>
                <w:bCs/>
                <w:sz w:val="21"/>
                <w:szCs w:val="21"/>
              </w:rPr>
              <w:t>/</w:t>
            </w:r>
          </w:p>
        </w:tc>
        <w:tc>
          <w:tcPr>
            <w:tcW w:w="949" w:type="pct"/>
            <w:noWrap/>
            <w:vAlign w:val="center"/>
          </w:tcPr>
          <w:p>
            <w:pPr>
              <w:widowControl/>
              <w:spacing w:line="240" w:lineRule="auto"/>
              <w:ind w:firstLine="0" w:firstLineChars="0"/>
              <w:jc w:val="center"/>
              <w:rPr>
                <w:rFonts w:cs="宋体"/>
                <w:bCs/>
                <w:sz w:val="21"/>
                <w:szCs w:val="21"/>
              </w:rPr>
            </w:pPr>
            <w:r>
              <w:rPr>
                <w:rFonts w:hint="eastAsia" w:cs="宋体"/>
                <w:bCs/>
                <w:sz w:val="21"/>
                <w:szCs w:val="21"/>
              </w:rPr>
              <w:t>/</w:t>
            </w:r>
          </w:p>
        </w:tc>
        <w:tc>
          <w:tcPr>
            <w:tcW w:w="1156" w:type="pct"/>
            <w:noWrap/>
            <w:vAlign w:val="center"/>
          </w:tcPr>
          <w:p>
            <w:pPr>
              <w:widowControl/>
              <w:spacing w:line="240" w:lineRule="auto"/>
              <w:ind w:firstLine="0" w:firstLineChars="0"/>
              <w:jc w:val="center"/>
              <w:rPr>
                <w:rFonts w:cs="宋体"/>
                <w:bCs/>
                <w:sz w:val="21"/>
                <w:szCs w:val="21"/>
              </w:rPr>
            </w:pPr>
            <w:r>
              <w:rPr>
                <w:rFonts w:hint="eastAsia" w:cs="宋体"/>
                <w:bCs/>
                <w:sz w:val="21"/>
                <w:szCs w:val="21"/>
              </w:rPr>
              <w:t>60</w:t>
            </w:r>
          </w:p>
        </w:tc>
      </w:tr>
    </w:tbl>
    <w:p>
      <w:pPr>
        <w:ind w:firstLine="480"/>
      </w:pPr>
    </w:p>
    <w:p>
      <w:pPr>
        <w:pStyle w:val="8"/>
        <w:tabs>
          <w:tab w:val="left" w:pos="0"/>
          <w:tab w:val="clear" w:pos="1282"/>
        </w:tabs>
        <w:spacing w:before="198" w:after="198"/>
      </w:pPr>
      <w:r>
        <w:rPr>
          <w:rFonts w:hint="eastAsia"/>
        </w:rPr>
        <w:t>基础预埋件要求</w:t>
      </w:r>
    </w:p>
    <w:p>
      <w:pPr>
        <w:ind w:firstLine="480"/>
      </w:pPr>
      <w:r>
        <w:t>基础的浇注、混凝土强度等级必须符合GB50204-2015的要求。</w:t>
      </w:r>
    </w:p>
    <w:p>
      <w:pPr>
        <w:pStyle w:val="36"/>
        <w:bidi w:val="0"/>
      </w:pPr>
      <w:r>
        <w:rPr>
          <w:rFonts w:hint="eastAsia"/>
        </w:rPr>
        <w:t>基坑开挖尺寸设计要求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8"/>
        <w:gridCol w:w="3815"/>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pct"/>
            <w:noWrap/>
            <w:vAlign w:val="center"/>
          </w:tcPr>
          <w:p>
            <w:pPr>
              <w:widowControl/>
              <w:spacing w:line="240" w:lineRule="auto"/>
              <w:ind w:firstLine="0" w:firstLineChars="0"/>
              <w:jc w:val="center"/>
              <w:rPr>
                <w:rFonts w:cs="宋体"/>
                <w:b/>
                <w:bCs w:val="0"/>
                <w:sz w:val="21"/>
                <w:szCs w:val="21"/>
              </w:rPr>
            </w:pPr>
            <w:r>
              <w:rPr>
                <w:rFonts w:hint="eastAsia" w:cs="宋体"/>
                <w:b/>
                <w:bCs w:val="0"/>
                <w:sz w:val="21"/>
                <w:szCs w:val="21"/>
              </w:rPr>
              <w:t>杆型</w:t>
            </w:r>
          </w:p>
        </w:tc>
        <w:tc>
          <w:tcPr>
            <w:tcW w:w="2252" w:type="pct"/>
            <w:noWrap/>
            <w:vAlign w:val="center"/>
          </w:tcPr>
          <w:p>
            <w:pPr>
              <w:widowControl/>
              <w:spacing w:line="240" w:lineRule="auto"/>
              <w:ind w:firstLine="0" w:firstLineChars="0"/>
              <w:jc w:val="center"/>
              <w:rPr>
                <w:rFonts w:cs="宋体"/>
                <w:b/>
                <w:bCs w:val="0"/>
                <w:sz w:val="21"/>
                <w:szCs w:val="21"/>
              </w:rPr>
            </w:pPr>
            <w:r>
              <w:rPr>
                <w:rFonts w:hint="eastAsia" w:cs="宋体"/>
                <w:b/>
                <w:bCs w:val="0"/>
                <w:sz w:val="21"/>
                <w:szCs w:val="21"/>
              </w:rPr>
              <w:t>立杆规格</w:t>
            </w:r>
          </w:p>
        </w:tc>
        <w:tc>
          <w:tcPr>
            <w:tcW w:w="1537" w:type="pct"/>
            <w:noWrap/>
            <w:vAlign w:val="center"/>
          </w:tcPr>
          <w:p>
            <w:pPr>
              <w:widowControl/>
              <w:spacing w:line="240" w:lineRule="auto"/>
              <w:ind w:firstLine="0" w:firstLineChars="0"/>
              <w:jc w:val="center"/>
              <w:rPr>
                <w:rFonts w:cs="宋体"/>
                <w:b/>
                <w:bCs w:val="0"/>
                <w:sz w:val="21"/>
                <w:szCs w:val="21"/>
              </w:rPr>
            </w:pPr>
            <w:r>
              <w:rPr>
                <w:rFonts w:hint="eastAsia" w:cs="宋体"/>
                <w:b/>
                <w:bCs w:val="0"/>
                <w:sz w:val="21"/>
                <w:szCs w:val="21"/>
              </w:rPr>
              <w:t>基坑规格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9" w:type="pct"/>
            <w:vAlign w:val="center"/>
          </w:tcPr>
          <w:p>
            <w:pPr>
              <w:widowControl/>
              <w:spacing w:line="240" w:lineRule="auto"/>
              <w:ind w:firstLine="0" w:firstLineChars="0"/>
              <w:jc w:val="both"/>
              <w:rPr>
                <w:rFonts w:cs="宋体"/>
                <w:bCs/>
                <w:sz w:val="21"/>
                <w:szCs w:val="21"/>
              </w:rPr>
            </w:pPr>
            <w:r>
              <w:rPr>
                <w:rFonts w:hint="eastAsia" w:cs="宋体"/>
                <w:bCs/>
                <w:sz w:val="21"/>
                <w:szCs w:val="21"/>
              </w:rPr>
              <w:t>普通监控杆</w:t>
            </w:r>
          </w:p>
        </w:tc>
        <w:tc>
          <w:tcPr>
            <w:tcW w:w="2252" w:type="pct"/>
            <w:vAlign w:val="center"/>
          </w:tcPr>
          <w:p>
            <w:pPr>
              <w:widowControl/>
              <w:spacing w:line="240" w:lineRule="auto"/>
              <w:ind w:firstLine="0" w:firstLineChars="0"/>
              <w:jc w:val="both"/>
              <w:rPr>
                <w:rFonts w:cs="宋体"/>
                <w:bCs/>
                <w:sz w:val="21"/>
                <w:szCs w:val="21"/>
              </w:rPr>
            </w:pPr>
            <w:r>
              <w:rPr>
                <w:rFonts w:hint="eastAsia" w:cs="宋体"/>
                <w:bCs/>
                <w:sz w:val="21"/>
                <w:szCs w:val="21"/>
              </w:rPr>
              <w:t>高度8米内且支臂2米内</w:t>
            </w:r>
          </w:p>
        </w:tc>
        <w:tc>
          <w:tcPr>
            <w:tcW w:w="1537" w:type="pct"/>
            <w:noWrap/>
            <w:vAlign w:val="center"/>
          </w:tcPr>
          <w:p>
            <w:pPr>
              <w:widowControl/>
              <w:spacing w:line="240" w:lineRule="auto"/>
              <w:ind w:firstLine="0" w:firstLineChars="0"/>
              <w:jc w:val="both"/>
              <w:rPr>
                <w:rFonts w:cs="宋体"/>
                <w:bCs/>
                <w:sz w:val="21"/>
                <w:szCs w:val="21"/>
              </w:rPr>
            </w:pPr>
            <w:r>
              <w:rPr>
                <w:rFonts w:hint="eastAsia" w:cs="宋体"/>
                <w:bCs/>
                <w:sz w:val="21"/>
                <w:szCs w:val="21"/>
              </w:rPr>
              <w:t>1m*1m*1m</w:t>
            </w:r>
          </w:p>
        </w:tc>
      </w:tr>
    </w:tbl>
    <w:p>
      <w:pPr>
        <w:ind w:firstLine="480"/>
      </w:pPr>
    </w:p>
    <w:p>
      <w:pPr>
        <w:ind w:firstLine="480"/>
      </w:pPr>
      <w:r>
        <w:rPr>
          <w:rFonts w:hint="eastAsia"/>
        </w:rPr>
        <w:t>本次项目立杆均为普通监控杆，基坑</w:t>
      </w:r>
      <w:r>
        <w:t>垫层</w:t>
      </w:r>
      <w:r>
        <w:rPr>
          <w:rFonts w:hint="eastAsia"/>
        </w:rPr>
        <w:t>采用</w:t>
      </w:r>
      <w:r>
        <w:t>100mm厚C15商混垫层</w:t>
      </w:r>
      <w:r>
        <w:rPr>
          <w:rFonts w:hint="eastAsia"/>
        </w:rPr>
        <w:t>，</w:t>
      </w:r>
      <w:r>
        <w:t>基础</w:t>
      </w:r>
      <w:r>
        <w:rPr>
          <w:rFonts w:hint="eastAsia"/>
        </w:rPr>
        <w:t>采用</w:t>
      </w:r>
      <w:r>
        <w:t>C25商混基础</w:t>
      </w:r>
      <w:r>
        <w:rPr>
          <w:rFonts w:hint="eastAsia"/>
        </w:rPr>
        <w:t>，</w:t>
      </w:r>
      <w:r>
        <w:t>钢筋</w:t>
      </w:r>
      <w:r>
        <w:rPr>
          <w:rFonts w:hint="eastAsia"/>
        </w:rPr>
        <w:t>采用</w:t>
      </w:r>
      <w:r>
        <w:t>底板 Ф12@150双层双向钢筋，竖向12*Ф20钢筋，箍筋Ф8@200</w:t>
      </w:r>
      <w:r>
        <w:rPr>
          <w:rFonts w:hint="eastAsia"/>
        </w:rPr>
        <w:t>。立杆预埋件尺寸不小于0.3m*0.3m*1.0m</w:t>
      </w:r>
      <w:r>
        <w:rPr>
          <w:rFonts w:hint="eastAsia"/>
          <w:lang w:eastAsia="zh-CN"/>
        </w:rPr>
        <w:t>，</w:t>
      </w:r>
      <w:r>
        <w:rPr>
          <w:rFonts w:hint="eastAsia"/>
        </w:rPr>
        <w:t>灌浇水泥尺寸</w:t>
      </w:r>
      <w:r>
        <w:rPr>
          <w:rFonts w:hint="eastAsia"/>
          <w:lang w:val="en-US" w:eastAsia="zh-CN"/>
        </w:rPr>
        <w:t>为1</w:t>
      </w:r>
      <w:r>
        <w:rPr>
          <w:rFonts w:hint="eastAsia"/>
        </w:rPr>
        <w:t>m×</w:t>
      </w:r>
      <w:r>
        <w:rPr>
          <w:rFonts w:hint="eastAsia"/>
          <w:lang w:val="en-US" w:eastAsia="zh-CN"/>
        </w:rPr>
        <w:t>1</w:t>
      </w:r>
      <w:r>
        <w:rPr>
          <w:rFonts w:hint="eastAsia"/>
        </w:rPr>
        <w:t>m×</w:t>
      </w:r>
      <w:r>
        <w:rPr>
          <w:rFonts w:hint="eastAsia"/>
          <w:lang w:val="en-US" w:eastAsia="zh-CN"/>
        </w:rPr>
        <w:t>1</w:t>
      </w:r>
      <w:r>
        <w:rPr>
          <w:rFonts w:hint="eastAsia"/>
        </w:rPr>
        <w:t>m。</w:t>
      </w:r>
    </w:p>
    <w:p>
      <w:pPr>
        <w:pStyle w:val="8"/>
        <w:tabs>
          <w:tab w:val="left" w:pos="0"/>
          <w:tab w:val="clear" w:pos="1282"/>
        </w:tabs>
        <w:spacing w:before="198" w:after="198"/>
      </w:pPr>
      <w:r>
        <w:rPr>
          <w:rFonts w:hint="eastAsia"/>
        </w:rPr>
        <w:t>检修门设计</w:t>
      </w:r>
    </w:p>
    <w:p>
      <w:pPr>
        <w:ind w:firstLine="480"/>
      </w:pPr>
      <w:r>
        <w:t>检修门下边缘高度距离应为200-400mm，门与主杆体之间缝隙不超过2mm，具备良好的防水性能。采用包门形式，杆门须平整光滑，与本杆平整度误差不大于±1mm。门内应预留接地引下线与接地系统间的接口。</w:t>
      </w:r>
    </w:p>
    <w:p>
      <w:pPr>
        <w:pStyle w:val="7"/>
        <w:tabs>
          <w:tab w:val="left" w:pos="864"/>
          <w:tab w:val="clear" w:pos="0"/>
          <w:tab w:val="clear" w:pos="575"/>
        </w:tabs>
        <w:spacing w:before="198" w:after="198"/>
        <w:rPr>
          <w:rFonts w:hint="default"/>
        </w:rPr>
      </w:pPr>
      <w:r>
        <w:t>前端防雷接地要求</w:t>
      </w:r>
    </w:p>
    <w:p>
      <w:pPr>
        <w:ind w:firstLine="480"/>
      </w:pPr>
      <w:r>
        <w:t>立杆须考虑防直击雷设计，采用Φ18的不锈钢棒作接闪器，顶部削尖，长度350-700mm，支臂长度2米内的，避雷针可直接安装在主杆顶端；支臂长度在2米以上的，避雷针应安装在支臂上设备2米半径范围内。</w:t>
      </w:r>
    </w:p>
    <w:p>
      <w:pPr>
        <w:ind w:firstLine="480"/>
      </w:pPr>
      <w:r>
        <w:t>接地阻值应符合《安全防范系统雷电浪涌防护技术要求》GA/T670-2006的相关要求，接地体施工应符合 GB 50169-2006 的规定。</w:t>
      </w:r>
    </w:p>
    <w:p>
      <w:pPr>
        <w:ind w:firstLine="480"/>
        <w:rPr>
          <w:rFonts w:hint="eastAsia"/>
          <w:lang w:val="en-US" w:eastAsia="zh-CN"/>
        </w:rPr>
      </w:pPr>
      <w:r>
        <w:t>本次项目新增杆体安装点位需在开挖基础地笼时做防雷接地处理，接地电阻不大于</w:t>
      </w:r>
      <w:r>
        <w:rPr>
          <w:rFonts w:hint="eastAsia"/>
          <w:lang w:val="en-US" w:eastAsia="zh-CN"/>
        </w:rPr>
        <w:t>4</w:t>
      </w:r>
      <w:r>
        <w:t>欧姆；对于其他前端点位</w:t>
      </w:r>
      <w:r>
        <w:rPr>
          <w:rFonts w:hint="eastAsia"/>
        </w:rPr>
        <w:t>壁挂或抱杆等</w:t>
      </w:r>
      <w:r>
        <w:t>安装方式，根据环境需要设置防雷接地装置，确保前端设备不会因雷电影响设备正常运行</w:t>
      </w:r>
      <w:r>
        <w:rPr>
          <w:rFonts w:hint="eastAsia"/>
          <w:lang w:eastAsia="zh-CN"/>
        </w:rPr>
        <w:t>，</w:t>
      </w:r>
      <w:r>
        <w:rPr>
          <w:rFonts w:hint="eastAsia"/>
          <w:lang w:val="en-US" w:eastAsia="zh-CN"/>
        </w:rPr>
        <w:t>同时为前端镜头配置二合一防雷器，保障室外监控防雷安全需求。</w:t>
      </w:r>
    </w:p>
    <w:p>
      <w:pPr>
        <w:pStyle w:val="5"/>
        <w:keepNext w:val="0"/>
        <w:rPr>
          <w:rFonts w:hint="default"/>
          <w:color w:val="auto"/>
        </w:rPr>
      </w:pPr>
      <w:bookmarkStart w:id="230" w:name="_Toc8581"/>
      <w:r>
        <w:rPr>
          <w:rFonts w:hint="eastAsia"/>
          <w:color w:val="auto"/>
          <w:lang w:val="en-US" w:eastAsia="zh-CN"/>
        </w:rPr>
        <w:t>终端系统建设方案</w:t>
      </w:r>
      <w:bookmarkEnd w:id="230"/>
    </w:p>
    <w:p>
      <w:pPr>
        <w:pStyle w:val="6"/>
        <w:bidi w:val="0"/>
        <w:rPr>
          <w:rFonts w:hint="eastAsia"/>
          <w:lang w:val="en-US" w:eastAsia="zh-CN"/>
        </w:rPr>
      </w:pPr>
      <w:bookmarkStart w:id="231" w:name="_Toc16174"/>
      <w:r>
        <w:rPr>
          <w:rFonts w:hint="eastAsia"/>
          <w:lang w:val="en-US" w:eastAsia="zh-CN"/>
        </w:rPr>
        <w:t>水质监测站</w:t>
      </w:r>
      <w:bookmarkEnd w:id="231"/>
    </w:p>
    <w:p>
      <w:pPr>
        <w:rPr>
          <w:rFonts w:hint="eastAsia"/>
          <w:lang w:val="en-US" w:eastAsia="zh-CN"/>
        </w:rPr>
      </w:pPr>
      <w:r>
        <w:rPr>
          <w:rFonts w:hint="eastAsia"/>
          <w:lang w:val="en-US" w:eastAsia="zh-CN"/>
        </w:rPr>
        <w:t>本项目为了保障丰都县水质监测站的正常运行，需要采购氨氮仪器触摸屏、</w:t>
      </w:r>
      <w:r>
        <w:rPr>
          <w:rFonts w:hint="eastAsia"/>
          <w:lang w:val="en-US" w:eastAsia="zh-CN"/>
        </w:rPr>
        <w:tab/>
      </w:r>
      <w:r>
        <w:rPr>
          <w:rFonts w:hint="eastAsia"/>
          <w:lang w:val="en-US" w:eastAsia="zh-CN"/>
        </w:rPr>
        <w:t>氨氮仪器液位传感器、</w:t>
      </w:r>
      <w:r>
        <w:rPr>
          <w:rFonts w:hint="eastAsia"/>
          <w:lang w:val="en-US" w:eastAsia="zh-CN"/>
        </w:rPr>
        <w:tab/>
      </w:r>
      <w:r>
        <w:rPr>
          <w:rFonts w:hint="eastAsia"/>
          <w:lang w:val="en-US" w:eastAsia="zh-CN"/>
        </w:rPr>
        <w:t>氨氮仪器沉淀池进样电磁阀</w:t>
      </w:r>
      <w:r>
        <w:rPr>
          <w:rFonts w:hint="eastAsia"/>
          <w:lang w:val="en-US" w:eastAsia="zh-CN"/>
        </w:rPr>
        <w:tab/>
      </w:r>
      <w:r>
        <w:rPr>
          <w:rFonts w:hint="eastAsia"/>
          <w:lang w:val="en-US" w:eastAsia="zh-CN"/>
        </w:rPr>
        <w:t>、总磷仪器触摸屏、</w:t>
      </w:r>
      <w:r>
        <w:rPr>
          <w:rFonts w:hint="eastAsia"/>
          <w:lang w:val="en-US" w:eastAsia="zh-CN"/>
        </w:rPr>
        <w:tab/>
      </w:r>
      <w:r>
        <w:rPr>
          <w:rFonts w:hint="eastAsia"/>
          <w:lang w:val="en-US" w:eastAsia="zh-CN"/>
        </w:rPr>
        <w:t>五参数仪器PH探头</w:t>
      </w:r>
      <w:r>
        <w:rPr>
          <w:rFonts w:hint="eastAsia"/>
          <w:lang w:val="en-US" w:eastAsia="zh-CN"/>
        </w:rPr>
        <w:tab/>
      </w:r>
      <w:r>
        <w:rPr>
          <w:rFonts w:hint="eastAsia"/>
          <w:lang w:val="en-US" w:eastAsia="zh-CN"/>
        </w:rPr>
        <w:t>、五参数仪器浊度探头、</w:t>
      </w:r>
      <w:r>
        <w:rPr>
          <w:rFonts w:hint="eastAsia"/>
          <w:lang w:val="en-US" w:eastAsia="zh-CN"/>
        </w:rPr>
        <w:tab/>
      </w:r>
      <w:r>
        <w:rPr>
          <w:rFonts w:hint="eastAsia"/>
          <w:lang w:val="en-US" w:eastAsia="zh-CN"/>
        </w:rPr>
        <w:t>五参数仪器溶解氧探头、</w:t>
      </w:r>
      <w:r>
        <w:rPr>
          <w:rFonts w:hint="eastAsia"/>
          <w:lang w:val="en-US" w:eastAsia="zh-CN"/>
        </w:rPr>
        <w:tab/>
      </w:r>
      <w:r>
        <w:rPr>
          <w:rFonts w:hint="eastAsia"/>
          <w:lang w:val="en-US" w:eastAsia="zh-CN"/>
        </w:rPr>
        <w:t>潜水泵、</w:t>
      </w:r>
      <w:r>
        <w:rPr>
          <w:rFonts w:hint="eastAsia"/>
          <w:lang w:val="en-US" w:eastAsia="zh-CN"/>
        </w:rPr>
        <w:tab/>
      </w:r>
      <w:r>
        <w:rPr>
          <w:rFonts w:hint="eastAsia"/>
          <w:lang w:val="en-US" w:eastAsia="zh-CN"/>
        </w:rPr>
        <w:t>总磷仪器主板</w:t>
      </w:r>
      <w:r>
        <w:rPr>
          <w:rFonts w:hint="eastAsia"/>
          <w:lang w:val="en-US" w:eastAsia="zh-CN"/>
        </w:rPr>
        <w:tab/>
      </w:r>
      <w:r>
        <w:rPr>
          <w:rFonts w:hint="eastAsia"/>
          <w:lang w:val="en-US" w:eastAsia="zh-CN"/>
        </w:rPr>
        <w:t>、氨氮仪器主板、</w:t>
      </w:r>
      <w:r>
        <w:rPr>
          <w:rFonts w:hint="eastAsia"/>
          <w:lang w:val="en-US" w:eastAsia="zh-CN"/>
        </w:rPr>
        <w:tab/>
      </w:r>
      <w:r>
        <w:rPr>
          <w:rFonts w:hint="eastAsia"/>
          <w:lang w:val="en-US" w:eastAsia="zh-CN"/>
        </w:rPr>
        <w:t>COD十通阀液位传感器等配件。由需求分析可知各水质监测站的具体配件需求如下表所示：</w:t>
      </w:r>
    </w:p>
    <w:p>
      <w:pPr>
        <w:pStyle w:val="36"/>
        <w:bidi w:val="0"/>
        <w:rPr>
          <w:rFonts w:hint="eastAsia"/>
          <w:lang w:val="en-US" w:eastAsia="zh-CN"/>
        </w:rPr>
      </w:pPr>
      <w:r>
        <w:rPr>
          <w:rFonts w:hint="eastAsia"/>
          <w:lang w:val="en-US" w:eastAsia="zh-CN"/>
        </w:rPr>
        <w:t>水质监测站配件需求</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5"/>
        <w:gridCol w:w="688"/>
        <w:gridCol w:w="674"/>
        <w:gridCol w:w="724"/>
        <w:gridCol w:w="754"/>
        <w:gridCol w:w="751"/>
        <w:gridCol w:w="696"/>
        <w:gridCol w:w="724"/>
        <w:gridCol w:w="649"/>
        <w:gridCol w:w="510"/>
        <w:gridCol w:w="645"/>
        <w:gridCol w:w="570"/>
        <w:gridCol w:w="6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站点</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氨氮仪器触摸屏</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氨氮仪器液位传感器</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氨氮仪器沉淀池进样电磁阀</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总磷仪器触摸屏</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五参数仪器PH探头</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五参数仪器浊度探头</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五参数仪器溶解氧探头</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潜水泵</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总磷仪器主板</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氨氮仪器主板</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COD十通阀液位传感器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社坛上杨家桥水质监测站</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保合三星桥水质监测站</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仁沙磨滩水质监测站</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bl>
    <w:p>
      <w:pPr>
        <w:pStyle w:val="6"/>
        <w:bidi w:val="0"/>
        <w:rPr>
          <w:rFonts w:hint="default"/>
          <w:lang w:val="en-US" w:eastAsia="zh-CN"/>
        </w:rPr>
      </w:pPr>
      <w:bookmarkStart w:id="232" w:name="_Toc2695"/>
      <w:r>
        <w:rPr>
          <w:rFonts w:hint="eastAsia"/>
          <w:lang w:val="en-US" w:eastAsia="zh-CN"/>
        </w:rPr>
        <w:t>视频站操作系统和移动终端</w:t>
      </w:r>
      <w:bookmarkEnd w:id="232"/>
    </w:p>
    <w:p>
      <w:pPr>
        <w:rPr>
          <w:rFonts w:hint="eastAsia"/>
          <w:lang w:eastAsia="zh-CN"/>
        </w:rPr>
      </w:pPr>
      <w:r>
        <w:rPr>
          <w:rFonts w:hint="eastAsia"/>
          <w:lang w:val="en-US" w:eastAsia="zh-CN"/>
        </w:rPr>
        <w:t>丰都县水利局在移民安置区的应急事件处理专项工作量与业务量有所增加，针对三合街道、名山街</w:t>
      </w:r>
      <w:r>
        <w:rPr>
          <w:rFonts w:hint="eastAsia" w:ascii="宋体" w:hAnsi="宋体" w:eastAsia="宋体" w:cs="宋体"/>
          <w:lang w:val="en-US" w:eastAsia="zh-CN"/>
        </w:rPr>
        <w:t>道、高家镇等移民安置区的应急能力提升需要</w:t>
      </w:r>
      <w:r>
        <w:rPr>
          <w:rFonts w:hint="eastAsia"/>
          <w:lang w:val="en-US" w:eastAsia="zh-CN"/>
        </w:rPr>
        <w:t>增加15台操作终端、6个移动设备终端</w:t>
      </w:r>
      <w:r>
        <w:rPr>
          <w:rFonts w:hint="eastAsia"/>
          <w:lang w:eastAsia="zh-CN"/>
        </w:rPr>
        <w:t>。</w:t>
      </w:r>
    </w:p>
    <w:p>
      <w:pPr>
        <w:pStyle w:val="36"/>
        <w:bidi w:val="0"/>
        <w:rPr>
          <w:rFonts w:hint="eastAsia" w:ascii="宋体" w:hAnsi="宋体" w:eastAsia="宋体" w:cs="Times New Roman"/>
          <w:lang w:val="en-US" w:eastAsia="zh-CN"/>
        </w:rPr>
      </w:pPr>
      <w:r>
        <w:rPr>
          <w:rFonts w:hint="eastAsia" w:ascii="宋体" w:hAnsi="宋体" w:eastAsia="宋体" w:cs="Times New Roman"/>
          <w:lang w:val="en-US" w:eastAsia="zh-CN"/>
        </w:rPr>
        <w:t>终端建设需求表</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4"/>
        <w:gridCol w:w="3636"/>
        <w:gridCol w:w="1386"/>
        <w:gridCol w:w="2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站点</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操作终端</w:t>
            </w:r>
          </w:p>
        </w:tc>
        <w:tc>
          <w:tcPr>
            <w:tcW w:w="1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移动设备终端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三合街道</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5</w:t>
            </w:r>
          </w:p>
        </w:tc>
        <w:tc>
          <w:tcPr>
            <w:tcW w:w="1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名山街道</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5</w:t>
            </w:r>
          </w:p>
        </w:tc>
        <w:tc>
          <w:tcPr>
            <w:tcW w:w="1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高家镇</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5</w:t>
            </w:r>
          </w:p>
        </w:tc>
        <w:tc>
          <w:tcPr>
            <w:tcW w:w="1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4</w:t>
            </w:r>
          </w:p>
        </w:tc>
        <w:tc>
          <w:tcPr>
            <w:tcW w:w="2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15</w:t>
            </w:r>
          </w:p>
        </w:tc>
        <w:tc>
          <w:tcPr>
            <w:tcW w:w="1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bl>
    <w:p>
      <w:pPr>
        <w:pStyle w:val="5"/>
        <w:keepNext w:val="0"/>
        <w:rPr>
          <w:rFonts w:hint="default"/>
          <w:color w:val="auto"/>
        </w:rPr>
      </w:pPr>
      <w:bookmarkStart w:id="233" w:name="_Toc21678"/>
      <w:r>
        <w:rPr>
          <w:rFonts w:hint="eastAsia"/>
          <w:color w:val="auto"/>
          <w:lang w:val="en-US" w:eastAsia="zh-CN"/>
        </w:rPr>
        <w:t>网络系统设计</w:t>
      </w:r>
      <w:bookmarkEnd w:id="233"/>
    </w:p>
    <w:p>
      <w:pPr>
        <w:pStyle w:val="6"/>
        <w:bidi w:val="0"/>
        <w:rPr>
          <w:rFonts w:hint="default" w:cs="宋体"/>
          <w:lang w:val="en-US" w:eastAsia="zh-CN"/>
        </w:rPr>
      </w:pPr>
      <w:bookmarkStart w:id="234" w:name="_Toc26131"/>
      <w:r>
        <w:rPr>
          <w:rFonts w:hint="eastAsia" w:cs="宋体"/>
          <w:lang w:val="en-US" w:eastAsia="zh-CN"/>
        </w:rPr>
        <w:t>新建前端视频汇聚专网设计</w:t>
      </w:r>
      <w:bookmarkEnd w:id="234"/>
    </w:p>
    <w:p>
      <w:pPr>
        <w:rPr>
          <w:rFonts w:hint="eastAsia" w:ascii="宋体" w:hAnsi="宋体" w:eastAsia="宋体" w:cs="宋体"/>
          <w:spacing w:val="11"/>
          <w:sz w:val="24"/>
        </w:rPr>
      </w:pPr>
      <w:r>
        <w:rPr>
          <w:rFonts w:hint="eastAsia" w:ascii="宋体" w:hAnsi="宋体" w:eastAsia="宋体" w:cs="宋体"/>
          <w:spacing w:val="11"/>
          <w:sz w:val="24"/>
          <w:lang w:val="en-US" w:eastAsia="zh-CN"/>
        </w:rPr>
        <w:t>本项目</w:t>
      </w:r>
      <w:r>
        <w:rPr>
          <w:rFonts w:hint="eastAsia" w:ascii="宋体" w:hAnsi="宋体" w:eastAsia="宋体" w:cs="宋体"/>
          <w:spacing w:val="11"/>
          <w:sz w:val="24"/>
        </w:rPr>
        <w:t>前端运营商专线经运营商汇聚后接入视频专网核心交换机。本项目新建</w:t>
      </w:r>
      <w:r>
        <w:rPr>
          <w:rFonts w:hint="eastAsia" w:cs="宋体"/>
          <w:spacing w:val="11"/>
          <w:sz w:val="24"/>
          <w:lang w:val="en-US" w:eastAsia="zh-CN"/>
        </w:rPr>
        <w:t>309</w:t>
      </w:r>
      <w:r>
        <w:rPr>
          <w:rFonts w:hint="eastAsia" w:ascii="宋体" w:hAnsi="宋体" w:eastAsia="宋体" w:cs="宋体"/>
          <w:spacing w:val="11"/>
          <w:sz w:val="24"/>
        </w:rPr>
        <w:t>台前端视频设备码流共约</w:t>
      </w:r>
      <w:r>
        <w:rPr>
          <w:rFonts w:hint="eastAsia" w:cs="宋体"/>
          <w:spacing w:val="11"/>
          <w:sz w:val="24"/>
          <w:lang w:val="en-US" w:eastAsia="zh-CN"/>
        </w:rPr>
        <w:t>6180</w:t>
      </w:r>
      <w:r>
        <w:rPr>
          <w:rFonts w:hint="eastAsia" w:ascii="宋体" w:hAnsi="宋体" w:eastAsia="宋体" w:cs="宋体"/>
          <w:spacing w:val="11"/>
          <w:sz w:val="24"/>
        </w:rPr>
        <w:t>Mbps，考虑网络链路轻载，运营商应提供不小于</w:t>
      </w:r>
      <w:r>
        <w:rPr>
          <w:rFonts w:hint="eastAsia" w:ascii="宋体" w:hAnsi="宋体" w:eastAsia="宋体" w:cs="宋体"/>
          <w:spacing w:val="11"/>
          <w:sz w:val="24"/>
          <w:lang w:val="en-US" w:eastAsia="zh-CN"/>
        </w:rPr>
        <w:t>1</w:t>
      </w:r>
      <w:r>
        <w:rPr>
          <w:rFonts w:hint="eastAsia" w:cs="宋体"/>
          <w:spacing w:val="11"/>
          <w:sz w:val="24"/>
          <w:lang w:val="en-US" w:eastAsia="zh-CN"/>
        </w:rPr>
        <w:t>2</w:t>
      </w:r>
      <w:r>
        <w:rPr>
          <w:rFonts w:hint="eastAsia" w:ascii="宋体" w:hAnsi="宋体" w:eastAsia="宋体" w:cs="宋体"/>
          <w:spacing w:val="11"/>
          <w:sz w:val="24"/>
        </w:rPr>
        <w:t>Gbps带宽链路接入视频专网核心交换机。</w:t>
      </w:r>
    </w:p>
    <w:p>
      <w:pPr>
        <w:pStyle w:val="16"/>
        <w:rPr>
          <w:rFonts w:hint="eastAsia" w:cs="宋体"/>
          <w:spacing w:val="11"/>
          <w:sz w:val="24"/>
          <w:lang w:val="en-US" w:eastAsia="zh-CN"/>
        </w:rPr>
      </w:pPr>
      <w:r>
        <w:rPr>
          <w:rFonts w:hint="eastAsia" w:cs="宋体"/>
          <w:spacing w:val="11"/>
          <w:sz w:val="24"/>
          <w:lang w:val="en-US" w:eastAsia="zh-CN"/>
        </w:rPr>
        <w:t>具体如下表：</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0"/>
        <w:gridCol w:w="1788"/>
        <w:gridCol w:w="1183"/>
        <w:gridCol w:w="1961"/>
        <w:gridCol w:w="840"/>
        <w:gridCol w:w="1128"/>
        <w:gridCol w:w="8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0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链路</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链路类型</w:t>
            </w:r>
          </w:p>
        </w:tc>
        <w:tc>
          <w:tcPr>
            <w:tcW w:w="1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链路要求</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带宽</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数量（条）</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总带宽需求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前端监控点数据专线1</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数据专线</w:t>
            </w:r>
          </w:p>
        </w:tc>
        <w:tc>
          <w:tcPr>
            <w:tcW w:w="1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固定IP、上下行带宽对称</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0M</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220</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4400</w:t>
            </w:r>
            <w:r>
              <w:rPr>
                <w:rFonts w:hint="eastAsia" w:ascii="宋体" w:hAnsi="宋体" w:eastAsia="宋体" w:cs="宋体"/>
                <w:i w:val="0"/>
                <w:iCs w:val="0"/>
                <w:color w:val="000000"/>
                <w:kern w:val="0"/>
                <w:sz w:val="21"/>
                <w:szCs w:val="21"/>
                <w:u w:val="none"/>
                <w:lang w:val="en-US" w:eastAsia="zh-CN" w:bidi="ar"/>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前端监控点数据专线2</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数据专线</w:t>
            </w:r>
          </w:p>
        </w:tc>
        <w:tc>
          <w:tcPr>
            <w:tcW w:w="1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固定IP、上下行带宽对称</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0M</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32</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cs="宋体"/>
                <w:i w:val="0"/>
                <w:iCs w:val="0"/>
                <w:color w:val="000000"/>
                <w:kern w:val="0"/>
                <w:sz w:val="21"/>
                <w:szCs w:val="21"/>
                <w:u w:val="none"/>
                <w:lang w:val="en-US" w:eastAsia="zh-CN" w:bidi="ar"/>
              </w:rPr>
              <w:t>280</w:t>
            </w:r>
            <w:r>
              <w:rPr>
                <w:rFonts w:hint="eastAsia" w:ascii="宋体" w:hAnsi="宋体" w:eastAsia="宋体" w:cs="宋体"/>
                <w:i w:val="0"/>
                <w:iCs w:val="0"/>
                <w:color w:val="000000"/>
                <w:kern w:val="0"/>
                <w:sz w:val="21"/>
                <w:szCs w:val="21"/>
                <w:u w:val="none"/>
                <w:lang w:val="en-US" w:eastAsia="zh-CN" w:bidi="ar"/>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前端监控点数据专线3</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数据专线</w:t>
            </w:r>
          </w:p>
        </w:tc>
        <w:tc>
          <w:tcPr>
            <w:tcW w:w="1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固定IP、上下行带宽对称</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0M</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7</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420</w:t>
            </w:r>
            <w:r>
              <w:rPr>
                <w:rFonts w:hint="eastAsia" w:ascii="宋体" w:hAnsi="宋体" w:eastAsia="宋体" w:cs="宋体"/>
                <w:i w:val="0"/>
                <w:iCs w:val="0"/>
                <w:color w:val="000000"/>
                <w:kern w:val="0"/>
                <w:sz w:val="21"/>
                <w:szCs w:val="21"/>
                <w:u w:val="none"/>
                <w:lang w:val="en-US" w:eastAsia="zh-CN" w:bidi="ar"/>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4</w:t>
            </w:r>
          </w:p>
        </w:tc>
        <w:tc>
          <w:tcPr>
            <w:tcW w:w="10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前端监控点数据专线4</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数据专线</w:t>
            </w:r>
          </w:p>
        </w:tc>
        <w:tc>
          <w:tcPr>
            <w:tcW w:w="1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固定IP、上下行带宽对称</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80M</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1</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80M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5</w:t>
            </w:r>
          </w:p>
        </w:tc>
        <w:tc>
          <w:tcPr>
            <w:tcW w:w="10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6180</w:t>
            </w:r>
            <w:r>
              <w:rPr>
                <w:rFonts w:hint="eastAsia" w:ascii="宋体" w:hAnsi="宋体" w:eastAsia="宋体" w:cs="宋体"/>
                <w:i w:val="0"/>
                <w:iCs w:val="0"/>
                <w:color w:val="000000"/>
                <w:kern w:val="0"/>
                <w:sz w:val="21"/>
                <w:szCs w:val="21"/>
                <w:u w:val="none"/>
                <w:lang w:val="en-US" w:eastAsia="zh-CN" w:bidi="ar"/>
              </w:rPr>
              <w:t>M</w:t>
            </w:r>
          </w:p>
        </w:tc>
      </w:tr>
    </w:tbl>
    <w:p>
      <w:pPr>
        <w:rPr>
          <w:rFonts w:hint="default"/>
          <w:lang w:val="en-US" w:eastAsia="zh-CN"/>
        </w:rPr>
      </w:pPr>
    </w:p>
    <w:p>
      <w:pPr>
        <w:pStyle w:val="6"/>
        <w:bidi w:val="0"/>
        <w:rPr>
          <w:rFonts w:hint="default" w:cs="宋体"/>
          <w:lang w:val="en-US" w:eastAsia="zh-CN"/>
        </w:rPr>
      </w:pPr>
      <w:bookmarkStart w:id="235" w:name="_Toc17672"/>
      <w:r>
        <w:rPr>
          <w:rFonts w:hint="eastAsia" w:cs="宋体"/>
          <w:lang w:val="en-US" w:eastAsia="zh-CN"/>
        </w:rPr>
        <w:t>水利局数据传输专网设计</w:t>
      </w:r>
      <w:bookmarkEnd w:id="235"/>
    </w:p>
    <w:p>
      <w:pPr>
        <w:rPr>
          <w:rFonts w:hint="eastAsia"/>
          <w:lang w:val="en-US" w:eastAsia="zh-CN"/>
        </w:rPr>
      </w:pPr>
      <w:r>
        <w:rPr>
          <w:rFonts w:hint="eastAsia"/>
          <w:lang w:val="en-US" w:eastAsia="zh-CN"/>
        </w:rPr>
        <w:t>本次采用租用运营商网络的方式进行建设，增加三条100M的互联网专线链路，分别是包鸾水文站至水利局、仁沙水文站至水利局、社坛水文站至水利局。</w:t>
      </w:r>
    </w:p>
    <w:p>
      <w:pPr>
        <w:rPr>
          <w:rFonts w:hint="eastAsia"/>
          <w:lang w:val="en-US" w:eastAsia="zh-CN"/>
        </w:rPr>
      </w:pPr>
      <w:r>
        <w:rPr>
          <w:rFonts w:hint="eastAsia"/>
          <w:lang w:val="en-US" w:eastAsia="zh-CN"/>
        </w:rPr>
        <w:t>保留景区花园视频站、石柱江池交界视频站、李佛渡视频站、雪玉洞视频站、九溪沟视频站、绿春坝视频站、大河坝视频站、善福桥视频站、两汇口视频站、九重天负氧离子站、香岩湾雨量站、小湾雨量站、打谷坝雨量站、三建水位站以及碧溪河3个视频站至水利局的链路，共计17条10M运营商链路。</w:t>
      </w:r>
    </w:p>
    <w:p>
      <w:pPr>
        <w:rPr>
          <w:rFonts w:hint="eastAsia"/>
          <w:lang w:val="en-US" w:eastAsia="zh-CN"/>
        </w:rPr>
      </w:pPr>
      <w:r>
        <w:rPr>
          <w:rFonts w:hint="eastAsia"/>
          <w:lang w:val="en-US" w:eastAsia="zh-CN"/>
        </w:rPr>
        <w:t>具体如下表：</w:t>
      </w:r>
    </w:p>
    <w:p>
      <w:pPr>
        <w:pStyle w:val="40"/>
        <w:bidi w:val="0"/>
        <w:rPr>
          <w:rFonts w:hint="default"/>
          <w:lang w:val="en-US" w:eastAsia="zh-CN"/>
        </w:rPr>
      </w:pPr>
      <w:r>
        <w:rPr>
          <w:rFonts w:hint="eastAsia"/>
          <w:lang w:val="en-US" w:eastAsia="zh-CN"/>
        </w:rPr>
        <w:t>传输带宽需求</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2"/>
        <w:gridCol w:w="1775"/>
        <w:gridCol w:w="1165"/>
        <w:gridCol w:w="1992"/>
        <w:gridCol w:w="816"/>
        <w:gridCol w:w="1104"/>
        <w:gridCol w:w="9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0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链路</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链路类型</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链路要求</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带宽</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数量（条）</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总带宽需求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包鸾水文站至水利局</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互联网专线</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固定IP、上下行带宽对称</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仁沙水文站至水利局</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互联网专线</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固定IP、上下行带宽对称</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社坛水文站至水利局</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互联网专线</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固定IP、上下行带宽对称</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4</w:t>
            </w:r>
          </w:p>
        </w:tc>
        <w:tc>
          <w:tcPr>
            <w:tcW w:w="10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视频站至水利局</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互联网专线</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固定IP、上下行带宽对称</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10M</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17</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170M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5</w:t>
            </w:r>
          </w:p>
        </w:tc>
        <w:tc>
          <w:tcPr>
            <w:tcW w:w="10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47</w:t>
            </w:r>
            <w:r>
              <w:rPr>
                <w:rFonts w:hint="eastAsia" w:ascii="宋体" w:hAnsi="宋体" w:eastAsia="宋体" w:cs="宋体"/>
                <w:i w:val="0"/>
                <w:iCs w:val="0"/>
                <w:color w:val="000000"/>
                <w:kern w:val="0"/>
                <w:sz w:val="21"/>
                <w:szCs w:val="21"/>
                <w:u w:val="none"/>
                <w:lang w:val="en-US" w:eastAsia="zh-CN" w:bidi="ar"/>
              </w:rPr>
              <w:t>0M</w:t>
            </w:r>
          </w:p>
        </w:tc>
      </w:tr>
    </w:tbl>
    <w:p>
      <w:pPr>
        <w:pStyle w:val="6"/>
        <w:tabs>
          <w:tab w:val="left" w:pos="720"/>
        </w:tabs>
        <w:spacing w:before="289" w:after="289"/>
      </w:pPr>
      <w:bookmarkStart w:id="236" w:name="_Toc11842"/>
      <w:bookmarkStart w:id="237" w:name="_Toc11782"/>
      <w:bookmarkStart w:id="238" w:name="_Toc1707"/>
      <w:bookmarkStart w:id="239" w:name="_Toc27384968"/>
      <w:bookmarkStart w:id="240" w:name="_Toc17753"/>
      <w:r>
        <w:t>IP地址规划</w:t>
      </w:r>
      <w:bookmarkEnd w:id="236"/>
      <w:bookmarkEnd w:id="237"/>
      <w:bookmarkEnd w:id="238"/>
    </w:p>
    <w:p>
      <w:pPr>
        <w:ind w:firstLine="512"/>
        <w:rPr>
          <w:rFonts w:ascii="宋体" w:hAnsi="宋体" w:cs="宋体"/>
        </w:rPr>
      </w:pPr>
      <w:r>
        <w:rPr>
          <w:rFonts w:hint="eastAsia" w:ascii="宋体" w:hAnsi="宋体" w:cs="宋体"/>
        </w:rPr>
        <w:t>IP地址的合理分配是保证系列网络顺利运行和网络资源有效利用的关键。对于系列网络IP地址的分配应该尽可能地利用市局下发的地址空间，充分考虑到地址空间的合理使用，保证实现最佳的网络内地址分配及业务流量的均匀分布。</w:t>
      </w:r>
    </w:p>
    <w:p>
      <w:pPr>
        <w:ind w:firstLine="512"/>
        <w:rPr>
          <w:rFonts w:ascii="宋体" w:hAnsi="宋体" w:cs="宋体"/>
        </w:rPr>
      </w:pPr>
      <w:r>
        <w:rPr>
          <w:rFonts w:hint="eastAsia" w:ascii="宋体" w:hAnsi="宋体" w:cs="宋体"/>
        </w:rPr>
        <w:t>IP地址空间的分配与合理使用与网络拓扑结构、网络组织及路由有非常密切的关系，将对系列网络的可用性、可靠性与有效性产生显著影响。因此在对系列网络IP地址进行规划建设的同时，应充分考虑本地网对IP地址的需求，以满足未来业务发展对IP地址的需求。</w:t>
      </w:r>
    </w:p>
    <w:p>
      <w:pPr>
        <w:ind w:firstLine="512"/>
        <w:rPr>
          <w:rFonts w:ascii="宋体" w:hAnsi="宋体" w:cs="宋体"/>
        </w:rPr>
      </w:pPr>
      <w:r>
        <w:rPr>
          <w:rFonts w:hint="eastAsia" w:ascii="宋体" w:hAnsi="宋体" w:cs="宋体"/>
        </w:rPr>
        <w:t>IP地址规划遵循以下原则：</w:t>
      </w:r>
    </w:p>
    <w:p>
      <w:pPr>
        <w:numPr>
          <w:ilvl w:val="0"/>
          <w:numId w:val="44"/>
        </w:numPr>
        <w:ind w:left="0" w:firstLine="512"/>
        <w:rPr>
          <w:rFonts w:ascii="宋体" w:hAnsi="宋体" w:cs="宋体"/>
        </w:rPr>
      </w:pPr>
      <w:r>
        <w:rPr>
          <w:rFonts w:hint="eastAsia" w:ascii="宋体" w:hAnsi="宋体" w:cs="宋体"/>
        </w:rPr>
        <w:t>IP地址的规划与划分应该考虑到系列网络的飞速发展，能够满足未来发展的需要；即要满足本期工程对IP地址的需求，同时要充分考虑未来业务发展，预留相应的地址段。</w:t>
      </w:r>
    </w:p>
    <w:p>
      <w:pPr>
        <w:numPr>
          <w:ilvl w:val="0"/>
          <w:numId w:val="44"/>
        </w:numPr>
        <w:ind w:left="0" w:firstLine="512"/>
        <w:rPr>
          <w:rFonts w:ascii="宋体" w:hAnsi="宋体" w:cs="宋体"/>
        </w:rPr>
      </w:pPr>
      <w:r>
        <w:rPr>
          <w:rFonts w:hint="eastAsia" w:ascii="宋体" w:hAnsi="宋体" w:cs="宋体"/>
        </w:rPr>
        <w:t>IP地址的分配需要有足够的灵活性，能够满足各种用户接入的需要。</w:t>
      </w:r>
    </w:p>
    <w:p>
      <w:pPr>
        <w:numPr>
          <w:ilvl w:val="0"/>
          <w:numId w:val="44"/>
        </w:numPr>
        <w:ind w:left="0" w:firstLine="512"/>
        <w:rPr>
          <w:rFonts w:ascii="宋体" w:hAnsi="宋体" w:cs="宋体"/>
        </w:rPr>
      </w:pPr>
      <w:r>
        <w:rPr>
          <w:rFonts w:hint="eastAsia" w:ascii="宋体" w:hAnsi="宋体" w:cs="宋体"/>
        </w:rPr>
        <w:t>每个城区内部的IPC的IP地址由本网统一分配，IPC的地址尽量连续整齐。</w:t>
      </w:r>
    </w:p>
    <w:p>
      <w:pPr>
        <w:numPr>
          <w:ilvl w:val="0"/>
          <w:numId w:val="44"/>
        </w:numPr>
        <w:ind w:left="0" w:firstLine="512"/>
        <w:rPr>
          <w:rFonts w:ascii="宋体" w:hAnsi="宋体" w:cs="宋体"/>
        </w:rPr>
      </w:pPr>
      <w:r>
        <w:rPr>
          <w:rFonts w:hint="eastAsia" w:ascii="宋体" w:hAnsi="宋体" w:cs="宋体"/>
        </w:rPr>
        <w:t>每个城区分配一段专用地址；全网IPC的地址统一分配，不遵从所在区域的IP地址规划。</w:t>
      </w:r>
    </w:p>
    <w:p>
      <w:pPr>
        <w:numPr>
          <w:ilvl w:val="0"/>
          <w:numId w:val="44"/>
        </w:numPr>
        <w:ind w:left="0" w:firstLine="512"/>
        <w:rPr>
          <w:rFonts w:ascii="宋体" w:hAnsi="宋体" w:cs="宋体"/>
        </w:rPr>
      </w:pPr>
      <w:r>
        <w:rPr>
          <w:rFonts w:hint="eastAsia" w:ascii="宋体" w:hAnsi="宋体" w:cs="宋体"/>
        </w:rPr>
        <w:t>单独开辟一大段地址来作为全网专用的设备互联地址，全部使用30位掩码进行分段。</w:t>
      </w:r>
    </w:p>
    <w:p>
      <w:pPr>
        <w:numPr>
          <w:ilvl w:val="0"/>
          <w:numId w:val="44"/>
        </w:numPr>
        <w:ind w:left="0" w:firstLine="512"/>
        <w:rPr>
          <w:rFonts w:ascii="宋体" w:hAnsi="宋体" w:cs="宋体"/>
        </w:rPr>
      </w:pPr>
      <w:r>
        <w:rPr>
          <w:rFonts w:hint="eastAsia" w:ascii="宋体" w:hAnsi="宋体" w:cs="宋体"/>
        </w:rPr>
        <w:t>单独开辟一段地址作为标示每台网络设备的LOOPBACK地址，全部使用32位掩码进行分段。</w:t>
      </w:r>
    </w:p>
    <w:p>
      <w:pPr>
        <w:numPr>
          <w:ilvl w:val="0"/>
          <w:numId w:val="44"/>
        </w:numPr>
        <w:ind w:left="0" w:firstLine="512"/>
        <w:rPr>
          <w:rFonts w:ascii="宋体" w:hAnsi="宋体" w:cs="宋体"/>
        </w:rPr>
      </w:pPr>
      <w:r>
        <w:rPr>
          <w:rFonts w:hint="eastAsia" w:ascii="宋体" w:hAnsi="宋体" w:cs="宋体"/>
        </w:rPr>
        <w:t>全网设备使用统一规划的网管地址，尽量保持连续使用。</w:t>
      </w:r>
    </w:p>
    <w:p>
      <w:pPr>
        <w:numPr>
          <w:ilvl w:val="0"/>
          <w:numId w:val="44"/>
        </w:numPr>
        <w:ind w:left="0" w:firstLine="512"/>
        <w:rPr>
          <w:rFonts w:ascii="宋体" w:hAnsi="宋体" w:cs="宋体"/>
        </w:rPr>
      </w:pPr>
      <w:r>
        <w:rPr>
          <w:rFonts w:hint="eastAsia" w:ascii="宋体" w:hAnsi="宋体" w:cs="宋体"/>
        </w:rPr>
        <w:t>所有的IP地址规划必须以文字形式在网络建设之初到网络正式交付使用进行记录管理；IP地址不可以随意使用，所有的IP地址使用必须严格遵从一开始定义的规划。</w:t>
      </w:r>
    </w:p>
    <w:p>
      <w:pPr>
        <w:numPr>
          <w:ilvl w:val="0"/>
          <w:numId w:val="44"/>
        </w:numPr>
        <w:ind w:left="0" w:firstLine="512"/>
      </w:pPr>
      <w:r>
        <w:rPr>
          <w:rFonts w:hint="eastAsia" w:ascii="宋体" w:hAnsi="宋体" w:cs="宋体"/>
        </w:rPr>
        <w:t>整网IP地址分配和路由协议支持VLSM，以充分利用地址空间。支持CIDR，以利于减少路由表大小，提高路由效率。</w:t>
      </w:r>
    </w:p>
    <w:p>
      <w:pPr>
        <w:pStyle w:val="6"/>
        <w:tabs>
          <w:tab w:val="left" w:pos="720"/>
        </w:tabs>
        <w:spacing w:before="289" w:after="289"/>
      </w:pPr>
      <w:bookmarkStart w:id="241" w:name="_Toc30585"/>
      <w:bookmarkStart w:id="242" w:name="_Toc17678"/>
      <w:bookmarkStart w:id="243" w:name="_Toc7791"/>
      <w:r>
        <w:t>路由规划</w:t>
      </w:r>
      <w:bookmarkEnd w:id="239"/>
      <w:bookmarkEnd w:id="240"/>
      <w:bookmarkEnd w:id="241"/>
      <w:bookmarkEnd w:id="242"/>
      <w:bookmarkEnd w:id="243"/>
    </w:p>
    <w:p>
      <w:pPr>
        <w:ind w:firstLine="512"/>
        <w:rPr>
          <w:rFonts w:ascii="宋体" w:hAnsi="宋体" w:cs="宋体"/>
        </w:rPr>
      </w:pPr>
      <w:r>
        <w:rPr>
          <w:rFonts w:hint="eastAsia" w:ascii="宋体" w:hAnsi="宋体" w:cs="宋体"/>
        </w:rPr>
        <w:t>考虑到设备配置采用成熟的先进技术，延长系统的生命周期的原则，核心、汇聚层设备应满足对IPV6协议栈的支持，采用OSPF动态路由协议实现全网互通。</w:t>
      </w:r>
    </w:p>
    <w:p>
      <w:pPr>
        <w:ind w:firstLine="512"/>
      </w:pPr>
      <w:r>
        <w:t>路由设计原则</w:t>
      </w:r>
    </w:p>
    <w:p>
      <w:pPr>
        <w:ind w:firstLine="512"/>
      </w:pPr>
      <w:r>
        <w:t>1、网络的可靠性：通过动态路由协议的实施，在网络拓扑的配合下，避免网络中出现的单故障点，提高网络的生存能力。</w:t>
      </w:r>
    </w:p>
    <w:p>
      <w:pPr>
        <w:ind w:firstLine="512"/>
      </w:pPr>
      <w:r>
        <w:t>2、流量的负载分担：必须使网络的流量能够比较合理地分布在各条电路上。</w:t>
      </w:r>
    </w:p>
    <w:p>
      <w:pPr>
        <w:ind w:firstLine="512"/>
      </w:pPr>
      <w:r>
        <w:t>3、网络的扩展性：使得网络的扩展可以在现有的网络的基础上通过简单的增加设备和提高电路带宽的方法来解决。</w:t>
      </w:r>
    </w:p>
    <w:p>
      <w:pPr>
        <w:ind w:firstLine="512"/>
      </w:pPr>
      <w:r>
        <w:t>4、对业务流量模型变化的适应性：未来网络的业务流量模型将会随业务的发展而不断发生变化，因此路由策略可以根据流量变化方便进行调整。</w:t>
      </w:r>
    </w:p>
    <w:p>
      <w:pPr>
        <w:ind w:firstLine="512"/>
      </w:pPr>
      <w:r>
        <w:t>5、降低管理复杂程度：路由协议应使得故障定位和流量的调整的难度和复杂性降低。</w:t>
      </w:r>
    </w:p>
    <w:p>
      <w:pPr>
        <w:pStyle w:val="6"/>
        <w:tabs>
          <w:tab w:val="left" w:pos="720"/>
        </w:tabs>
        <w:spacing w:before="289" w:after="289"/>
      </w:pPr>
      <w:bookmarkStart w:id="244" w:name="_Toc27384969"/>
      <w:bookmarkStart w:id="245" w:name="_Toc13998"/>
      <w:bookmarkStart w:id="246" w:name="_Toc13058"/>
      <w:bookmarkStart w:id="247" w:name="_Toc11237"/>
      <w:bookmarkStart w:id="248" w:name="_Toc6279"/>
      <w:r>
        <w:t>VLAN规划</w:t>
      </w:r>
      <w:bookmarkEnd w:id="244"/>
      <w:bookmarkEnd w:id="245"/>
      <w:bookmarkEnd w:id="246"/>
      <w:bookmarkEnd w:id="247"/>
      <w:bookmarkEnd w:id="248"/>
    </w:p>
    <w:p>
      <w:pPr>
        <w:ind w:firstLine="512"/>
        <w:rPr>
          <w:rFonts w:ascii="宋体" w:hAnsi="宋体" w:cs="宋体"/>
        </w:rPr>
      </w:pPr>
      <w:r>
        <w:rPr>
          <w:rFonts w:hint="eastAsia" w:ascii="宋体" w:hAnsi="宋体" w:cs="宋体"/>
        </w:rPr>
        <w:t>采用802.1Q标准划分VLAN，可支持4K个，可以按照不同部门的视频源进行VLAN划分，如有必要，也可以对针对某一个视频源划分VLAN进行隔离。</w:t>
      </w:r>
    </w:p>
    <w:p>
      <w:pPr>
        <w:pStyle w:val="6"/>
        <w:tabs>
          <w:tab w:val="left" w:pos="720"/>
        </w:tabs>
        <w:spacing w:before="289" w:after="289"/>
      </w:pPr>
      <w:bookmarkStart w:id="249" w:name="_Toc27384970"/>
      <w:bookmarkStart w:id="250" w:name="_Toc354"/>
      <w:bookmarkStart w:id="251" w:name="_Toc16243"/>
      <w:bookmarkStart w:id="252" w:name="_Toc30767"/>
      <w:bookmarkStart w:id="253" w:name="_Toc8136"/>
      <w:r>
        <w:t>对租用运营商专网的要求</w:t>
      </w:r>
      <w:bookmarkEnd w:id="249"/>
      <w:bookmarkEnd w:id="250"/>
      <w:bookmarkEnd w:id="251"/>
      <w:bookmarkEnd w:id="252"/>
      <w:bookmarkEnd w:id="253"/>
    </w:p>
    <w:p>
      <w:pPr>
        <w:ind w:firstLine="512"/>
      </w:pPr>
      <w:r>
        <w:rPr>
          <w:rFonts w:hint="eastAsia"/>
        </w:rPr>
        <w:t>本项目对租用运营商专网的要求如下：</w:t>
      </w:r>
    </w:p>
    <w:p>
      <w:pPr>
        <w:numPr>
          <w:ilvl w:val="0"/>
          <w:numId w:val="45"/>
        </w:numPr>
        <w:ind w:firstLine="512"/>
        <w:rPr>
          <w:rFonts w:ascii="宋体" w:hAnsi="宋体" w:cs="宋体"/>
          <w:szCs w:val="24"/>
        </w:rPr>
      </w:pPr>
      <w:r>
        <w:rPr>
          <w:rFonts w:hint="eastAsia" w:ascii="宋体" w:hAnsi="宋体" w:cs="宋体"/>
          <w:szCs w:val="24"/>
        </w:rPr>
        <w:t>网络具有接入全县前端监控点的能力；</w:t>
      </w:r>
    </w:p>
    <w:p>
      <w:pPr>
        <w:numPr>
          <w:ilvl w:val="0"/>
          <w:numId w:val="45"/>
        </w:numPr>
        <w:ind w:firstLine="512"/>
        <w:rPr>
          <w:rFonts w:ascii="宋体" w:hAnsi="宋体" w:cs="宋体"/>
          <w:szCs w:val="24"/>
        </w:rPr>
      </w:pPr>
      <w:r>
        <w:rPr>
          <w:rFonts w:hint="eastAsia" w:ascii="宋体" w:hAnsi="宋体" w:cs="宋体"/>
          <w:szCs w:val="24"/>
        </w:rPr>
        <w:t>网络具有支持QinQ、QOS的能力；</w:t>
      </w:r>
    </w:p>
    <w:p>
      <w:pPr>
        <w:numPr>
          <w:ilvl w:val="0"/>
          <w:numId w:val="45"/>
        </w:numPr>
        <w:ind w:firstLine="512"/>
        <w:rPr>
          <w:rFonts w:ascii="宋体" w:hAnsi="宋体" w:cs="宋体"/>
          <w:szCs w:val="24"/>
        </w:rPr>
      </w:pPr>
      <w:r>
        <w:rPr>
          <w:rFonts w:hint="eastAsia" w:ascii="宋体" w:hAnsi="宋体" w:cs="宋体"/>
          <w:szCs w:val="24"/>
        </w:rPr>
        <w:t>网络可用性应达到99.9％；</w:t>
      </w:r>
    </w:p>
    <w:p>
      <w:pPr>
        <w:numPr>
          <w:ilvl w:val="0"/>
          <w:numId w:val="45"/>
        </w:numPr>
        <w:ind w:firstLine="512"/>
        <w:rPr>
          <w:rFonts w:ascii="宋体" w:hAnsi="宋体" w:cs="宋体"/>
          <w:szCs w:val="24"/>
        </w:rPr>
      </w:pPr>
      <w:r>
        <w:rPr>
          <w:rFonts w:hint="eastAsia" w:ascii="宋体" w:hAnsi="宋体" w:cs="宋体"/>
          <w:szCs w:val="24"/>
        </w:rPr>
        <w:t>端到端单向平均抖动上限200ms；</w:t>
      </w:r>
    </w:p>
    <w:p>
      <w:pPr>
        <w:numPr>
          <w:ilvl w:val="0"/>
          <w:numId w:val="45"/>
        </w:numPr>
        <w:ind w:firstLine="512"/>
        <w:rPr>
          <w:rFonts w:ascii="宋体" w:hAnsi="宋体" w:cs="宋体"/>
          <w:szCs w:val="24"/>
        </w:rPr>
      </w:pPr>
      <w:r>
        <w:rPr>
          <w:rFonts w:hint="eastAsia" w:ascii="宋体" w:hAnsi="宋体" w:cs="宋体"/>
          <w:szCs w:val="24"/>
        </w:rPr>
        <w:t>端到端单向丢包率上限0.1%；</w:t>
      </w:r>
    </w:p>
    <w:p>
      <w:pPr>
        <w:numPr>
          <w:ilvl w:val="0"/>
          <w:numId w:val="45"/>
        </w:numPr>
        <w:ind w:firstLine="512"/>
        <w:rPr>
          <w:rFonts w:ascii="宋体" w:hAnsi="宋体" w:cs="宋体"/>
          <w:szCs w:val="24"/>
        </w:rPr>
      </w:pPr>
      <w:r>
        <w:rPr>
          <w:rFonts w:hint="eastAsia" w:ascii="宋体" w:hAnsi="宋体" w:cs="宋体"/>
          <w:szCs w:val="24"/>
        </w:rPr>
        <w:t>端到端单向包误差率上限0.01%。</w:t>
      </w:r>
    </w:p>
    <w:p>
      <w:pPr>
        <w:numPr>
          <w:ilvl w:val="0"/>
          <w:numId w:val="45"/>
        </w:numPr>
        <w:ind w:firstLine="512"/>
        <w:rPr>
          <w:rFonts w:ascii="宋体" w:hAnsi="宋体" w:cs="宋体"/>
          <w:szCs w:val="24"/>
        </w:rPr>
      </w:pPr>
      <w:r>
        <w:rPr>
          <w:rFonts w:hint="eastAsia" w:ascii="宋体" w:hAnsi="宋体" w:cs="宋体"/>
          <w:szCs w:val="24"/>
        </w:rPr>
        <w:t>平峰时段网络带宽利用率不超过50%；</w:t>
      </w:r>
    </w:p>
    <w:p>
      <w:pPr>
        <w:numPr>
          <w:ilvl w:val="0"/>
          <w:numId w:val="45"/>
        </w:numPr>
        <w:ind w:firstLine="512"/>
        <w:rPr>
          <w:rFonts w:ascii="宋体" w:hAnsi="宋体" w:cs="宋体"/>
          <w:szCs w:val="24"/>
        </w:rPr>
      </w:pPr>
      <w:r>
        <w:rPr>
          <w:rFonts w:hint="eastAsia" w:ascii="宋体" w:hAnsi="宋体" w:cs="宋体"/>
          <w:szCs w:val="24"/>
        </w:rPr>
        <w:t>高峰时段网络带宽利用率不超过70%；</w:t>
      </w:r>
    </w:p>
    <w:p>
      <w:pPr>
        <w:numPr>
          <w:ilvl w:val="0"/>
          <w:numId w:val="45"/>
        </w:numPr>
        <w:ind w:firstLine="512"/>
        <w:rPr>
          <w:rFonts w:hint="default"/>
          <w:lang w:val="en-US" w:eastAsia="zh-CN"/>
        </w:rPr>
      </w:pPr>
      <w:r>
        <w:rPr>
          <w:rFonts w:hint="eastAsia" w:ascii="宋体" w:hAnsi="宋体" w:cs="宋体"/>
          <w:szCs w:val="24"/>
        </w:rPr>
        <w:t>上下行带宽应对称。</w:t>
      </w:r>
    </w:p>
    <w:bookmarkEnd w:id="219"/>
    <w:bookmarkEnd w:id="220"/>
    <w:p>
      <w:pPr>
        <w:pStyle w:val="5"/>
        <w:keepNext w:val="0"/>
        <w:rPr>
          <w:rFonts w:hint="default"/>
          <w:color w:val="auto"/>
        </w:rPr>
      </w:pPr>
      <w:bookmarkStart w:id="254" w:name="_Toc18809"/>
      <w:bookmarkStart w:id="255" w:name="_Toc2414"/>
      <w:bookmarkStart w:id="256" w:name="_Toc15451"/>
      <w:r>
        <w:rPr>
          <w:color w:val="auto"/>
        </w:rPr>
        <w:t>安全系统设计</w:t>
      </w:r>
      <w:bookmarkEnd w:id="254"/>
      <w:bookmarkEnd w:id="255"/>
      <w:bookmarkEnd w:id="256"/>
    </w:p>
    <w:p>
      <w:pPr>
        <w:bidi w:val="0"/>
        <w:rPr>
          <w:rFonts w:hint="eastAsia"/>
          <w:lang w:val="en-US" w:eastAsia="zh-CN"/>
        </w:rPr>
      </w:pPr>
      <w:r>
        <w:rPr>
          <w:rFonts w:hint="eastAsia"/>
        </w:rPr>
        <w:t>本项目是在雪亮工程的基础上进行视频监控建设，安全系统</w:t>
      </w:r>
      <w:r>
        <w:rPr>
          <w:rFonts w:hint="eastAsia"/>
          <w:lang w:val="en-US" w:eastAsia="zh-CN"/>
        </w:rPr>
        <w:t>需要利旧</w:t>
      </w:r>
      <w:r>
        <w:rPr>
          <w:rFonts w:hint="eastAsia"/>
        </w:rPr>
        <w:t>雪亮工程项目的安全系统，</w:t>
      </w:r>
      <w:r>
        <w:rPr>
          <w:rFonts w:hint="eastAsia"/>
          <w:lang w:val="en-US" w:eastAsia="zh-CN"/>
        </w:rPr>
        <w:t>包括边界防护、系统应用防护和前端接入区防护等。其中</w:t>
      </w:r>
      <w:r>
        <w:t>视频安全准入管理系统</w:t>
      </w:r>
      <w:r>
        <w:rPr>
          <w:rFonts w:hint="eastAsia"/>
          <w:lang w:val="en-US" w:eastAsia="zh-CN"/>
        </w:rPr>
        <w:t>由</w:t>
      </w:r>
      <w:r>
        <w:rPr>
          <w:rFonts w:hint="eastAsia"/>
        </w:rPr>
        <w:t>雪亮</w:t>
      </w:r>
      <w:r>
        <w:rPr>
          <w:rFonts w:hint="eastAsia"/>
          <w:lang w:val="en-US" w:eastAsia="zh-CN"/>
        </w:rPr>
        <w:t>工程</w:t>
      </w:r>
      <w:r>
        <w:t>建设，</w:t>
      </w:r>
      <w:r>
        <w:rPr>
          <w:rFonts w:hint="eastAsia"/>
          <w:lang w:val="en-US" w:eastAsia="zh-CN"/>
        </w:rPr>
        <w:t>共计建设4</w:t>
      </w:r>
      <w:r>
        <w:rPr>
          <w:rFonts w:hint="eastAsia"/>
        </w:rPr>
        <w:t>000路视频</w:t>
      </w:r>
      <w:r>
        <w:rPr>
          <w:rFonts w:hint="eastAsia"/>
          <w:lang w:val="en-US" w:eastAsia="zh-CN"/>
        </w:rPr>
        <w:t>安全准入</w:t>
      </w:r>
      <w:r>
        <w:rPr>
          <w:rFonts w:hint="eastAsia"/>
          <w:lang w:eastAsia="zh-CN"/>
        </w:rPr>
        <w:t>，</w:t>
      </w:r>
      <w:r>
        <w:rPr>
          <w:rFonts w:hint="eastAsia"/>
          <w:lang w:val="en-US" w:eastAsia="zh-CN"/>
        </w:rPr>
        <w:t>目前已使用接近3000路，剩余量满足本次项目的使用。</w:t>
      </w:r>
    </w:p>
    <w:p>
      <w:pPr>
        <w:pStyle w:val="5"/>
        <w:keepNext w:val="0"/>
        <w:rPr>
          <w:rFonts w:hint="default"/>
          <w:color w:val="auto"/>
        </w:rPr>
      </w:pPr>
      <w:bookmarkStart w:id="257" w:name="_Toc22218"/>
      <w:r>
        <w:rPr>
          <w:rFonts w:hint="eastAsia"/>
          <w:color w:val="auto"/>
          <w:lang w:val="en-US" w:eastAsia="zh-CN"/>
        </w:rPr>
        <w:t>数据处理及</w:t>
      </w:r>
      <w:r>
        <w:rPr>
          <w:color w:val="auto"/>
        </w:rPr>
        <w:t>存储系统设计</w:t>
      </w:r>
      <w:bookmarkEnd w:id="221"/>
      <w:bookmarkEnd w:id="222"/>
      <w:bookmarkEnd w:id="257"/>
    </w:p>
    <w:p>
      <w:pPr>
        <w:pStyle w:val="6"/>
        <w:rPr>
          <w:rFonts w:hint="eastAsia"/>
          <w:color w:val="auto"/>
          <w:lang w:val="en-US" w:eastAsia="zh-CN"/>
        </w:rPr>
      </w:pPr>
      <w:bookmarkStart w:id="258" w:name="_Toc24949"/>
      <w:r>
        <w:rPr>
          <w:rFonts w:hint="eastAsia"/>
          <w:color w:val="auto"/>
          <w:lang w:val="en-US" w:eastAsia="zh-CN"/>
        </w:rPr>
        <w:t>数据处理系统设计</w:t>
      </w:r>
      <w:bookmarkEnd w:id="258"/>
    </w:p>
    <w:p>
      <w:pPr>
        <w:ind w:firstLine="520"/>
        <w:rPr>
          <w:highlight w:val="none"/>
        </w:rPr>
      </w:pPr>
      <w:r>
        <w:rPr>
          <w:rFonts w:hint="eastAsia"/>
          <w:highlight w:val="none"/>
          <w:lang w:val="en-US" w:eastAsia="zh-CN"/>
        </w:rPr>
        <w:t>本项目</w:t>
      </w:r>
      <w:r>
        <w:rPr>
          <w:rFonts w:hint="eastAsia"/>
          <w:highlight w:val="none"/>
        </w:rPr>
        <w:t>可利旧</w:t>
      </w:r>
      <w:r>
        <w:rPr>
          <w:rFonts w:hint="eastAsia"/>
          <w:highlight w:val="none"/>
          <w:lang w:val="en-US" w:eastAsia="zh-CN"/>
        </w:rPr>
        <w:t>丰都县公安局</w:t>
      </w:r>
      <w:r>
        <w:rPr>
          <w:rFonts w:hint="eastAsia"/>
          <w:highlight w:val="none"/>
        </w:rPr>
        <w:t>原有雪亮工程应用系统及数据库</w:t>
      </w:r>
      <w:r>
        <w:rPr>
          <w:rFonts w:hint="eastAsia"/>
          <w:highlight w:val="none"/>
          <w:lang w:eastAsia="zh-CN"/>
        </w:rPr>
        <w:t>，</w:t>
      </w:r>
      <w:r>
        <w:rPr>
          <w:rFonts w:hint="eastAsia"/>
          <w:highlight w:val="none"/>
        </w:rPr>
        <w:t>只建设前端</w:t>
      </w:r>
      <w:r>
        <w:rPr>
          <w:rFonts w:hint="eastAsia"/>
          <w:highlight w:val="none"/>
          <w:lang w:val="en-US" w:eastAsia="zh-CN"/>
        </w:rPr>
        <w:t>309</w:t>
      </w:r>
      <w:r>
        <w:rPr>
          <w:rFonts w:hint="eastAsia"/>
          <w:highlight w:val="none"/>
        </w:rPr>
        <w:t>路摄像机及后端存储，</w:t>
      </w:r>
      <w:r>
        <w:rPr>
          <w:rFonts w:hint="eastAsia"/>
          <w:highlight w:val="none"/>
          <w:lang w:val="en-US" w:eastAsia="zh-CN"/>
        </w:rPr>
        <w:t>故</w:t>
      </w:r>
      <w:r>
        <w:rPr>
          <w:rFonts w:hint="eastAsia"/>
          <w:highlight w:val="none"/>
        </w:rPr>
        <w:t>本次不涉及应用系统及数据库的建设。</w:t>
      </w:r>
    </w:p>
    <w:p>
      <w:pPr>
        <w:pStyle w:val="6"/>
        <w:rPr>
          <w:rFonts w:hint="eastAsia"/>
          <w:color w:val="auto"/>
          <w:lang w:val="en-US" w:eastAsia="zh-CN"/>
        </w:rPr>
      </w:pPr>
      <w:bookmarkStart w:id="259" w:name="_Toc29757"/>
      <w:r>
        <w:rPr>
          <w:rFonts w:hint="eastAsia"/>
          <w:color w:val="auto"/>
          <w:lang w:val="en-US" w:eastAsia="zh-CN"/>
        </w:rPr>
        <w:t>存储系统设计</w:t>
      </w:r>
      <w:bookmarkEnd w:id="259"/>
    </w:p>
    <w:p>
      <w:pPr>
        <w:ind w:firstLine="520"/>
        <w:rPr>
          <w:rFonts w:hint="eastAsia"/>
          <w:lang w:val="en-US" w:eastAsia="zh-CN"/>
        </w:rPr>
      </w:pPr>
      <w:r>
        <w:rPr>
          <w:rFonts w:hint="eastAsia"/>
          <w:lang w:val="en-US" w:eastAsia="zh-CN"/>
        </w:rPr>
        <w:t>本项目涉及到视频监控的存储资源和水利局服务器数据存储资源两部分。</w:t>
      </w:r>
    </w:p>
    <w:p>
      <w:pPr>
        <w:pStyle w:val="7"/>
        <w:bidi w:val="0"/>
        <w:rPr>
          <w:rFonts w:hint="default"/>
          <w:lang w:val="en-US" w:eastAsia="zh-CN"/>
        </w:rPr>
      </w:pPr>
      <w:r>
        <w:rPr>
          <w:rFonts w:hint="eastAsia"/>
          <w:lang w:val="en-US" w:eastAsia="zh-CN"/>
        </w:rPr>
        <w:t>视频监控的存储</w:t>
      </w:r>
    </w:p>
    <w:p>
      <w:pPr>
        <w:bidi w:val="0"/>
        <w:rPr>
          <w:rFonts w:hint="default"/>
          <w:lang w:val="en-US" w:eastAsia="zh-CN"/>
        </w:rPr>
      </w:pPr>
      <w:r>
        <w:rPr>
          <w:rFonts w:hint="eastAsia"/>
        </w:rPr>
        <w:t>由于本次</w:t>
      </w:r>
      <w:r>
        <w:rPr>
          <w:rFonts w:hint="eastAsia"/>
          <w:lang w:val="en-US" w:eastAsia="zh-CN"/>
        </w:rPr>
        <w:t>升级建设的</w:t>
      </w:r>
      <w:r>
        <w:rPr>
          <w:rFonts w:hint="eastAsia"/>
        </w:rPr>
        <w:t>摄像头为</w:t>
      </w:r>
      <w:r>
        <w:rPr>
          <w:rFonts w:hint="eastAsia"/>
          <w:lang w:val="en-US" w:eastAsia="zh-CN"/>
        </w:rPr>
        <w:t>三峡移民安置区</w:t>
      </w:r>
      <w:r>
        <w:rPr>
          <w:rFonts w:hint="eastAsia"/>
        </w:rPr>
        <w:t>的视频监控，</w:t>
      </w:r>
      <w:r>
        <w:rPr>
          <w:rFonts w:hint="eastAsia"/>
          <w:lang w:val="en-US" w:eastAsia="zh-CN"/>
        </w:rPr>
        <w:t>需要</w:t>
      </w:r>
      <w:r>
        <w:rPr>
          <w:rFonts w:hint="eastAsia"/>
        </w:rPr>
        <w:t>对</w:t>
      </w:r>
      <w:r>
        <w:rPr>
          <w:rFonts w:hint="eastAsia"/>
          <w:lang w:val="en-US" w:eastAsia="zh-CN"/>
        </w:rPr>
        <w:t>本项目的</w:t>
      </w:r>
      <w:r>
        <w:rPr>
          <w:rFonts w:hint="eastAsia"/>
        </w:rPr>
        <w:t>视频进行单独存储，所以本次考虑新建存储设备。</w:t>
      </w:r>
    </w:p>
    <w:p>
      <w:pPr>
        <w:bidi w:val="0"/>
      </w:pPr>
      <w:r>
        <w:rPr>
          <w:rFonts w:hint="eastAsia"/>
        </w:rPr>
        <w:t>由需求分析可知，本项目</w:t>
      </w:r>
      <w:r>
        <w:rPr>
          <w:rFonts w:hint="eastAsia"/>
          <w:lang w:val="en-US" w:eastAsia="zh-CN"/>
        </w:rPr>
        <w:t>的视频监控</w:t>
      </w:r>
      <w:r>
        <w:rPr>
          <w:rFonts w:hint="eastAsia"/>
        </w:rPr>
        <w:t>存储数据量汇总如下表所示：</w:t>
      </w:r>
    </w:p>
    <w:p>
      <w:pPr>
        <w:pStyle w:val="36"/>
        <w:bidi w:val="0"/>
        <w:rPr>
          <w:rFonts w:hint="default"/>
          <w:lang w:val="en-US" w:eastAsia="zh-CN"/>
        </w:rPr>
      </w:pPr>
      <w:r>
        <w:rPr>
          <w:rFonts w:hint="eastAsia"/>
          <w:lang w:val="en-US" w:eastAsia="zh-CN"/>
        </w:rPr>
        <w:t>存储需求</w:t>
      </w:r>
    </w:p>
    <w:tbl>
      <w:tblPr>
        <w:tblStyle w:val="28"/>
        <w:tblW w:w="5000" w:type="pct"/>
        <w:jc w:val="center"/>
        <w:tblLayout w:type="autofit"/>
        <w:tblCellMar>
          <w:top w:w="0" w:type="dxa"/>
          <w:left w:w="108" w:type="dxa"/>
          <w:bottom w:w="0" w:type="dxa"/>
          <w:right w:w="108" w:type="dxa"/>
        </w:tblCellMar>
      </w:tblPr>
      <w:tblGrid>
        <w:gridCol w:w="1103"/>
        <w:gridCol w:w="3289"/>
        <w:gridCol w:w="4079"/>
      </w:tblGrid>
      <w:tr>
        <w:tblPrEx>
          <w:tblCellMar>
            <w:top w:w="0" w:type="dxa"/>
            <w:left w:w="108" w:type="dxa"/>
            <w:bottom w:w="0" w:type="dxa"/>
            <w:right w:w="108" w:type="dxa"/>
          </w:tblCellMar>
        </w:tblPrEx>
        <w:trPr>
          <w:trHeight w:val="624" w:hRule="atLeast"/>
          <w:tblHeader/>
          <w:jc w:val="center"/>
        </w:trPr>
        <w:tc>
          <w:tcPr>
            <w:tcW w:w="65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hint="eastAsia" w:ascii="宋体" w:hAnsi="宋体" w:eastAsia="宋体" w:cs="宋体"/>
                <w:spacing w:val="0"/>
                <w:kern w:val="0"/>
                <w:sz w:val="21"/>
                <w:szCs w:val="21"/>
              </w:rPr>
            </w:pPr>
            <w:r>
              <w:rPr>
                <w:rFonts w:hint="eastAsia" w:ascii="宋体" w:hAnsi="宋体" w:eastAsia="宋体" w:cs="宋体"/>
                <w:spacing w:val="0"/>
                <w:kern w:val="0"/>
                <w:sz w:val="21"/>
                <w:szCs w:val="21"/>
              </w:rPr>
              <w:t>序号</w:t>
            </w:r>
          </w:p>
        </w:tc>
        <w:tc>
          <w:tcPr>
            <w:tcW w:w="1941" w:type="pct"/>
            <w:tcBorders>
              <w:top w:val="single" w:color="auto" w:sz="4" w:space="0"/>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hint="eastAsia" w:ascii="宋体" w:hAnsi="宋体" w:eastAsia="宋体" w:cs="宋体"/>
                <w:spacing w:val="0"/>
                <w:kern w:val="0"/>
                <w:sz w:val="21"/>
                <w:szCs w:val="21"/>
              </w:rPr>
            </w:pPr>
            <w:r>
              <w:rPr>
                <w:rFonts w:hint="eastAsia" w:ascii="宋体" w:hAnsi="宋体" w:eastAsia="宋体" w:cs="宋体"/>
                <w:spacing w:val="0"/>
                <w:kern w:val="0"/>
                <w:sz w:val="21"/>
                <w:szCs w:val="21"/>
              </w:rPr>
              <w:t>项目</w:t>
            </w:r>
          </w:p>
        </w:tc>
        <w:tc>
          <w:tcPr>
            <w:tcW w:w="2407" w:type="pct"/>
            <w:tcBorders>
              <w:top w:val="single" w:color="auto" w:sz="4" w:space="0"/>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hint="eastAsia" w:ascii="宋体" w:hAnsi="宋体" w:eastAsia="宋体" w:cs="宋体"/>
                <w:spacing w:val="0"/>
                <w:kern w:val="0"/>
                <w:sz w:val="21"/>
                <w:szCs w:val="21"/>
              </w:rPr>
            </w:pPr>
            <w:r>
              <w:rPr>
                <w:rFonts w:hint="eastAsia" w:ascii="宋体" w:hAnsi="宋体" w:eastAsia="宋体" w:cs="宋体"/>
                <w:spacing w:val="0"/>
                <w:kern w:val="0"/>
                <w:sz w:val="21"/>
                <w:szCs w:val="21"/>
              </w:rPr>
              <w:t>本次项目需求量（TB）</w:t>
            </w:r>
          </w:p>
        </w:tc>
      </w:tr>
      <w:tr>
        <w:tblPrEx>
          <w:tblCellMar>
            <w:top w:w="0" w:type="dxa"/>
            <w:left w:w="108" w:type="dxa"/>
            <w:bottom w:w="0" w:type="dxa"/>
            <w:right w:w="108" w:type="dxa"/>
          </w:tblCellMar>
        </w:tblPrEx>
        <w:trPr>
          <w:trHeight w:val="454" w:hRule="atLeast"/>
          <w:jc w:val="center"/>
        </w:trPr>
        <w:tc>
          <w:tcPr>
            <w:tcW w:w="651" w:type="pct"/>
            <w:tcBorders>
              <w:top w:val="nil"/>
              <w:left w:val="single" w:color="auto" w:sz="4" w:space="0"/>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hint="eastAsia" w:ascii="宋体" w:hAnsi="宋体" w:eastAsia="宋体" w:cs="宋体"/>
                <w:spacing w:val="0"/>
                <w:kern w:val="0"/>
                <w:sz w:val="21"/>
                <w:szCs w:val="21"/>
              </w:rPr>
            </w:pPr>
            <w:r>
              <w:rPr>
                <w:rFonts w:hint="eastAsia" w:ascii="宋体" w:hAnsi="宋体" w:eastAsia="宋体" w:cs="宋体"/>
                <w:spacing w:val="0"/>
                <w:kern w:val="0"/>
                <w:sz w:val="21"/>
                <w:szCs w:val="21"/>
              </w:rPr>
              <w:t>1</w:t>
            </w:r>
          </w:p>
        </w:tc>
        <w:tc>
          <w:tcPr>
            <w:tcW w:w="1941" w:type="pct"/>
            <w:tcBorders>
              <w:top w:val="nil"/>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hint="eastAsia" w:ascii="宋体" w:hAnsi="宋体" w:eastAsia="宋体" w:cs="宋体"/>
                <w:spacing w:val="0"/>
                <w:kern w:val="0"/>
                <w:sz w:val="21"/>
                <w:szCs w:val="21"/>
              </w:rPr>
            </w:pPr>
            <w:r>
              <w:rPr>
                <w:rFonts w:hint="eastAsia" w:ascii="宋体" w:hAnsi="宋体" w:eastAsia="宋体" w:cs="宋体"/>
                <w:spacing w:val="0"/>
                <w:kern w:val="0"/>
                <w:sz w:val="21"/>
                <w:szCs w:val="21"/>
              </w:rPr>
              <w:t>视频监控原始数据</w:t>
            </w:r>
          </w:p>
        </w:tc>
        <w:tc>
          <w:tcPr>
            <w:tcW w:w="40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eastAsia" w:ascii="宋体" w:hAnsi="宋体" w:eastAsia="宋体" w:cs="宋体"/>
                <w:spacing w:val="0"/>
                <w:kern w:val="0"/>
                <w:sz w:val="21"/>
                <w:szCs w:val="21"/>
              </w:rPr>
            </w:pPr>
            <w:r>
              <w:rPr>
                <w:rFonts w:hint="eastAsia" w:ascii="宋体" w:hAnsi="宋体" w:eastAsia="宋体" w:cs="宋体"/>
                <w:sz w:val="21"/>
                <w:szCs w:val="21"/>
                <w:lang w:val="en-US" w:eastAsia="zh-CN"/>
              </w:rPr>
              <w:t>1060.86</w:t>
            </w:r>
          </w:p>
        </w:tc>
      </w:tr>
      <w:tr>
        <w:tblPrEx>
          <w:tblCellMar>
            <w:top w:w="0" w:type="dxa"/>
            <w:left w:w="108" w:type="dxa"/>
            <w:bottom w:w="0" w:type="dxa"/>
            <w:right w:w="108" w:type="dxa"/>
          </w:tblCellMar>
        </w:tblPrEx>
        <w:trPr>
          <w:trHeight w:val="454" w:hRule="atLeast"/>
          <w:jc w:val="center"/>
        </w:trPr>
        <w:tc>
          <w:tcPr>
            <w:tcW w:w="651" w:type="pct"/>
            <w:tcBorders>
              <w:top w:val="nil"/>
              <w:left w:val="single" w:color="auto" w:sz="4" w:space="0"/>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hint="eastAsia" w:ascii="宋体" w:hAnsi="宋体" w:eastAsia="宋体" w:cs="宋体"/>
                <w:spacing w:val="0"/>
                <w:kern w:val="0"/>
                <w:sz w:val="21"/>
                <w:szCs w:val="21"/>
              </w:rPr>
            </w:pPr>
            <w:r>
              <w:rPr>
                <w:rFonts w:hint="eastAsia" w:ascii="宋体" w:hAnsi="宋体" w:eastAsia="宋体" w:cs="宋体"/>
                <w:spacing w:val="0"/>
                <w:kern w:val="0"/>
                <w:sz w:val="21"/>
                <w:szCs w:val="21"/>
              </w:rPr>
              <w:t>2</w:t>
            </w:r>
          </w:p>
        </w:tc>
        <w:tc>
          <w:tcPr>
            <w:tcW w:w="1941" w:type="pct"/>
            <w:tcBorders>
              <w:top w:val="nil"/>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hint="eastAsia" w:ascii="宋体" w:hAnsi="宋体" w:eastAsia="宋体" w:cs="宋体"/>
                <w:spacing w:val="0"/>
                <w:kern w:val="0"/>
                <w:sz w:val="21"/>
                <w:szCs w:val="21"/>
              </w:rPr>
            </w:pPr>
            <w:r>
              <w:rPr>
                <w:rFonts w:hint="eastAsia" w:ascii="宋体" w:hAnsi="宋体" w:eastAsia="宋体" w:cs="宋体"/>
                <w:spacing w:val="0"/>
                <w:kern w:val="0"/>
                <w:sz w:val="21"/>
                <w:szCs w:val="21"/>
              </w:rPr>
              <w:t>图片数据</w:t>
            </w:r>
          </w:p>
        </w:tc>
        <w:tc>
          <w:tcPr>
            <w:tcW w:w="4079" w:type="dxa"/>
            <w:tcBorders>
              <w:top w:val="nil"/>
              <w:left w:val="single" w:color="auto" w:sz="4" w:space="0"/>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eastAsia" w:ascii="宋体" w:hAnsi="宋体" w:eastAsia="宋体" w:cs="宋体"/>
                <w:spacing w:val="0"/>
                <w:kern w:val="0"/>
                <w:sz w:val="21"/>
                <w:szCs w:val="21"/>
              </w:rPr>
            </w:pPr>
            <w:r>
              <w:rPr>
                <w:rFonts w:hint="eastAsia" w:ascii="宋体" w:hAnsi="宋体" w:eastAsia="宋体" w:cs="宋体"/>
                <w:sz w:val="21"/>
                <w:szCs w:val="21"/>
                <w:lang w:val="en-US" w:eastAsia="zh-CN"/>
              </w:rPr>
              <w:t>264.64</w:t>
            </w:r>
          </w:p>
        </w:tc>
      </w:tr>
      <w:tr>
        <w:tblPrEx>
          <w:tblCellMar>
            <w:top w:w="0" w:type="dxa"/>
            <w:left w:w="108" w:type="dxa"/>
            <w:bottom w:w="0" w:type="dxa"/>
            <w:right w:w="108" w:type="dxa"/>
          </w:tblCellMar>
        </w:tblPrEx>
        <w:trPr>
          <w:trHeight w:val="454" w:hRule="atLeast"/>
          <w:jc w:val="center"/>
        </w:trPr>
        <w:tc>
          <w:tcPr>
            <w:tcW w:w="651" w:type="pct"/>
            <w:tcBorders>
              <w:top w:val="nil"/>
              <w:left w:val="single" w:color="auto" w:sz="4" w:space="0"/>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hint="eastAsia" w:ascii="宋体" w:hAnsi="宋体" w:eastAsia="宋体" w:cs="宋体"/>
                <w:spacing w:val="0"/>
                <w:kern w:val="0"/>
                <w:sz w:val="21"/>
                <w:szCs w:val="21"/>
              </w:rPr>
            </w:pPr>
            <w:r>
              <w:rPr>
                <w:rFonts w:hint="eastAsia" w:ascii="宋体" w:hAnsi="宋体" w:eastAsia="宋体" w:cs="宋体"/>
                <w:spacing w:val="0"/>
                <w:kern w:val="0"/>
                <w:sz w:val="21"/>
                <w:szCs w:val="21"/>
              </w:rPr>
              <w:t>3</w:t>
            </w:r>
          </w:p>
        </w:tc>
        <w:tc>
          <w:tcPr>
            <w:tcW w:w="1941" w:type="pct"/>
            <w:tcBorders>
              <w:top w:val="nil"/>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hint="eastAsia" w:ascii="宋体" w:hAnsi="宋体" w:eastAsia="宋体" w:cs="宋体"/>
                <w:spacing w:val="0"/>
                <w:kern w:val="0"/>
                <w:sz w:val="21"/>
                <w:szCs w:val="21"/>
              </w:rPr>
            </w:pPr>
            <w:r>
              <w:rPr>
                <w:rFonts w:hint="eastAsia" w:ascii="宋体" w:hAnsi="宋体" w:eastAsia="宋体" w:cs="宋体"/>
                <w:spacing w:val="0"/>
                <w:kern w:val="0"/>
                <w:sz w:val="21"/>
                <w:szCs w:val="21"/>
              </w:rPr>
              <w:t>结构化数据</w:t>
            </w:r>
          </w:p>
        </w:tc>
        <w:tc>
          <w:tcPr>
            <w:tcW w:w="4079" w:type="dxa"/>
            <w:tcBorders>
              <w:top w:val="nil"/>
              <w:left w:val="single" w:color="auto" w:sz="4" w:space="0"/>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eastAsia" w:ascii="宋体" w:hAnsi="宋体" w:eastAsia="宋体" w:cs="宋体"/>
                <w:spacing w:val="0"/>
                <w:kern w:val="0"/>
                <w:sz w:val="21"/>
                <w:szCs w:val="21"/>
              </w:rPr>
            </w:pPr>
            <w:r>
              <w:rPr>
                <w:rFonts w:hint="eastAsia" w:ascii="宋体" w:hAnsi="宋体" w:eastAsia="宋体" w:cs="宋体"/>
                <w:spacing w:val="0"/>
                <w:kern w:val="0"/>
                <w:sz w:val="21"/>
                <w:szCs w:val="21"/>
                <w:lang w:val="en-US" w:eastAsia="zh-CN"/>
              </w:rPr>
              <w:t>5.46</w:t>
            </w:r>
          </w:p>
        </w:tc>
      </w:tr>
      <w:tr>
        <w:tblPrEx>
          <w:tblCellMar>
            <w:top w:w="0" w:type="dxa"/>
            <w:left w:w="108" w:type="dxa"/>
            <w:bottom w:w="0" w:type="dxa"/>
            <w:right w:w="108" w:type="dxa"/>
          </w:tblCellMar>
        </w:tblPrEx>
        <w:trPr>
          <w:trHeight w:val="454" w:hRule="atLeast"/>
          <w:jc w:val="center"/>
        </w:trPr>
        <w:tc>
          <w:tcPr>
            <w:tcW w:w="651" w:type="pct"/>
            <w:tcBorders>
              <w:top w:val="nil"/>
              <w:left w:val="single" w:color="auto" w:sz="4" w:space="0"/>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hint="eastAsia" w:ascii="宋体" w:hAnsi="宋体" w:eastAsia="宋体" w:cs="宋体"/>
                <w:spacing w:val="0"/>
                <w:kern w:val="0"/>
                <w:sz w:val="21"/>
                <w:szCs w:val="21"/>
                <w:lang w:eastAsia="zh-CN"/>
              </w:rPr>
            </w:pPr>
            <w:r>
              <w:rPr>
                <w:rFonts w:hint="eastAsia" w:ascii="宋体" w:hAnsi="宋体" w:eastAsia="宋体" w:cs="宋体"/>
                <w:spacing w:val="0"/>
                <w:kern w:val="0"/>
                <w:sz w:val="21"/>
                <w:szCs w:val="21"/>
                <w:lang w:val="en-US" w:eastAsia="zh-CN"/>
              </w:rPr>
              <w:t>4</w:t>
            </w:r>
          </w:p>
        </w:tc>
        <w:tc>
          <w:tcPr>
            <w:tcW w:w="1941" w:type="pct"/>
            <w:tcBorders>
              <w:top w:val="nil"/>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hint="eastAsia" w:ascii="宋体" w:hAnsi="宋体" w:eastAsia="宋体" w:cs="宋体"/>
                <w:spacing w:val="0"/>
                <w:kern w:val="0"/>
                <w:sz w:val="21"/>
                <w:szCs w:val="21"/>
              </w:rPr>
            </w:pPr>
            <w:r>
              <w:rPr>
                <w:rFonts w:hint="eastAsia" w:ascii="宋体" w:hAnsi="宋体" w:eastAsia="宋体" w:cs="宋体"/>
                <w:spacing w:val="0"/>
                <w:kern w:val="0"/>
                <w:sz w:val="21"/>
                <w:szCs w:val="21"/>
              </w:rPr>
              <w:t>合计</w:t>
            </w:r>
          </w:p>
        </w:tc>
        <w:tc>
          <w:tcPr>
            <w:tcW w:w="4079" w:type="dxa"/>
            <w:tcBorders>
              <w:top w:val="nil"/>
              <w:left w:val="single" w:color="auto" w:sz="4" w:space="0"/>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eastAsia" w:ascii="宋体" w:hAnsi="宋体" w:eastAsia="宋体" w:cs="宋体"/>
                <w:b/>
                <w:bCs/>
                <w:spacing w:val="0"/>
                <w:kern w:val="0"/>
                <w:sz w:val="21"/>
                <w:szCs w:val="21"/>
                <w:lang w:val="en-US" w:eastAsia="zh-CN"/>
              </w:rPr>
            </w:pPr>
            <w:r>
              <w:rPr>
                <w:rFonts w:hint="eastAsia" w:ascii="宋体" w:hAnsi="宋体" w:eastAsia="宋体" w:cs="宋体"/>
                <w:b/>
                <w:bCs/>
                <w:spacing w:val="0"/>
                <w:kern w:val="0"/>
                <w:sz w:val="21"/>
                <w:szCs w:val="21"/>
                <w:lang w:val="en-US" w:eastAsia="zh-CN"/>
              </w:rPr>
              <w:t>1330.96</w:t>
            </w:r>
          </w:p>
        </w:tc>
      </w:tr>
    </w:tbl>
    <w:p>
      <w:pPr>
        <w:ind w:firstLine="520"/>
        <w:rPr>
          <w:rFonts w:hint="eastAsia" w:ascii="宋体" w:hAnsi="宋体" w:eastAsia="宋体" w:cs="宋体"/>
        </w:rPr>
      </w:pPr>
    </w:p>
    <w:p>
      <w:pPr>
        <w:bidi w:val="0"/>
        <w:rPr>
          <w:rFonts w:hint="default"/>
          <w:lang w:val="en-US" w:eastAsia="zh-CN"/>
        </w:rPr>
      </w:pPr>
      <w:r>
        <w:rPr>
          <w:rFonts w:hint="eastAsia"/>
        </w:rPr>
        <w:t>本项目</w:t>
      </w:r>
      <w:r>
        <w:rPr>
          <w:rFonts w:hint="eastAsia"/>
          <w:lang w:val="en-US" w:eastAsia="zh-CN"/>
        </w:rPr>
        <w:t>视频监控</w:t>
      </w:r>
      <w:r>
        <w:rPr>
          <w:rFonts w:hint="eastAsia"/>
        </w:rPr>
        <w:t>所需要的总存储空间为</w:t>
      </w:r>
      <w:r>
        <w:rPr>
          <w:rFonts w:hint="eastAsia"/>
          <w:lang w:val="en-US" w:eastAsia="zh-CN"/>
        </w:rPr>
        <w:t>1330.96</w:t>
      </w:r>
      <w:r>
        <w:rPr>
          <w:rFonts w:hint="eastAsia"/>
        </w:rPr>
        <w:t>TB</w:t>
      </w:r>
      <w:r>
        <w:rPr>
          <w:rFonts w:hint="eastAsia"/>
          <w:lang w:eastAsia="zh-CN"/>
        </w:rPr>
        <w:t>，</w:t>
      </w:r>
      <w:r>
        <w:rPr>
          <w:rFonts w:hint="eastAsia"/>
          <w:lang w:val="en-US" w:eastAsia="zh-CN"/>
        </w:rPr>
        <w:t>即本项目需要新增4台云存储，每台云存储包含36块10TB硬盘，设备放置于丰都县公安局雪亮建设机房。</w:t>
      </w:r>
    </w:p>
    <w:p>
      <w:pPr>
        <w:pStyle w:val="7"/>
        <w:bidi w:val="0"/>
        <w:rPr>
          <w:rFonts w:hint="eastAsia"/>
          <w:lang w:val="en-US" w:eastAsia="zh-CN"/>
        </w:rPr>
      </w:pPr>
      <w:bookmarkStart w:id="260" w:name="_Toc165"/>
      <w:bookmarkStart w:id="261" w:name="_Toc5758"/>
      <w:bookmarkStart w:id="262" w:name="_Toc3778"/>
      <w:bookmarkStart w:id="263" w:name="_Toc11695"/>
      <w:r>
        <w:rPr>
          <w:rFonts w:hint="eastAsia"/>
          <w:lang w:val="en-US" w:eastAsia="zh-CN"/>
        </w:rPr>
        <w:t>水利局服务器存储</w:t>
      </w:r>
    </w:p>
    <w:p>
      <w:pPr>
        <w:pStyle w:val="82"/>
        <w:rPr>
          <w:rFonts w:hint="eastAsia"/>
          <w:lang w:val="en-US" w:eastAsia="zh-CN"/>
        </w:rPr>
      </w:pPr>
      <w:r>
        <w:rPr>
          <w:rFonts w:hint="eastAsia"/>
          <w:lang w:val="en-US" w:eastAsia="zh-CN"/>
        </w:rPr>
        <w:t>本项目新增32块8T硬盘用于水利局服务器数据存储和视频存储。</w:t>
      </w:r>
    </w:p>
    <w:p>
      <w:pPr>
        <w:pStyle w:val="5"/>
        <w:keepNext w:val="0"/>
        <w:rPr>
          <w:rFonts w:hint="eastAsia"/>
          <w:lang w:val="en-US" w:eastAsia="zh-CN"/>
        </w:rPr>
      </w:pPr>
      <w:bookmarkStart w:id="264" w:name="_Toc8576"/>
      <w:r>
        <w:rPr>
          <w:rFonts w:hint="eastAsia"/>
          <w:color w:val="auto"/>
          <w:lang w:val="en-US" w:eastAsia="zh-CN"/>
        </w:rPr>
        <w:t>配套工程设计</w:t>
      </w:r>
      <w:bookmarkEnd w:id="264"/>
    </w:p>
    <w:p>
      <w:pPr>
        <w:pStyle w:val="6"/>
        <w:bidi w:val="0"/>
        <w:rPr>
          <w:rFonts w:hint="default" w:cs="宋体"/>
          <w:lang w:val="en-US" w:eastAsia="zh-CN"/>
        </w:rPr>
      </w:pPr>
      <w:bookmarkStart w:id="265" w:name="_Toc12051"/>
      <w:r>
        <w:rPr>
          <w:rFonts w:hint="eastAsia" w:cs="宋体"/>
          <w:lang w:val="en-US" w:eastAsia="zh-CN"/>
        </w:rPr>
        <w:t>配套机房</w:t>
      </w:r>
      <w:bookmarkEnd w:id="265"/>
    </w:p>
    <w:p>
      <w:pPr>
        <w:bidi w:val="0"/>
        <w:rPr>
          <w:rFonts w:hint="default"/>
          <w:lang w:val="en-US" w:eastAsia="zh-CN"/>
        </w:rPr>
      </w:pPr>
      <w:r>
        <w:rPr>
          <w:rFonts w:hint="eastAsia"/>
          <w:highlight w:val="none"/>
          <w:lang w:val="en-US" w:eastAsia="zh-CN"/>
        </w:rPr>
        <w:t>丰都县公安局雪亮</w:t>
      </w:r>
      <w:r>
        <w:rPr>
          <w:rFonts w:hint="eastAsia"/>
          <w:highlight w:val="none"/>
        </w:rPr>
        <w:t>机房位于</w:t>
      </w:r>
      <w:r>
        <w:rPr>
          <w:rFonts w:hint="eastAsia"/>
        </w:rPr>
        <w:t>公安局</w:t>
      </w:r>
      <w:r>
        <w:rPr>
          <w:rFonts w:hint="eastAsia"/>
          <w:lang w:val="en-US" w:eastAsia="zh-CN"/>
        </w:rPr>
        <w:t>六楼</w:t>
      </w:r>
      <w:r>
        <w:rPr>
          <w:rFonts w:hint="eastAsia"/>
        </w:rPr>
        <w:t>，机房长</w:t>
      </w:r>
      <w:r>
        <w:rPr>
          <w:rFonts w:hint="eastAsia"/>
          <w:lang w:val="en-US" w:eastAsia="zh-CN"/>
        </w:rPr>
        <w:t>10</w:t>
      </w:r>
      <w:r>
        <w:rPr>
          <w:rFonts w:hint="eastAsia"/>
        </w:rPr>
        <w:t>.</w:t>
      </w:r>
      <w:r>
        <w:rPr>
          <w:rFonts w:hint="eastAsia"/>
          <w:lang w:val="en-US" w:eastAsia="zh-CN"/>
        </w:rPr>
        <w:t>5</w:t>
      </w:r>
      <w:r>
        <w:rPr>
          <w:rFonts w:hint="eastAsia"/>
        </w:rPr>
        <w:t>m，宽7m</w:t>
      </w:r>
      <w:r>
        <w:rPr>
          <w:rFonts w:hint="eastAsia"/>
          <w:lang w:eastAsia="zh-CN"/>
        </w:rPr>
        <w:t>，</w:t>
      </w:r>
      <w:r>
        <w:rPr>
          <w:rFonts w:hint="eastAsia"/>
        </w:rPr>
        <w:t>面积</w:t>
      </w:r>
      <w:r>
        <w:rPr>
          <w:rFonts w:hint="eastAsia"/>
          <w:lang w:val="en-US" w:eastAsia="zh-CN"/>
        </w:rPr>
        <w:t>73.5</w:t>
      </w:r>
      <w:r>
        <w:rPr>
          <w:rFonts w:hint="eastAsia"/>
        </w:rPr>
        <w:t>㎡，</w:t>
      </w:r>
      <w:r>
        <w:rPr>
          <w:rFonts w:hint="eastAsia"/>
          <w:highlight w:val="none"/>
        </w:rPr>
        <w:t>机房部署</w:t>
      </w:r>
      <w:r>
        <w:rPr>
          <w:highlight w:val="none"/>
        </w:rPr>
        <w:t>设备包含</w:t>
      </w:r>
      <w:r>
        <w:rPr>
          <w:rFonts w:hint="eastAsia"/>
          <w:highlight w:val="none"/>
          <w:lang w:val="en-US" w:eastAsia="zh-CN"/>
        </w:rPr>
        <w:t>传输</w:t>
      </w:r>
      <w:r>
        <w:rPr>
          <w:rFonts w:hint="eastAsia"/>
          <w:highlight w:val="none"/>
        </w:rPr>
        <w:t>相关</w:t>
      </w:r>
      <w:r>
        <w:rPr>
          <w:highlight w:val="none"/>
        </w:rPr>
        <w:t>设备</w:t>
      </w:r>
      <w:r>
        <w:rPr>
          <w:rFonts w:hint="eastAsia"/>
          <w:highlight w:val="none"/>
        </w:rPr>
        <w:t>、“雪亮工程”</w:t>
      </w:r>
      <w:r>
        <w:rPr>
          <w:highlight w:val="none"/>
        </w:rPr>
        <w:t>相关</w:t>
      </w:r>
      <w:r>
        <w:rPr>
          <w:rFonts w:hint="eastAsia"/>
          <w:highlight w:val="none"/>
        </w:rPr>
        <w:t>设备</w:t>
      </w:r>
      <w:r>
        <w:rPr>
          <w:highlight w:val="none"/>
        </w:rPr>
        <w:t>及其他设备</w:t>
      </w:r>
      <w:r>
        <w:rPr>
          <w:rFonts w:hint="eastAsia"/>
          <w:highlight w:val="none"/>
        </w:rPr>
        <w:t>。原有机房</w:t>
      </w:r>
      <w:r>
        <w:rPr>
          <w:highlight w:val="none"/>
        </w:rPr>
        <w:t>满足设备的</w:t>
      </w:r>
      <w:r>
        <w:rPr>
          <w:rFonts w:hint="eastAsia"/>
          <w:highlight w:val="none"/>
        </w:rPr>
        <w:t>运行</w:t>
      </w:r>
      <w:r>
        <w:rPr>
          <w:highlight w:val="none"/>
        </w:rPr>
        <w:t>环境、</w:t>
      </w:r>
      <w:r>
        <w:rPr>
          <w:rFonts w:hint="eastAsia"/>
          <w:highlight w:val="none"/>
        </w:rPr>
        <w:t>防雷</w:t>
      </w:r>
      <w:r>
        <w:rPr>
          <w:highlight w:val="none"/>
        </w:rPr>
        <w:t>接地、消防等相关要求</w:t>
      </w:r>
      <w:r>
        <w:rPr>
          <w:rFonts w:hint="eastAsia"/>
          <w:highlight w:val="none"/>
        </w:rPr>
        <w:t>，</w:t>
      </w:r>
      <w:r>
        <w:rPr>
          <w:highlight w:val="none"/>
        </w:rPr>
        <w:t>所以</w:t>
      </w:r>
      <w:r>
        <w:rPr>
          <w:rFonts w:hint="eastAsia"/>
          <w:highlight w:val="none"/>
        </w:rPr>
        <w:t>本次项目利旧原有</w:t>
      </w:r>
      <w:r>
        <w:rPr>
          <w:rFonts w:hint="eastAsia"/>
          <w:highlight w:val="none"/>
          <w:lang w:val="en-US" w:eastAsia="zh-CN"/>
        </w:rPr>
        <w:t>丰都县公安局雪亮</w:t>
      </w:r>
      <w:r>
        <w:rPr>
          <w:rFonts w:hint="eastAsia"/>
          <w:highlight w:val="none"/>
        </w:rPr>
        <w:t>机房，</w:t>
      </w:r>
      <w:r>
        <w:rPr>
          <w:highlight w:val="none"/>
        </w:rPr>
        <w:t>不单独建设。</w:t>
      </w:r>
    </w:p>
    <w:p>
      <w:pPr>
        <w:pStyle w:val="6"/>
        <w:bidi w:val="0"/>
        <w:rPr>
          <w:rFonts w:hint="default"/>
          <w:lang w:val="en-US" w:eastAsia="zh-CN"/>
        </w:rPr>
      </w:pPr>
      <w:bookmarkStart w:id="266" w:name="_Toc13235"/>
      <w:r>
        <w:rPr>
          <w:rFonts w:hint="eastAsia"/>
          <w:lang w:val="en-US" w:eastAsia="zh-CN"/>
        </w:rPr>
        <w:t>配套机柜</w:t>
      </w:r>
      <w:bookmarkEnd w:id="266"/>
    </w:p>
    <w:p>
      <w:pPr>
        <w:bidi w:val="0"/>
        <w:rPr>
          <w:rFonts w:hint="eastAsia"/>
          <w:color w:val="FF0000"/>
          <w:highlight w:val="none"/>
          <w:lang w:val="en-US" w:eastAsia="zh-CN"/>
        </w:rPr>
      </w:pPr>
      <w:r>
        <w:rPr>
          <w:rFonts w:hint="eastAsia"/>
          <w:color w:val="auto"/>
          <w:highlight w:val="none"/>
        </w:rPr>
        <w:t>本</w:t>
      </w:r>
      <w:r>
        <w:rPr>
          <w:rFonts w:hint="eastAsia"/>
          <w:color w:val="auto"/>
          <w:highlight w:val="none"/>
          <w:lang w:val="en-US" w:eastAsia="zh-CN"/>
        </w:rPr>
        <w:t>项目</w:t>
      </w:r>
      <w:r>
        <w:rPr>
          <w:rFonts w:hint="eastAsia"/>
          <w:color w:val="auto"/>
          <w:highlight w:val="none"/>
        </w:rPr>
        <w:t>在</w:t>
      </w:r>
      <w:r>
        <w:rPr>
          <w:rFonts w:hint="eastAsia"/>
          <w:highlight w:val="none"/>
          <w:lang w:val="en-US" w:eastAsia="zh-CN"/>
        </w:rPr>
        <w:t>丰都县公安局雪亮</w:t>
      </w:r>
      <w:r>
        <w:rPr>
          <w:rFonts w:hint="eastAsia"/>
          <w:highlight w:val="none"/>
        </w:rPr>
        <w:t>机房</w:t>
      </w:r>
      <w:r>
        <w:rPr>
          <w:rFonts w:hint="eastAsia"/>
          <w:color w:val="auto"/>
          <w:highlight w:val="none"/>
        </w:rPr>
        <w:t>放置</w:t>
      </w:r>
      <w:r>
        <w:rPr>
          <w:rFonts w:hint="eastAsia"/>
          <w:color w:val="auto"/>
          <w:highlight w:val="none"/>
          <w:lang w:val="en-US" w:eastAsia="zh-CN"/>
        </w:rPr>
        <w:t>存储</w:t>
      </w:r>
      <w:r>
        <w:rPr>
          <w:rFonts w:hint="eastAsia"/>
          <w:color w:val="auto"/>
          <w:highlight w:val="none"/>
        </w:rPr>
        <w:t>设备</w:t>
      </w:r>
      <w:r>
        <w:rPr>
          <w:color w:val="auto"/>
          <w:highlight w:val="none"/>
        </w:rPr>
        <w:t>，</w:t>
      </w:r>
      <w:r>
        <w:rPr>
          <w:rFonts w:hint="eastAsia"/>
          <w:color w:val="auto"/>
          <w:highlight w:val="none"/>
          <w:lang w:val="en-US" w:eastAsia="zh-CN"/>
        </w:rPr>
        <w:t>目前机房</w:t>
      </w:r>
      <w:r>
        <w:rPr>
          <w:rFonts w:hint="eastAsia"/>
          <w:color w:val="auto"/>
          <w:highlight w:val="none"/>
        </w:rPr>
        <w:t>有机柜数量</w:t>
      </w:r>
      <w:r>
        <w:rPr>
          <w:rFonts w:hint="eastAsia"/>
          <w:color w:val="auto"/>
          <w:highlight w:val="none"/>
          <w:lang w:val="en-US" w:eastAsia="zh-CN"/>
        </w:rPr>
        <w:t>20个，其中存储机柜18个</w:t>
      </w:r>
      <w:r>
        <w:rPr>
          <w:rFonts w:hint="eastAsia"/>
          <w:color w:val="auto"/>
          <w:highlight w:val="none"/>
        </w:rPr>
        <w:t>。</w:t>
      </w:r>
      <w:r>
        <w:rPr>
          <w:rFonts w:hint="eastAsia"/>
          <w:color w:val="auto"/>
          <w:highlight w:val="none"/>
          <w:lang w:val="en-US" w:eastAsia="zh-CN"/>
        </w:rPr>
        <w:t>经调研</w:t>
      </w:r>
      <w:r>
        <w:rPr>
          <w:rFonts w:hint="eastAsia"/>
        </w:rPr>
        <w:t>经调研，机柜空间满足本项目放置需求，可将新增设备放置于存储机柜</w:t>
      </w:r>
      <w:r>
        <w:rPr>
          <w:rFonts w:hint="eastAsia"/>
          <w:lang w:val="en-US" w:eastAsia="zh-CN"/>
        </w:rPr>
        <w:t>内</w:t>
      </w:r>
      <w:r>
        <w:rPr>
          <w:rFonts w:hint="eastAsia"/>
        </w:rPr>
        <w:t>。</w:t>
      </w:r>
    </w:p>
    <w:p>
      <w:pPr>
        <w:pStyle w:val="6"/>
        <w:bidi w:val="0"/>
        <w:rPr>
          <w:rFonts w:hint="default"/>
          <w:lang w:val="en-US" w:eastAsia="zh-CN"/>
        </w:rPr>
      </w:pPr>
      <w:bookmarkStart w:id="267" w:name="_Toc5493"/>
      <w:r>
        <w:rPr>
          <w:rFonts w:hint="eastAsia" w:cs="宋体"/>
          <w:lang w:val="en-US" w:eastAsia="zh-CN"/>
        </w:rPr>
        <w:t>配套传输</w:t>
      </w:r>
      <w:bookmarkEnd w:id="267"/>
    </w:p>
    <w:p>
      <w:pPr>
        <w:bidi w:val="0"/>
        <w:rPr>
          <w:rFonts w:hint="eastAsia"/>
          <w:lang w:val="en-US" w:eastAsia="zh-CN"/>
        </w:rPr>
      </w:pPr>
      <w:r>
        <w:rPr>
          <w:rFonts w:hint="eastAsia"/>
        </w:rPr>
        <w:t>本项目配套传输主要包括各新增前端至平台</w:t>
      </w:r>
      <w:r>
        <w:rPr>
          <w:rFonts w:hint="eastAsia"/>
          <w:lang w:val="en-US" w:eastAsia="zh-CN"/>
        </w:rPr>
        <w:t>的</w:t>
      </w:r>
      <w:r>
        <w:rPr>
          <w:rFonts w:hint="eastAsia"/>
        </w:rPr>
        <w:t>传输链路</w:t>
      </w:r>
      <w:r>
        <w:rPr>
          <w:rFonts w:hint="eastAsia"/>
          <w:lang w:eastAsia="zh-CN"/>
        </w:rPr>
        <w:t>、</w:t>
      </w:r>
      <w:r>
        <w:rPr>
          <w:rFonts w:hint="eastAsia"/>
          <w:lang w:val="en-US" w:eastAsia="zh-CN"/>
        </w:rPr>
        <w:t>水文站至水利局的传输链路和视频站至水利局的链路。</w:t>
      </w:r>
    </w:p>
    <w:p>
      <w:pPr>
        <w:ind w:firstLine="520"/>
      </w:pPr>
      <w:r>
        <w:rPr>
          <w:rFonts w:hint="eastAsia"/>
          <w:lang w:val="en-US" w:eastAsia="zh-CN"/>
        </w:rPr>
        <w:t>1、水利局</w:t>
      </w:r>
      <w:r>
        <w:rPr>
          <w:rFonts w:hint="eastAsia"/>
        </w:rPr>
        <w:t>链路需求如下：</w:t>
      </w:r>
    </w:p>
    <w:p>
      <w:pPr>
        <w:pStyle w:val="14"/>
        <w:numPr>
          <w:ilvl w:val="0"/>
          <w:numId w:val="46"/>
        </w:numPr>
        <w:ind w:firstLineChars="0"/>
        <w:rPr>
          <w:szCs w:val="21"/>
        </w:rPr>
      </w:pPr>
      <w:r>
        <w:rPr>
          <w:rFonts w:hint="eastAsia"/>
          <w:szCs w:val="21"/>
        </w:rPr>
        <w:t>传输链路需求表</w:t>
      </w:r>
    </w:p>
    <w:tbl>
      <w:tblPr>
        <w:tblStyle w:val="28"/>
        <w:tblW w:w="5000" w:type="pct"/>
        <w:tblInd w:w="0" w:type="dxa"/>
        <w:tblLayout w:type="autofit"/>
        <w:tblCellMar>
          <w:top w:w="0" w:type="dxa"/>
          <w:left w:w="108" w:type="dxa"/>
          <w:bottom w:w="0" w:type="dxa"/>
          <w:right w:w="108" w:type="dxa"/>
        </w:tblCellMar>
      </w:tblPr>
      <w:tblGrid>
        <w:gridCol w:w="783"/>
        <w:gridCol w:w="3293"/>
        <w:gridCol w:w="2940"/>
        <w:gridCol w:w="1455"/>
      </w:tblGrid>
      <w:tr>
        <w:tblPrEx>
          <w:tblCellMar>
            <w:top w:w="0" w:type="dxa"/>
            <w:left w:w="108" w:type="dxa"/>
            <w:bottom w:w="0" w:type="dxa"/>
            <w:right w:w="108" w:type="dxa"/>
          </w:tblCellMar>
        </w:tblPrEx>
        <w:trPr>
          <w:trHeight w:val="624" w:hRule="atLeast"/>
          <w:tblHead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spacing w:line="240" w:lineRule="auto"/>
              <w:ind w:firstLine="0" w:firstLineChars="0"/>
              <w:rPr>
                <w:rFonts w:cs="宋体" w:asciiTheme="minorEastAsia" w:hAnsiTheme="minorEastAsia" w:eastAsiaTheme="minorEastAsia"/>
                <w:spacing w:val="0"/>
                <w:kern w:val="0"/>
                <w:sz w:val="21"/>
                <w:szCs w:val="21"/>
              </w:rPr>
            </w:pPr>
            <w:r>
              <w:rPr>
                <w:rFonts w:hint="eastAsia" w:cs="宋体" w:asciiTheme="minorEastAsia" w:hAnsiTheme="minorEastAsia" w:eastAsiaTheme="minorEastAsia"/>
                <w:spacing w:val="0"/>
                <w:kern w:val="0"/>
                <w:sz w:val="21"/>
                <w:szCs w:val="21"/>
              </w:rPr>
              <w:t>序号</w:t>
            </w:r>
          </w:p>
        </w:tc>
        <w:tc>
          <w:tcPr>
            <w:tcW w:w="1943" w:type="pct"/>
            <w:tcBorders>
              <w:top w:val="single" w:color="auto" w:sz="4" w:space="0"/>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inorEastAsia" w:hAnsiTheme="minorEastAsia" w:eastAsiaTheme="minorEastAsia"/>
                <w:spacing w:val="0"/>
                <w:kern w:val="0"/>
                <w:sz w:val="21"/>
                <w:szCs w:val="21"/>
              </w:rPr>
            </w:pPr>
            <w:r>
              <w:rPr>
                <w:rFonts w:hint="eastAsia" w:cs="宋体" w:asciiTheme="minorEastAsia" w:hAnsiTheme="minorEastAsia" w:eastAsiaTheme="minorEastAsia"/>
                <w:spacing w:val="0"/>
                <w:kern w:val="0"/>
                <w:sz w:val="21"/>
                <w:szCs w:val="21"/>
              </w:rPr>
              <w:t>传输链路</w:t>
            </w:r>
          </w:p>
        </w:tc>
        <w:tc>
          <w:tcPr>
            <w:tcW w:w="1735" w:type="pct"/>
            <w:tcBorders>
              <w:top w:val="single" w:color="auto" w:sz="4" w:space="0"/>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inorEastAsia" w:hAnsiTheme="minorEastAsia" w:eastAsiaTheme="minorEastAsia"/>
                <w:spacing w:val="0"/>
                <w:kern w:val="0"/>
                <w:sz w:val="21"/>
                <w:szCs w:val="21"/>
              </w:rPr>
            </w:pPr>
            <w:r>
              <w:rPr>
                <w:rFonts w:hint="eastAsia" w:cs="宋体" w:asciiTheme="minorEastAsia" w:hAnsiTheme="minorEastAsia" w:eastAsiaTheme="minorEastAsia"/>
                <w:spacing w:val="0"/>
                <w:kern w:val="0"/>
                <w:sz w:val="21"/>
                <w:szCs w:val="21"/>
              </w:rPr>
              <w:t>传输带宽需（</w:t>
            </w:r>
            <w:r>
              <w:rPr>
                <w:rFonts w:asciiTheme="minorEastAsia" w:hAnsiTheme="minorEastAsia" w:eastAsiaTheme="minorEastAsia"/>
                <w:spacing w:val="0"/>
                <w:kern w:val="0"/>
                <w:sz w:val="21"/>
                <w:szCs w:val="21"/>
              </w:rPr>
              <w:t>Mbps</w:t>
            </w:r>
            <w:r>
              <w:rPr>
                <w:rFonts w:hint="eastAsia" w:cs="宋体" w:asciiTheme="minorEastAsia" w:hAnsiTheme="minorEastAsia" w:eastAsiaTheme="minorEastAsia"/>
                <w:spacing w:val="0"/>
                <w:kern w:val="0"/>
                <w:sz w:val="21"/>
                <w:szCs w:val="21"/>
              </w:rPr>
              <w:t>）</w:t>
            </w:r>
          </w:p>
        </w:tc>
        <w:tc>
          <w:tcPr>
            <w:tcW w:w="858" w:type="pct"/>
            <w:tcBorders>
              <w:top w:val="single" w:color="auto" w:sz="4" w:space="0"/>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cs="宋体" w:asciiTheme="minorEastAsia" w:hAnsiTheme="minorEastAsia" w:eastAsiaTheme="minorEastAsia"/>
                <w:spacing w:val="0"/>
                <w:kern w:val="0"/>
                <w:sz w:val="21"/>
                <w:szCs w:val="21"/>
              </w:rPr>
            </w:pPr>
            <w:r>
              <w:rPr>
                <w:rFonts w:hint="eastAsia" w:cs="宋体" w:asciiTheme="minorEastAsia" w:hAnsiTheme="minorEastAsia" w:eastAsiaTheme="minorEastAsia"/>
                <w:spacing w:val="0"/>
                <w:kern w:val="0"/>
                <w:sz w:val="21"/>
                <w:szCs w:val="21"/>
              </w:rPr>
              <w:t>设备数量</w:t>
            </w:r>
          </w:p>
        </w:tc>
      </w:tr>
      <w:tr>
        <w:tblPrEx>
          <w:tblCellMar>
            <w:top w:w="0" w:type="dxa"/>
            <w:left w:w="108" w:type="dxa"/>
            <w:bottom w:w="0" w:type="dxa"/>
            <w:right w:w="108"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eastAsia" w:cs="宋体" w:asciiTheme="minorEastAsia" w:hAnsiTheme="minorEastAsia" w:eastAsiaTheme="minorEastAsia"/>
                <w:spacing w:val="0"/>
                <w:kern w:val="0"/>
                <w:sz w:val="21"/>
                <w:szCs w:val="21"/>
                <w:lang w:eastAsia="zh-CN"/>
              </w:rPr>
            </w:pPr>
            <w:r>
              <w:rPr>
                <w:rFonts w:hint="eastAsia" w:cs="宋体" w:asciiTheme="minorEastAsia" w:hAnsiTheme="minorEastAsia" w:eastAsiaTheme="minorEastAsia"/>
                <w:spacing w:val="0"/>
                <w:kern w:val="0"/>
                <w:sz w:val="21"/>
                <w:szCs w:val="21"/>
                <w:lang w:val="en-US" w:eastAsia="zh-CN"/>
              </w:rPr>
              <w:t>1</w:t>
            </w:r>
          </w:p>
        </w:tc>
        <w:tc>
          <w:tcPr>
            <w:tcW w:w="1943"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inorEastAsia" w:hAnsiTheme="minorEastAsia" w:eastAsiaTheme="minorEastAsia"/>
                <w:spacing w:val="0"/>
                <w:kern w:val="0"/>
                <w:sz w:val="21"/>
                <w:szCs w:val="21"/>
              </w:rPr>
            </w:pPr>
            <w:r>
              <w:rPr>
                <w:rFonts w:hint="eastAsia" w:cs="宋体" w:asciiTheme="minorEastAsia" w:hAnsiTheme="minorEastAsia" w:eastAsiaTheme="minorEastAsia"/>
                <w:spacing w:val="0"/>
                <w:kern w:val="0"/>
                <w:sz w:val="21"/>
                <w:szCs w:val="21"/>
                <w:lang w:val="en-US" w:eastAsia="zh-CN"/>
              </w:rPr>
              <w:t>水文站至水利局</w:t>
            </w:r>
          </w:p>
        </w:tc>
        <w:tc>
          <w:tcPr>
            <w:tcW w:w="1735" w:type="pct"/>
            <w:tcBorders>
              <w:top w:val="nil"/>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hint="default" w:cs="宋体" w:asciiTheme="minorEastAsia" w:hAnsiTheme="minorEastAsia" w:eastAsiaTheme="minorEastAsia"/>
                <w:spacing w:val="0"/>
                <w:kern w:val="0"/>
                <w:sz w:val="21"/>
                <w:szCs w:val="21"/>
                <w:lang w:val="en-US" w:eastAsia="zh-CN"/>
              </w:rPr>
            </w:pPr>
            <w:r>
              <w:rPr>
                <w:rFonts w:hint="eastAsia" w:cs="宋体" w:asciiTheme="minorEastAsia" w:hAnsiTheme="minorEastAsia" w:eastAsiaTheme="minorEastAsia"/>
                <w:spacing w:val="0"/>
                <w:kern w:val="0"/>
                <w:sz w:val="21"/>
                <w:szCs w:val="21"/>
                <w:lang w:val="en-US" w:eastAsia="zh-CN"/>
              </w:rPr>
              <w:t>100</w:t>
            </w:r>
          </w:p>
        </w:tc>
        <w:tc>
          <w:tcPr>
            <w:tcW w:w="858" w:type="pct"/>
            <w:tcBorders>
              <w:top w:val="nil"/>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hint="eastAsia" w:cs="宋体" w:asciiTheme="minorEastAsia" w:hAnsiTheme="minorEastAsia" w:eastAsiaTheme="minorEastAsia"/>
                <w:spacing w:val="0"/>
                <w:kern w:val="0"/>
                <w:sz w:val="21"/>
                <w:szCs w:val="21"/>
                <w:lang w:eastAsia="zh-CN"/>
              </w:rPr>
            </w:pPr>
            <w:r>
              <w:rPr>
                <w:rFonts w:hint="eastAsia" w:cs="宋体" w:asciiTheme="minorEastAsia" w:hAnsiTheme="minorEastAsia" w:eastAsiaTheme="minorEastAsia"/>
                <w:spacing w:val="0"/>
                <w:kern w:val="0"/>
                <w:sz w:val="21"/>
                <w:szCs w:val="21"/>
                <w:lang w:val="en-US" w:eastAsia="zh-CN"/>
              </w:rPr>
              <w:t>3</w:t>
            </w:r>
          </w:p>
        </w:tc>
      </w:tr>
      <w:tr>
        <w:tblPrEx>
          <w:tblCellMar>
            <w:top w:w="0" w:type="dxa"/>
            <w:left w:w="108" w:type="dxa"/>
            <w:bottom w:w="0" w:type="dxa"/>
            <w:right w:w="108" w:type="dxa"/>
          </w:tblCellMar>
        </w:tblPrEx>
        <w:trPr>
          <w:trHeight w:val="454" w:hRule="atLeast"/>
        </w:trPr>
        <w:tc>
          <w:tcPr>
            <w:tcW w:w="462" w:type="pct"/>
            <w:tcBorders>
              <w:top w:val="nil"/>
              <w:left w:val="single" w:color="auto" w:sz="4" w:space="0"/>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hint="eastAsia" w:cs="宋体" w:asciiTheme="minorEastAsia" w:hAnsiTheme="minorEastAsia" w:eastAsiaTheme="minorEastAsia"/>
                <w:spacing w:val="0"/>
                <w:kern w:val="0"/>
                <w:sz w:val="21"/>
                <w:szCs w:val="21"/>
                <w:lang w:eastAsia="zh-CN"/>
              </w:rPr>
            </w:pPr>
            <w:r>
              <w:rPr>
                <w:rFonts w:hint="eastAsia" w:cs="宋体" w:asciiTheme="minorEastAsia" w:hAnsiTheme="minorEastAsia" w:eastAsiaTheme="minorEastAsia"/>
                <w:spacing w:val="0"/>
                <w:kern w:val="0"/>
                <w:sz w:val="21"/>
                <w:szCs w:val="21"/>
                <w:lang w:val="en-US" w:eastAsia="zh-CN"/>
              </w:rPr>
              <w:t>2</w:t>
            </w:r>
          </w:p>
        </w:tc>
        <w:tc>
          <w:tcPr>
            <w:tcW w:w="1943" w:type="pct"/>
            <w:tcBorders>
              <w:top w:val="nil"/>
              <w:left w:val="nil"/>
              <w:bottom w:val="single" w:color="auto" w:sz="4" w:space="0"/>
              <w:right w:val="single" w:color="auto" w:sz="4" w:space="0"/>
            </w:tcBorders>
            <w:shd w:val="clear" w:color="auto" w:fill="auto"/>
            <w:vAlign w:val="center"/>
          </w:tcPr>
          <w:p>
            <w:pPr>
              <w:widowControl/>
              <w:snapToGrid/>
              <w:spacing w:line="240" w:lineRule="auto"/>
              <w:ind w:firstLine="0" w:firstLineChars="0"/>
              <w:jc w:val="center"/>
              <w:rPr>
                <w:rFonts w:cs="宋体" w:asciiTheme="minorEastAsia" w:hAnsiTheme="minorEastAsia" w:eastAsiaTheme="minorEastAsia"/>
                <w:spacing w:val="0"/>
                <w:kern w:val="0"/>
                <w:sz w:val="21"/>
                <w:szCs w:val="21"/>
              </w:rPr>
            </w:pPr>
            <w:r>
              <w:rPr>
                <w:rFonts w:hint="eastAsia" w:cs="宋体" w:asciiTheme="minorEastAsia" w:hAnsiTheme="minorEastAsia" w:eastAsiaTheme="minorEastAsia"/>
                <w:spacing w:val="0"/>
                <w:kern w:val="0"/>
                <w:sz w:val="21"/>
                <w:szCs w:val="21"/>
                <w:lang w:val="en-US" w:eastAsia="zh-CN"/>
              </w:rPr>
              <w:t>视频站至水利局</w:t>
            </w:r>
          </w:p>
        </w:tc>
        <w:tc>
          <w:tcPr>
            <w:tcW w:w="1735" w:type="pct"/>
            <w:tcBorders>
              <w:top w:val="nil"/>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cs="宋体" w:asciiTheme="minorEastAsia" w:hAnsiTheme="minorEastAsia" w:eastAsiaTheme="minorEastAsia"/>
                <w:spacing w:val="0"/>
                <w:kern w:val="0"/>
                <w:sz w:val="21"/>
                <w:szCs w:val="21"/>
              </w:rPr>
            </w:pPr>
            <w:r>
              <w:rPr>
                <w:rFonts w:hint="eastAsia" w:cs="宋体" w:asciiTheme="minorEastAsia" w:hAnsiTheme="minorEastAsia" w:eastAsiaTheme="minorEastAsia"/>
                <w:spacing w:val="0"/>
                <w:kern w:val="0"/>
                <w:sz w:val="21"/>
                <w:szCs w:val="21"/>
              </w:rPr>
              <w:t>10</w:t>
            </w:r>
          </w:p>
        </w:tc>
        <w:tc>
          <w:tcPr>
            <w:tcW w:w="858" w:type="pct"/>
            <w:tcBorders>
              <w:top w:val="nil"/>
              <w:left w:val="nil"/>
              <w:bottom w:val="single" w:color="auto" w:sz="4" w:space="0"/>
              <w:right w:val="single" w:color="auto" w:sz="4" w:space="0"/>
            </w:tcBorders>
            <w:shd w:val="clear" w:color="auto" w:fill="auto"/>
            <w:noWrap/>
            <w:vAlign w:val="center"/>
          </w:tcPr>
          <w:p>
            <w:pPr>
              <w:widowControl/>
              <w:snapToGrid/>
              <w:spacing w:line="240" w:lineRule="auto"/>
              <w:ind w:firstLine="0" w:firstLineChars="0"/>
              <w:jc w:val="center"/>
              <w:rPr>
                <w:rFonts w:hint="default" w:cs="宋体" w:asciiTheme="minorEastAsia" w:hAnsiTheme="minorEastAsia" w:eastAsiaTheme="minorEastAsia"/>
                <w:spacing w:val="0"/>
                <w:kern w:val="0"/>
                <w:sz w:val="21"/>
                <w:szCs w:val="21"/>
                <w:lang w:val="en-US" w:eastAsia="zh-CN"/>
              </w:rPr>
            </w:pPr>
            <w:r>
              <w:rPr>
                <w:rFonts w:hint="eastAsia" w:cs="宋体" w:asciiTheme="minorEastAsia" w:hAnsiTheme="minorEastAsia" w:eastAsiaTheme="minorEastAsia"/>
                <w:spacing w:val="0"/>
                <w:kern w:val="0"/>
                <w:sz w:val="21"/>
                <w:szCs w:val="21"/>
                <w:lang w:val="en-US" w:eastAsia="zh-CN"/>
              </w:rPr>
              <w:t>17</w:t>
            </w:r>
          </w:p>
        </w:tc>
      </w:tr>
    </w:tbl>
    <w:p>
      <w:pPr>
        <w:rPr>
          <w:rFonts w:hint="eastAsia"/>
        </w:rPr>
      </w:pPr>
    </w:p>
    <w:p>
      <w:pPr>
        <w:numPr>
          <w:ilvl w:val="0"/>
          <w:numId w:val="0"/>
        </w:numPr>
        <w:ind w:left="480" w:leftChars="0"/>
        <w:rPr>
          <w:rFonts w:hint="eastAsia"/>
          <w:lang w:val="en-US" w:eastAsia="zh-CN"/>
        </w:rPr>
      </w:pPr>
      <w:r>
        <w:rPr>
          <w:rFonts w:hint="eastAsia"/>
          <w:lang w:val="en-US" w:eastAsia="zh-CN"/>
        </w:rPr>
        <w:t>2、</w:t>
      </w:r>
      <w:r>
        <w:rPr>
          <w:rFonts w:hint="eastAsia"/>
        </w:rPr>
        <w:t>新增前端至平台</w:t>
      </w:r>
      <w:r>
        <w:rPr>
          <w:rFonts w:hint="eastAsia"/>
          <w:lang w:val="en-US" w:eastAsia="zh-CN"/>
        </w:rPr>
        <w:t>的</w:t>
      </w:r>
      <w:r>
        <w:rPr>
          <w:rFonts w:hint="eastAsia"/>
        </w:rPr>
        <w:t>传输链路</w:t>
      </w:r>
      <w:r>
        <w:rPr>
          <w:rFonts w:hint="eastAsia"/>
          <w:lang w:val="en-US" w:eastAsia="zh-CN"/>
        </w:rPr>
        <w:t>需求如下：</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4"/>
        <w:gridCol w:w="2130"/>
        <w:gridCol w:w="1144"/>
        <w:gridCol w:w="746"/>
        <w:gridCol w:w="746"/>
        <w:gridCol w:w="747"/>
        <w:gridCol w:w="747"/>
        <w:gridCol w:w="747"/>
        <w:gridCol w:w="7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点位名称</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安装方式</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枪机</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球机</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20M</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40M</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60M</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南天湖东路18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雪玉路社区10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雪玉路社区11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雪玉路社区12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滨江西路社区19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滨江西路社区20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滨江西路社区21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滨江西路社区22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滨江西路社区23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滨江西路社区24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滨江西路社区25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南天湖西路社区9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南天湖中路社区19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南天湖中路社区29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南天湖中路社区30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南天湖中路社区31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南天湖中路社区32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滨江东路社区19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滨江东路社区29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滨江东路社区37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滨江中路社区10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滨江中路社区11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滨江中路社区12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滨江中路社区13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滨江中路社区14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平都东路社区19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平都东路社区20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平都东路社区21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平都东路社区22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平都东路社区23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平都东路社区24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平都东路社区25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平都中路社区19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平都中路社区20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平都中路社区21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平都中路社区22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平都中路社区23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平都中路社区24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平都中路社区25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平都中路社区26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平都西路社区10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平都西路社区11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平都西路社区12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平都西路社区13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平都西路社区14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平都西路社区15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双桂社区10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双桂社区11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双桂社区12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花园社区1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花园社区2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花园社区3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花园社区4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花园社区5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高家镇19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高家镇21</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252</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高家镇22</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253</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高家镇23</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254</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高家镇24</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255</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256</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高家镇26</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257</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高家镇27</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258</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259</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高家镇29</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高家镇30</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立杆</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bl>
    <w:p>
      <w:pPr>
        <w:pStyle w:val="16"/>
        <w:numPr>
          <w:ilvl w:val="0"/>
          <w:numId w:val="0"/>
        </w:numPr>
        <w:ind w:leftChars="200"/>
        <w:rPr>
          <w:rFonts w:hint="default"/>
          <w:lang w:val="en-US" w:eastAsia="zh-CN"/>
        </w:rPr>
      </w:pPr>
    </w:p>
    <w:p>
      <w:pPr>
        <w:pStyle w:val="6"/>
        <w:bidi w:val="0"/>
        <w:rPr>
          <w:rFonts w:hint="default"/>
          <w:lang w:val="en-US" w:eastAsia="zh-CN"/>
        </w:rPr>
      </w:pPr>
      <w:bookmarkStart w:id="268" w:name="_Toc31293"/>
      <w:r>
        <w:rPr>
          <w:rFonts w:hint="eastAsia"/>
          <w:lang w:val="en-US" w:eastAsia="zh-CN"/>
        </w:rPr>
        <w:t>配套电源</w:t>
      </w:r>
      <w:bookmarkEnd w:id="268"/>
    </w:p>
    <w:p>
      <w:pPr>
        <w:bidi w:val="0"/>
        <w:rPr>
          <w:highlight w:val="none"/>
        </w:rPr>
      </w:pPr>
      <w:r>
        <w:rPr>
          <w:rFonts w:hint="eastAsia"/>
          <w:lang w:eastAsia="zh-CN"/>
        </w:rPr>
        <w:t>（</w:t>
      </w:r>
      <w:r>
        <w:rPr>
          <w:rFonts w:hint="eastAsia"/>
          <w:lang w:val="en-US" w:eastAsia="zh-CN"/>
        </w:rPr>
        <w:t>1）</w:t>
      </w:r>
      <w:r>
        <w:rPr>
          <w:rFonts w:hint="eastAsia"/>
        </w:rPr>
        <w:t>前端配电</w:t>
      </w:r>
    </w:p>
    <w:p>
      <w:pPr>
        <w:ind w:firstLine="520"/>
        <w:rPr>
          <w:highlight w:val="none"/>
        </w:rPr>
      </w:pPr>
      <w:r>
        <w:rPr>
          <w:rFonts w:hint="eastAsia"/>
          <w:highlight w:val="none"/>
        </w:rPr>
        <w:t>本项目的前端供电需求如下：</w:t>
      </w:r>
    </w:p>
    <w:p>
      <w:pPr>
        <w:pStyle w:val="36"/>
        <w:bidi w:val="0"/>
        <w:rPr>
          <w:rFonts w:hint="eastAsia"/>
        </w:rPr>
      </w:pPr>
      <w:r>
        <w:rPr>
          <w:rFonts w:hint="eastAsia"/>
        </w:rPr>
        <w:t>前端供电需求表</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02"/>
        <w:gridCol w:w="1515"/>
        <w:gridCol w:w="1102"/>
        <w:gridCol w:w="1102"/>
        <w:gridCol w:w="1825"/>
        <w:gridCol w:w="1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blHeader/>
        </w:trPr>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Style w:val="88"/>
                <w:sz w:val="21"/>
                <w:szCs w:val="21"/>
                <w:lang w:val="en-US" w:eastAsia="zh-CN" w:bidi="ar"/>
              </w:rPr>
              <w:t>序号</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Style w:val="88"/>
                <w:sz w:val="21"/>
                <w:szCs w:val="21"/>
                <w:lang w:val="en-US" w:eastAsia="zh-CN" w:bidi="ar"/>
              </w:rPr>
              <w:t>设备名称</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Style w:val="88"/>
                <w:sz w:val="21"/>
                <w:szCs w:val="21"/>
                <w:lang w:val="en-US" w:eastAsia="zh-CN" w:bidi="ar"/>
              </w:rPr>
              <w:t>单位</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Style w:val="88"/>
                <w:sz w:val="21"/>
                <w:szCs w:val="21"/>
                <w:lang w:val="en-US" w:eastAsia="zh-CN" w:bidi="ar"/>
              </w:rPr>
              <w:t>数量</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Style w:val="88"/>
                <w:sz w:val="21"/>
                <w:szCs w:val="21"/>
                <w:lang w:val="en-US" w:eastAsia="zh-CN" w:bidi="ar"/>
              </w:rPr>
              <w:t>单台功耗(W)</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Style w:val="88"/>
                <w:sz w:val="21"/>
                <w:szCs w:val="21"/>
                <w:lang w:val="en-US" w:eastAsia="zh-CN" w:bidi="ar"/>
              </w:rPr>
              <w:t>合计功耗(W)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结构化枪机</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Style w:val="88"/>
                <w:sz w:val="21"/>
                <w:szCs w:val="21"/>
                <w:lang w:val="en-US" w:eastAsia="zh-CN" w:bidi="ar"/>
              </w:rPr>
              <w:t>台</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结构化球机</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Style w:val="88"/>
                <w:sz w:val="21"/>
                <w:szCs w:val="21"/>
                <w:lang w:val="en-US" w:eastAsia="zh-CN" w:bidi="ar"/>
              </w:rPr>
              <w:t>台</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179</w:t>
            </w: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Style w:val="88"/>
                <w:sz w:val="21"/>
                <w:szCs w:val="21"/>
                <w:lang w:val="en-US" w:eastAsia="zh-CN" w:bidi="ar"/>
              </w:rPr>
              <w:t>　合计</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0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20820</w:t>
            </w:r>
          </w:p>
        </w:tc>
      </w:tr>
    </w:tbl>
    <w:p>
      <w:pPr>
        <w:numPr>
          <w:ilvl w:val="0"/>
          <w:numId w:val="0"/>
        </w:numPr>
        <w:tabs>
          <w:tab w:val="left" w:pos="0"/>
        </w:tabs>
        <w:bidi w:val="0"/>
      </w:pPr>
    </w:p>
    <w:p>
      <w:pPr>
        <w:bidi w:val="0"/>
      </w:pPr>
      <w:r>
        <w:rPr>
          <w:rFonts w:hint="eastAsia"/>
          <w:lang w:val="en-US" w:eastAsia="zh-CN"/>
        </w:rPr>
        <w:t>（2）后端</w:t>
      </w:r>
      <w:r>
        <w:rPr>
          <w:rFonts w:hint="eastAsia"/>
        </w:rPr>
        <w:t>配电</w:t>
      </w:r>
      <w:r>
        <w:rPr>
          <w:rFonts w:hint="eastAsia"/>
          <w:lang w:val="en-US" w:eastAsia="zh-CN"/>
        </w:rPr>
        <w:tab/>
      </w:r>
    </w:p>
    <w:p>
      <w:pPr>
        <w:bidi w:val="0"/>
        <w:rPr>
          <w:rFonts w:hint="default" w:eastAsia="宋体"/>
          <w:lang w:val="en-US" w:eastAsia="zh-CN"/>
        </w:rPr>
      </w:pPr>
      <w:r>
        <w:rPr>
          <w:rFonts w:hint="eastAsia"/>
          <w:lang w:val="en-US" w:eastAsia="zh-CN"/>
        </w:rPr>
        <w:t>雪亮机房配置有2台额定功率为152KW的列头柜用于机房机柜供电，其中雪亮工程建设的设备预计总功率为59KW，剩余功率满足本次新增设备的供电需求。</w:t>
      </w:r>
    </w:p>
    <w:p>
      <w:pPr>
        <w:pStyle w:val="36"/>
        <w:bidi w:val="0"/>
        <w:rPr>
          <w:rFonts w:hint="eastAsia"/>
        </w:rPr>
      </w:pPr>
      <w:r>
        <w:rPr>
          <w:rFonts w:hint="eastAsia"/>
          <w:lang w:val="en-US" w:eastAsia="zh-CN"/>
        </w:rPr>
        <w:t>后端</w:t>
      </w:r>
      <w:r>
        <w:rPr>
          <w:rFonts w:hint="eastAsia"/>
        </w:rPr>
        <w:t>供电需求表</w:t>
      </w:r>
    </w:p>
    <w:tbl>
      <w:tblPr>
        <w:tblStyle w:val="2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7"/>
        <w:gridCol w:w="2245"/>
        <w:gridCol w:w="1067"/>
        <w:gridCol w:w="1067"/>
        <w:gridCol w:w="1510"/>
        <w:gridCol w:w="15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blHeader/>
        </w:trPr>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设备名称</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单台功耗(W)</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合计功耗(W)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云存储服务器</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4800</w:t>
            </w:r>
          </w:p>
        </w:tc>
      </w:tr>
    </w:tbl>
    <w:p>
      <w:pPr>
        <w:rPr>
          <w:rFonts w:hint="eastAsia"/>
        </w:rPr>
      </w:pPr>
    </w:p>
    <w:bookmarkEnd w:id="260"/>
    <w:bookmarkEnd w:id="261"/>
    <w:bookmarkEnd w:id="262"/>
    <w:bookmarkEnd w:id="263"/>
    <w:p>
      <w:pPr>
        <w:pStyle w:val="5"/>
        <w:keepNext w:val="0"/>
        <w:rPr>
          <w:color w:val="auto"/>
        </w:rPr>
      </w:pPr>
      <w:bookmarkStart w:id="269" w:name="_Toc25329"/>
      <w:bookmarkStart w:id="270" w:name="_Toc27832"/>
      <w:bookmarkStart w:id="271" w:name="_Toc7870"/>
      <w:r>
        <w:rPr>
          <w:rFonts w:hint="eastAsia"/>
          <w:color w:val="auto"/>
          <w:lang w:val="en-US" w:eastAsia="zh-CN"/>
        </w:rPr>
        <w:t>运维服务工作及要求</w:t>
      </w:r>
      <w:bookmarkEnd w:id="269"/>
    </w:p>
    <w:p>
      <w:pPr>
        <w:pStyle w:val="6"/>
        <w:widowControl/>
        <w:spacing w:before="289" w:after="289"/>
      </w:pPr>
      <w:bookmarkStart w:id="272" w:name="_Toc68482604"/>
      <w:bookmarkStart w:id="273" w:name="_Toc1052"/>
      <w:bookmarkStart w:id="274" w:name="_Toc68482671"/>
      <w:r>
        <w:rPr>
          <w:rFonts w:hint="eastAsia" w:cs="黑体"/>
        </w:rPr>
        <w:t>外场维护内容和要求</w:t>
      </w:r>
      <w:bookmarkEnd w:id="272"/>
      <w:bookmarkEnd w:id="273"/>
    </w:p>
    <w:p>
      <w:pPr>
        <w:bidi w:val="0"/>
      </w:pPr>
      <w:r>
        <w:rPr>
          <w:rFonts w:hint="eastAsia"/>
        </w:rPr>
        <w:t>1、定期巡检服务，运维实施单位每季度至少对所有视频监控前端设备（摄像机、杆体、箱体、传输设备、链路等）巡检一次，确保设备正常稳定工作，并对巡检结果出具报告上报</w:t>
      </w:r>
      <w:r>
        <w:rPr>
          <w:rFonts w:hint="eastAsia"/>
          <w:lang w:val="en-US" w:eastAsia="zh-CN"/>
        </w:rPr>
        <w:t>至丰都县水利局和公安局</w:t>
      </w:r>
      <w:r>
        <w:rPr>
          <w:rFonts w:hint="eastAsia"/>
        </w:rPr>
        <w:t>。</w:t>
      </w:r>
    </w:p>
    <w:p>
      <w:pPr>
        <w:bidi w:val="0"/>
      </w:pPr>
      <w:r>
        <w:rPr>
          <w:rFonts w:hint="eastAsia"/>
        </w:rPr>
        <w:t>2、故障处理要求，运维实施单位通过日常监控及巡检发现的系统或设备故障，进行排查分析，定位故障原因，研判故障，处理故障，对于处于质保期内的，协调上述相应的有关单位进行处理。</w:t>
      </w:r>
    </w:p>
    <w:p>
      <w:pPr>
        <w:bidi w:val="0"/>
      </w:pPr>
      <w:r>
        <w:rPr>
          <w:rFonts w:hint="eastAsia"/>
          <w:lang w:val="en-US" w:eastAsia="zh-CN"/>
        </w:rPr>
        <w:t>3</w:t>
      </w:r>
      <w:r>
        <w:rPr>
          <w:rFonts w:hint="eastAsia"/>
        </w:rPr>
        <w:t>、定期清洁服务，运维实施单位应定期清洁前端摄像机护罩、监控标识牌、智能机箱，并对影响摄像机的监控效果的枝叶等遮挡物及时进行修整，对摄像机角度进行调整。</w:t>
      </w:r>
    </w:p>
    <w:bookmarkEnd w:id="274"/>
    <w:p>
      <w:pPr>
        <w:pStyle w:val="7"/>
        <w:widowControl/>
        <w:tabs>
          <w:tab w:val="clear" w:pos="0"/>
          <w:tab w:val="clear" w:pos="575"/>
        </w:tabs>
        <w:spacing w:before="289" w:after="289"/>
        <w:ind w:left="720" w:hanging="720"/>
      </w:pPr>
      <w:bookmarkStart w:id="275" w:name="_Toc29519"/>
      <w:r>
        <w:rPr>
          <w:rFonts w:hint="eastAsia" w:cs="黑体"/>
        </w:rPr>
        <w:t>外场设备要求</w:t>
      </w:r>
      <w:bookmarkEnd w:id="275"/>
    </w:p>
    <w:p>
      <w:pPr>
        <w:adjustRightInd w:val="0"/>
        <w:snapToGrid w:val="0"/>
        <w:ind w:firstLine="524" w:firstLineChars="200"/>
        <w:rPr>
          <w:bCs/>
        </w:rPr>
      </w:pPr>
      <w:r>
        <w:rPr>
          <w:rFonts w:hint="eastAsia" w:ascii="宋体" w:hAnsi="宋体" w:eastAsia="宋体" w:cs="宋体"/>
          <w:bCs/>
          <w:sz w:val="24"/>
        </w:rPr>
        <w:t>（1）外场设备要列入固定资产统一管理；</w:t>
      </w:r>
    </w:p>
    <w:p>
      <w:pPr>
        <w:adjustRightInd w:val="0"/>
        <w:snapToGrid w:val="0"/>
        <w:ind w:firstLine="524" w:firstLineChars="200"/>
        <w:rPr>
          <w:bCs/>
        </w:rPr>
      </w:pPr>
      <w:r>
        <w:rPr>
          <w:rFonts w:hint="eastAsia" w:ascii="宋体" w:hAnsi="宋体" w:eastAsia="宋体" w:cs="宋体"/>
          <w:bCs/>
          <w:sz w:val="24"/>
        </w:rPr>
        <w:t>（2）所有作为固定资产的设备，都应统一分类编号、建帐、立卡，做到帐、卡、物相符，及时记录增减情况，准确掌握设备的数量、质量和性能。充分利用信息技术手段，建立动态设备数据库，不断提高设备管理的经济效率和管理水平；</w:t>
      </w:r>
    </w:p>
    <w:p>
      <w:pPr>
        <w:adjustRightInd w:val="0"/>
        <w:snapToGrid w:val="0"/>
        <w:ind w:firstLine="524" w:firstLineChars="200"/>
        <w:rPr>
          <w:bCs/>
        </w:rPr>
      </w:pPr>
      <w:r>
        <w:rPr>
          <w:rFonts w:hint="eastAsia" w:ascii="宋体" w:hAnsi="宋体" w:eastAsia="宋体" w:cs="宋体"/>
          <w:bCs/>
          <w:sz w:val="24"/>
        </w:rPr>
        <w:t>（3）要做好设备档案工作，做到资料齐全，使用、维修原始记录准确完整。加强设备管理方面的资料积累和统计分析工作，建立设备的统计制度；</w:t>
      </w:r>
    </w:p>
    <w:p>
      <w:pPr>
        <w:adjustRightInd w:val="0"/>
        <w:snapToGrid w:val="0"/>
        <w:ind w:firstLine="524" w:firstLineChars="200"/>
        <w:rPr>
          <w:bCs/>
        </w:rPr>
      </w:pPr>
      <w:r>
        <w:rPr>
          <w:rFonts w:hint="eastAsia" w:ascii="宋体" w:hAnsi="宋体" w:eastAsia="宋体" w:cs="宋体"/>
          <w:bCs/>
          <w:sz w:val="24"/>
        </w:rPr>
        <w:t>（4）外场设备维护时应严格遵守操作规程。重视设备现场管理，做好清洁、检查、维护和调整工作；</w:t>
      </w:r>
    </w:p>
    <w:p>
      <w:pPr>
        <w:adjustRightInd w:val="0"/>
        <w:snapToGrid w:val="0"/>
        <w:ind w:firstLine="524" w:firstLineChars="200"/>
        <w:rPr>
          <w:bCs/>
        </w:rPr>
      </w:pPr>
      <w:r>
        <w:rPr>
          <w:rFonts w:hint="eastAsia" w:ascii="宋体" w:hAnsi="宋体" w:eastAsia="宋体" w:cs="宋体"/>
          <w:bCs/>
          <w:sz w:val="24"/>
        </w:rPr>
        <w:t>（5）外场设备是完成应用任务的物质基础，必须管理好、维护好、使用好。外场设备严禁挪作它用；</w:t>
      </w:r>
    </w:p>
    <w:p>
      <w:pPr>
        <w:adjustRightInd w:val="0"/>
        <w:snapToGrid w:val="0"/>
        <w:ind w:firstLine="524" w:firstLineChars="200"/>
        <w:rPr>
          <w:bCs/>
        </w:rPr>
      </w:pPr>
      <w:r>
        <w:rPr>
          <w:rFonts w:hint="eastAsia" w:ascii="宋体" w:hAnsi="宋体" w:eastAsia="宋体" w:cs="宋体"/>
          <w:bCs/>
          <w:sz w:val="24"/>
        </w:rPr>
        <w:t>（6）设备备品备件保管应建立相应的库房，分别存放，符合干燥、通风、安全的要求。对某些精密、贵重设备，应视具体保管要求，采取相应的防尘、防震、恒温等措施；</w:t>
      </w:r>
    </w:p>
    <w:p>
      <w:pPr>
        <w:adjustRightInd w:val="0"/>
        <w:snapToGrid w:val="0"/>
        <w:ind w:firstLine="524" w:firstLineChars="200"/>
        <w:rPr>
          <w:rFonts w:ascii="宋体" w:hAnsi="宋体" w:eastAsia="宋体" w:cs="宋体"/>
          <w:bCs/>
          <w:sz w:val="24"/>
        </w:rPr>
      </w:pPr>
      <w:r>
        <w:rPr>
          <w:rFonts w:hint="eastAsia" w:ascii="宋体" w:hAnsi="宋体" w:eastAsia="宋体" w:cs="宋体"/>
          <w:bCs/>
          <w:sz w:val="24"/>
        </w:rPr>
        <w:t>（</w:t>
      </w:r>
      <w:r>
        <w:rPr>
          <w:rFonts w:hint="eastAsia" w:cs="宋体"/>
          <w:bCs/>
          <w:sz w:val="24"/>
          <w:lang w:val="en-US" w:eastAsia="zh-CN"/>
        </w:rPr>
        <w:t>7</w:t>
      </w:r>
      <w:r>
        <w:rPr>
          <w:rFonts w:hint="eastAsia" w:ascii="宋体" w:hAnsi="宋体" w:eastAsia="宋体" w:cs="宋体"/>
          <w:bCs/>
          <w:sz w:val="24"/>
        </w:rPr>
        <w:t>）设备清查工作原则上每年进行一次，清查内容包括：帐物是否相符、设备使用情况、设备事故报告。</w:t>
      </w:r>
    </w:p>
    <w:p>
      <w:pPr>
        <w:adjustRightInd w:val="0"/>
        <w:snapToGrid w:val="0"/>
        <w:ind w:firstLine="524" w:firstLineChars="200"/>
        <w:rPr>
          <w:rFonts w:eastAsia="宋体"/>
        </w:rPr>
      </w:pPr>
      <w:r>
        <w:rPr>
          <w:rFonts w:hint="eastAsia" w:ascii="宋体" w:hAnsi="宋体" w:eastAsia="宋体" w:cs="宋体"/>
          <w:bCs/>
          <w:sz w:val="24"/>
        </w:rPr>
        <w:t>（</w:t>
      </w:r>
      <w:r>
        <w:rPr>
          <w:rFonts w:hint="eastAsia" w:cs="宋体"/>
          <w:bCs/>
          <w:sz w:val="24"/>
          <w:lang w:val="en-US" w:eastAsia="zh-CN"/>
        </w:rPr>
        <w:t>8</w:t>
      </w:r>
      <w:r>
        <w:rPr>
          <w:rFonts w:hint="eastAsia" w:ascii="宋体" w:hAnsi="宋体" w:eastAsia="宋体" w:cs="宋体"/>
          <w:bCs/>
          <w:sz w:val="24"/>
        </w:rPr>
        <w:t>）外场发生的设备事故，必须按有关规定和职责范围组织调查、分析、处理上报。事故等级的划分按各专业维护规程规定执行，</w:t>
      </w:r>
      <w:r>
        <w:rPr>
          <w:rFonts w:hint="eastAsia" w:ascii="宋体" w:hAnsi="宋体" w:eastAsia="宋体" w:cs="宋体"/>
          <w:sz w:val="24"/>
        </w:rPr>
        <w:t>雷雨季节要加强对外场设备、杆件及电路检查，发现自然灾害立即启动应急方案。</w:t>
      </w:r>
    </w:p>
    <w:p>
      <w:pPr>
        <w:pStyle w:val="8"/>
        <w:widowControl/>
        <w:tabs>
          <w:tab w:val="left" w:pos="0"/>
          <w:tab w:val="clear" w:pos="1282"/>
        </w:tabs>
        <w:spacing w:before="166" w:after="166"/>
        <w:ind w:left="720" w:hanging="720"/>
        <w:rPr>
          <w:rFonts w:hint="default"/>
        </w:rPr>
      </w:pPr>
      <w:bookmarkStart w:id="276" w:name="_Toc25794"/>
      <w:r>
        <w:rPr>
          <w:rFonts w:cs="黑体"/>
        </w:rPr>
        <w:t>设备完好标准</w:t>
      </w:r>
      <w:bookmarkEnd w:id="276"/>
    </w:p>
    <w:p>
      <w:pPr>
        <w:adjustRightInd w:val="0"/>
        <w:snapToGrid w:val="0"/>
        <w:ind w:firstLine="524" w:firstLineChars="200"/>
        <w:rPr>
          <w:bCs/>
        </w:rPr>
      </w:pPr>
      <w:r>
        <w:rPr>
          <w:rFonts w:hint="eastAsia" w:ascii="宋体" w:hAnsi="宋体" w:eastAsia="宋体" w:cs="宋体"/>
          <w:bCs/>
          <w:sz w:val="24"/>
        </w:rPr>
        <w:t>（1）主要技术指标和电气性能应符合或高于维护技术标准；</w:t>
      </w:r>
    </w:p>
    <w:p>
      <w:pPr>
        <w:adjustRightInd w:val="0"/>
        <w:snapToGrid w:val="0"/>
        <w:ind w:firstLine="524" w:firstLineChars="200"/>
        <w:rPr>
          <w:bCs/>
        </w:rPr>
      </w:pPr>
      <w:r>
        <w:rPr>
          <w:rFonts w:hint="eastAsia" w:ascii="宋体" w:hAnsi="宋体" w:eastAsia="宋体" w:cs="宋体"/>
          <w:bCs/>
          <w:sz w:val="24"/>
        </w:rPr>
        <w:t>（2）主要功能与性能指标、业务能力应符合或高于规程规定的标准；</w:t>
      </w:r>
    </w:p>
    <w:p>
      <w:pPr>
        <w:adjustRightInd w:val="0"/>
        <w:snapToGrid w:val="0"/>
        <w:ind w:firstLine="524" w:firstLineChars="200"/>
        <w:rPr>
          <w:bCs/>
        </w:rPr>
      </w:pPr>
      <w:r>
        <w:rPr>
          <w:rFonts w:hint="eastAsia" w:ascii="宋体" w:hAnsi="宋体" w:eastAsia="宋体" w:cs="宋体"/>
          <w:bCs/>
          <w:sz w:val="24"/>
        </w:rPr>
        <w:t>（3）结构完整、部件齐全、外观整洁完好；</w:t>
      </w:r>
    </w:p>
    <w:p>
      <w:pPr>
        <w:adjustRightInd w:val="0"/>
        <w:snapToGrid w:val="0"/>
        <w:ind w:firstLine="524" w:firstLineChars="200"/>
        <w:rPr>
          <w:bCs/>
        </w:rPr>
      </w:pPr>
      <w:r>
        <w:rPr>
          <w:rFonts w:hint="eastAsia" w:ascii="宋体" w:hAnsi="宋体" w:eastAsia="宋体" w:cs="宋体"/>
          <w:bCs/>
          <w:sz w:val="24"/>
        </w:rPr>
        <w:t>（4）设备能正常运行、使用良好；</w:t>
      </w:r>
    </w:p>
    <w:p>
      <w:pPr>
        <w:adjustRightInd w:val="0"/>
        <w:snapToGrid w:val="0"/>
        <w:ind w:firstLine="524" w:firstLineChars="200"/>
        <w:rPr>
          <w:bCs/>
        </w:rPr>
      </w:pPr>
      <w:r>
        <w:rPr>
          <w:rFonts w:hint="eastAsia" w:ascii="宋体" w:hAnsi="宋体" w:eastAsia="宋体" w:cs="宋体"/>
          <w:bCs/>
          <w:sz w:val="24"/>
        </w:rPr>
        <w:t>（5）技术资料、图纸齐全并与实物相符；</w:t>
      </w:r>
    </w:p>
    <w:p>
      <w:pPr>
        <w:adjustRightInd w:val="0"/>
        <w:snapToGrid w:val="0"/>
        <w:ind w:firstLine="524" w:firstLineChars="200"/>
        <w:rPr>
          <w:bCs/>
        </w:rPr>
      </w:pPr>
      <w:r>
        <w:rPr>
          <w:rFonts w:hint="eastAsia" w:ascii="宋体" w:hAnsi="宋体" w:eastAsia="宋体" w:cs="宋体"/>
          <w:bCs/>
          <w:sz w:val="24"/>
        </w:rPr>
        <w:t>（6）设备完好率标准应符合重庆市公安局颁布的规定指标，并列入维护考核内容。</w:t>
      </w:r>
    </w:p>
    <w:p>
      <w:pPr>
        <w:pStyle w:val="8"/>
        <w:widowControl/>
        <w:tabs>
          <w:tab w:val="left" w:pos="0"/>
          <w:tab w:val="clear" w:pos="1282"/>
        </w:tabs>
        <w:spacing w:before="166" w:after="166"/>
        <w:ind w:left="720" w:hanging="720"/>
        <w:rPr>
          <w:rFonts w:hint="default"/>
        </w:rPr>
      </w:pPr>
      <w:bookmarkStart w:id="277" w:name="_Toc10053"/>
      <w:r>
        <w:rPr>
          <w:rFonts w:cs="黑体"/>
        </w:rPr>
        <w:t>设备的评估</w:t>
      </w:r>
      <w:bookmarkEnd w:id="277"/>
    </w:p>
    <w:p>
      <w:pPr>
        <w:bidi w:val="0"/>
      </w:pPr>
      <w:r>
        <w:rPr>
          <w:rFonts w:hint="eastAsia"/>
        </w:rPr>
        <w:t>1.加强设备评估有益于发现问题，提高系统运行质量，并为设备新采购提高主要依据。</w:t>
      </w:r>
    </w:p>
    <w:p>
      <w:pPr>
        <w:bidi w:val="0"/>
      </w:pPr>
      <w:r>
        <w:rPr>
          <w:rFonts w:hint="eastAsia"/>
        </w:rPr>
        <w:t>2.设备评估应定期进行，并可以结合专项评估、动态评估。</w:t>
      </w:r>
    </w:p>
    <w:p>
      <w:pPr>
        <w:bidi w:val="0"/>
      </w:pPr>
      <w:r>
        <w:rPr>
          <w:rFonts w:hint="eastAsia"/>
        </w:rPr>
        <w:t>3.要不断研究完善设备评估手段，通过引入信息技术手段，加强设备评估的工作效率。</w:t>
      </w:r>
    </w:p>
    <w:p>
      <w:pPr>
        <w:bidi w:val="0"/>
      </w:pPr>
      <w:r>
        <w:rPr>
          <w:rFonts w:hint="eastAsia"/>
        </w:rPr>
        <w:t>4.定期评估流程</w:t>
      </w:r>
    </w:p>
    <w:p>
      <w:pPr>
        <w:bidi w:val="0"/>
      </w:pPr>
      <w:r>
        <w:rPr>
          <w:rFonts w:hint="eastAsia"/>
        </w:rPr>
        <w:t>（1）根据运维管理部门的要求，由运维单位负责本次运维服务涉及设备的评估工作；</w:t>
      </w:r>
    </w:p>
    <w:p>
      <w:pPr>
        <w:bidi w:val="0"/>
      </w:pPr>
      <w:r>
        <w:rPr>
          <w:rFonts w:hint="eastAsia"/>
        </w:rPr>
        <w:t>（2）设备新采购应以设备综合评估意见为重要依据；</w:t>
      </w:r>
    </w:p>
    <w:p>
      <w:pPr>
        <w:bidi w:val="0"/>
      </w:pPr>
      <w:r>
        <w:rPr>
          <w:rFonts w:hint="eastAsia"/>
        </w:rPr>
        <w:t>（3）运维管理部门也可以根据业务需要自行组织设备评估；</w:t>
      </w:r>
    </w:p>
    <w:p>
      <w:pPr>
        <w:bidi w:val="0"/>
      </w:pPr>
      <w:r>
        <w:rPr>
          <w:rFonts w:hint="eastAsia"/>
        </w:rPr>
        <w:t>（4）定期评估、专项评估参照以上流程执行。</w:t>
      </w:r>
    </w:p>
    <w:p>
      <w:pPr>
        <w:pStyle w:val="8"/>
        <w:widowControl/>
        <w:tabs>
          <w:tab w:val="left" w:pos="0"/>
          <w:tab w:val="clear" w:pos="1282"/>
        </w:tabs>
        <w:spacing w:before="166" w:after="166"/>
        <w:ind w:left="720" w:hanging="720"/>
        <w:rPr>
          <w:rFonts w:hint="default"/>
        </w:rPr>
      </w:pPr>
      <w:bookmarkStart w:id="278" w:name="_Toc6532"/>
      <w:r>
        <w:rPr>
          <w:rFonts w:cs="黑体"/>
        </w:rPr>
        <w:t>设备的改造与更新</w:t>
      </w:r>
      <w:bookmarkEnd w:id="278"/>
    </w:p>
    <w:p>
      <w:pPr>
        <w:bidi w:val="0"/>
      </w:pPr>
      <w:r>
        <w:rPr>
          <w:rFonts w:hint="eastAsia"/>
        </w:rPr>
        <w:t>1.设备的改造与更新按固定资产改造更新流程办理</w:t>
      </w:r>
      <w:r>
        <w:rPr>
          <w:rFonts w:hint="eastAsia"/>
          <w:lang w:eastAsia="zh-CN"/>
        </w:rPr>
        <w:t>。</w:t>
      </w:r>
      <w:r>
        <w:rPr>
          <w:rFonts w:hint="eastAsia"/>
        </w:rPr>
        <w:t>在重要设备的改造与更新中，新设备的功能及技术参数不能低于被改造与更新的设备。其中，关键性重要设备的改造与更新，必须事先作出设计和技术经济论证，按设备管理权限报批后组织实施。</w:t>
      </w:r>
    </w:p>
    <w:p>
      <w:pPr>
        <w:bidi w:val="0"/>
      </w:pPr>
      <w:r>
        <w:rPr>
          <w:rFonts w:hint="eastAsia"/>
        </w:rPr>
        <w:t>2.设备改造竣工后，运维管理部门应按设计要求及有关规程进行验收和试运行。</w:t>
      </w:r>
    </w:p>
    <w:p>
      <w:pPr>
        <w:bidi w:val="0"/>
      </w:pPr>
      <w:r>
        <w:rPr>
          <w:rFonts w:hint="eastAsia"/>
        </w:rPr>
        <w:t>3.对下列情况之一的设备可予以报废（损）更新</w:t>
      </w:r>
    </w:p>
    <w:p>
      <w:pPr>
        <w:bidi w:val="0"/>
      </w:pPr>
      <w:r>
        <w:rPr>
          <w:rFonts w:hint="eastAsia"/>
        </w:rPr>
        <w:t>（1）已达到使用年限，并丧失使用价值的；</w:t>
      </w:r>
    </w:p>
    <w:p>
      <w:pPr>
        <w:bidi w:val="0"/>
      </w:pPr>
      <w:r>
        <w:rPr>
          <w:rFonts w:hint="eastAsia"/>
        </w:rPr>
        <w:t>（2）经过测试，大修理后技术性能仍不能满足要求和生产安全的；</w:t>
      </w:r>
    </w:p>
    <w:p>
      <w:pPr>
        <w:bidi w:val="0"/>
      </w:pPr>
      <w:r>
        <w:rPr>
          <w:rFonts w:hint="eastAsia"/>
        </w:rPr>
        <w:t>（3）设备老化、技术落后、耗能高、效率低或造成事故，大修理后虽能恢复使用，但不如更新经济的；</w:t>
      </w:r>
    </w:p>
    <w:p>
      <w:pPr>
        <w:bidi w:val="0"/>
      </w:pPr>
      <w:r>
        <w:rPr>
          <w:rFonts w:hint="eastAsia"/>
        </w:rPr>
        <w:t>（4）国家或主管部门规定淘汰的设备；</w:t>
      </w:r>
    </w:p>
    <w:p>
      <w:pPr>
        <w:bidi w:val="0"/>
      </w:pPr>
      <w:r>
        <w:rPr>
          <w:rFonts w:hint="eastAsia"/>
        </w:rPr>
        <w:t>（5）因事故毁坏，且无法修复的。</w:t>
      </w:r>
    </w:p>
    <w:p>
      <w:pPr>
        <w:pStyle w:val="7"/>
        <w:tabs>
          <w:tab w:val="clear" w:pos="0"/>
        </w:tabs>
        <w:spacing w:before="289" w:after="289"/>
      </w:pPr>
      <w:r>
        <w:rPr>
          <w:rFonts w:hint="eastAsia"/>
        </w:rPr>
        <w:t>日常监控与巡检</w:t>
      </w:r>
    </w:p>
    <w:p>
      <w:pPr>
        <w:bidi w:val="0"/>
        <w:rPr>
          <w:rFonts w:hint="default"/>
          <w:b/>
        </w:rPr>
      </w:pPr>
      <w:r>
        <w:t>监控及巡检内容：</w:t>
      </w:r>
    </w:p>
    <w:p>
      <w:pPr>
        <w:numPr>
          <w:ilvl w:val="0"/>
          <w:numId w:val="47"/>
        </w:numPr>
        <w:bidi w:val="0"/>
        <w:rPr>
          <w:rFonts w:hint="default"/>
        </w:rPr>
      </w:pPr>
      <w:r>
        <w:t>前端设备链路连接状态、网络设备端口状态，确保承载网络符合本项目运行质量要求；</w:t>
      </w:r>
    </w:p>
    <w:p>
      <w:pPr>
        <w:numPr>
          <w:ilvl w:val="0"/>
          <w:numId w:val="47"/>
        </w:numPr>
        <w:bidi w:val="0"/>
        <w:rPr>
          <w:rFonts w:hint="default"/>
        </w:rPr>
      </w:pPr>
      <w:r>
        <w:t>前端设备时间有误差，需人工校时，确保时间准确；</w:t>
      </w:r>
    </w:p>
    <w:p>
      <w:pPr>
        <w:numPr>
          <w:ilvl w:val="0"/>
          <w:numId w:val="47"/>
        </w:numPr>
        <w:bidi w:val="0"/>
        <w:rPr>
          <w:rFonts w:hint="default"/>
        </w:rPr>
      </w:pPr>
      <w:r>
        <w:t>受理业务部门前端故障申告；</w:t>
      </w:r>
    </w:p>
    <w:p>
      <w:pPr>
        <w:numPr>
          <w:ilvl w:val="0"/>
          <w:numId w:val="47"/>
        </w:numPr>
        <w:bidi w:val="0"/>
        <w:rPr>
          <w:rFonts w:hint="default"/>
        </w:rPr>
      </w:pPr>
      <w:r>
        <w:t>检查设备电气和传输性能，应符合设备的技术指标要求；</w:t>
      </w:r>
    </w:p>
    <w:p>
      <w:pPr>
        <w:numPr>
          <w:ilvl w:val="0"/>
          <w:numId w:val="47"/>
        </w:numPr>
        <w:bidi w:val="0"/>
        <w:rPr>
          <w:rFonts w:hint="default"/>
        </w:rPr>
      </w:pPr>
      <w:r>
        <w:t>根据业务部门需求申请，调整摄像头监控区域；</w:t>
      </w:r>
    </w:p>
    <w:p>
      <w:pPr>
        <w:numPr>
          <w:ilvl w:val="0"/>
          <w:numId w:val="47"/>
        </w:numPr>
        <w:bidi w:val="0"/>
        <w:rPr>
          <w:rFonts w:hint="default"/>
        </w:rPr>
      </w:pPr>
      <w:r>
        <w:t>结构完整，安装符合技术规范要求，部件齐全，设备清洁，设备安装环境符合要求；</w:t>
      </w:r>
    </w:p>
    <w:p>
      <w:pPr>
        <w:numPr>
          <w:ilvl w:val="0"/>
          <w:numId w:val="47"/>
        </w:numPr>
        <w:bidi w:val="0"/>
        <w:rPr>
          <w:rFonts w:hint="default"/>
        </w:rPr>
      </w:pPr>
      <w:r>
        <w:t>技术资料齐全、完整，与设备相符；</w:t>
      </w:r>
    </w:p>
    <w:p>
      <w:pPr>
        <w:numPr>
          <w:ilvl w:val="0"/>
          <w:numId w:val="47"/>
        </w:numPr>
        <w:bidi w:val="0"/>
        <w:rPr>
          <w:rFonts w:hint="default"/>
        </w:rPr>
      </w:pPr>
      <w:r>
        <w:t>设备长期使用，性能严重下降，元器件老化、经常出现不明故障难以修复的要及时更换，坏件及时返修。</w:t>
      </w:r>
    </w:p>
    <w:p>
      <w:pPr>
        <w:bidi w:val="0"/>
        <w:rPr>
          <w:rFonts w:hint="default"/>
        </w:rPr>
      </w:pPr>
      <w:r>
        <w:t>作业项目与周期如下：</w:t>
      </w:r>
    </w:p>
    <w:tbl>
      <w:tblPr>
        <w:tblStyle w:val="28"/>
        <w:tblW w:w="5000" w:type="pct"/>
        <w:tblInd w:w="113" w:type="dxa"/>
        <w:tblLayout w:type="autofit"/>
        <w:tblCellMar>
          <w:top w:w="0" w:type="dxa"/>
          <w:left w:w="108" w:type="dxa"/>
          <w:bottom w:w="0" w:type="dxa"/>
          <w:right w:w="108" w:type="dxa"/>
        </w:tblCellMar>
      </w:tblPr>
      <w:tblGrid>
        <w:gridCol w:w="760"/>
        <w:gridCol w:w="1264"/>
        <w:gridCol w:w="4329"/>
        <w:gridCol w:w="1354"/>
        <w:gridCol w:w="764"/>
      </w:tblGrid>
      <w:tr>
        <w:tblPrEx>
          <w:tblCellMar>
            <w:top w:w="0" w:type="dxa"/>
            <w:left w:w="108" w:type="dxa"/>
            <w:bottom w:w="0" w:type="dxa"/>
            <w:right w:w="108" w:type="dxa"/>
          </w:tblCellMar>
        </w:tblPrEx>
        <w:trPr>
          <w:trHeight w:val="288" w:hRule="atLeast"/>
          <w:tblHeader/>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外场治安监控系统</w:t>
            </w:r>
          </w:p>
        </w:tc>
      </w:tr>
      <w:tr>
        <w:tblPrEx>
          <w:tblCellMar>
            <w:top w:w="0" w:type="dxa"/>
            <w:left w:w="108" w:type="dxa"/>
            <w:bottom w:w="0" w:type="dxa"/>
            <w:right w:w="108" w:type="dxa"/>
          </w:tblCellMar>
        </w:tblPrEx>
        <w:trPr>
          <w:trHeight w:val="576" w:hRule="atLeast"/>
        </w:trPr>
        <w:tc>
          <w:tcPr>
            <w:tcW w:w="449" w:type="pct"/>
            <w:tcBorders>
              <w:top w:val="nil"/>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746"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摄像机、云台控制检查 </w:t>
            </w:r>
          </w:p>
        </w:tc>
        <w:tc>
          <w:tcPr>
            <w:tcW w:w="2555"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检查摄像机的转动及摄象机变倍 </w:t>
            </w:r>
          </w:p>
        </w:tc>
        <w:tc>
          <w:tcPr>
            <w:tcW w:w="799"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现场 </w:t>
            </w:r>
          </w:p>
        </w:tc>
        <w:tc>
          <w:tcPr>
            <w:tcW w:w="449"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每周 </w:t>
            </w:r>
          </w:p>
        </w:tc>
      </w:tr>
      <w:tr>
        <w:tblPrEx>
          <w:tblCellMar>
            <w:top w:w="0" w:type="dxa"/>
            <w:left w:w="108" w:type="dxa"/>
            <w:bottom w:w="0" w:type="dxa"/>
            <w:right w:w="108" w:type="dxa"/>
          </w:tblCellMar>
        </w:tblPrEx>
        <w:trPr>
          <w:trHeight w:val="576" w:hRule="atLeast"/>
        </w:trPr>
        <w:tc>
          <w:tcPr>
            <w:tcW w:w="449" w:type="pct"/>
            <w:tcBorders>
              <w:top w:val="nil"/>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746"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检查编码器运行情况 </w:t>
            </w:r>
          </w:p>
        </w:tc>
        <w:tc>
          <w:tcPr>
            <w:tcW w:w="2555"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编码器运行状况检查、存储空间检查 </w:t>
            </w:r>
          </w:p>
        </w:tc>
        <w:tc>
          <w:tcPr>
            <w:tcW w:w="799"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现场 </w:t>
            </w:r>
          </w:p>
        </w:tc>
        <w:tc>
          <w:tcPr>
            <w:tcW w:w="449"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每周 </w:t>
            </w:r>
          </w:p>
        </w:tc>
      </w:tr>
      <w:tr>
        <w:tblPrEx>
          <w:tblCellMar>
            <w:top w:w="0" w:type="dxa"/>
            <w:left w:w="108" w:type="dxa"/>
            <w:bottom w:w="0" w:type="dxa"/>
            <w:right w:w="108" w:type="dxa"/>
          </w:tblCellMar>
        </w:tblPrEx>
        <w:trPr>
          <w:trHeight w:val="864" w:hRule="atLeast"/>
        </w:trPr>
        <w:tc>
          <w:tcPr>
            <w:tcW w:w="449" w:type="pct"/>
            <w:tcBorders>
              <w:top w:val="nil"/>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746"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检查编码器软件版本、配置 </w:t>
            </w:r>
          </w:p>
        </w:tc>
        <w:tc>
          <w:tcPr>
            <w:tcW w:w="2555"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编码器软件版本一致性检查、配置数据检查 </w:t>
            </w:r>
          </w:p>
        </w:tc>
        <w:tc>
          <w:tcPr>
            <w:tcW w:w="799"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现场 </w:t>
            </w:r>
          </w:p>
        </w:tc>
        <w:tc>
          <w:tcPr>
            <w:tcW w:w="449"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每周 </w:t>
            </w:r>
          </w:p>
        </w:tc>
      </w:tr>
      <w:tr>
        <w:tblPrEx>
          <w:tblCellMar>
            <w:top w:w="0" w:type="dxa"/>
            <w:left w:w="108" w:type="dxa"/>
            <w:bottom w:w="0" w:type="dxa"/>
            <w:right w:w="108" w:type="dxa"/>
          </w:tblCellMar>
        </w:tblPrEx>
        <w:trPr>
          <w:trHeight w:val="247" w:hRule="atLeast"/>
        </w:trPr>
        <w:tc>
          <w:tcPr>
            <w:tcW w:w="449" w:type="pct"/>
            <w:tcBorders>
              <w:top w:val="nil"/>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746"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摄像头监控区域调整</w:t>
            </w:r>
          </w:p>
        </w:tc>
        <w:tc>
          <w:tcPr>
            <w:tcW w:w="2555"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根据业务部门需求工单，调整摄像头监控区域</w:t>
            </w:r>
          </w:p>
        </w:tc>
        <w:tc>
          <w:tcPr>
            <w:tcW w:w="799"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现场</w:t>
            </w:r>
          </w:p>
        </w:tc>
        <w:tc>
          <w:tcPr>
            <w:tcW w:w="449"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每日</w:t>
            </w:r>
          </w:p>
        </w:tc>
      </w:tr>
      <w:tr>
        <w:tblPrEx>
          <w:tblCellMar>
            <w:top w:w="0" w:type="dxa"/>
            <w:left w:w="108" w:type="dxa"/>
            <w:bottom w:w="0" w:type="dxa"/>
            <w:right w:w="108" w:type="dxa"/>
          </w:tblCellMar>
        </w:tblPrEx>
        <w:trPr>
          <w:trHeight w:val="1317" w:hRule="atLeast"/>
        </w:trPr>
        <w:tc>
          <w:tcPr>
            <w:tcW w:w="449" w:type="pct"/>
            <w:tcBorders>
              <w:top w:val="nil"/>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746"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接入线路检查</w:t>
            </w:r>
          </w:p>
        </w:tc>
        <w:tc>
          <w:tcPr>
            <w:tcW w:w="2555"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光（电）缆的布放、网线的超五类达标测试、光纤的衰减测试、线路带宽测试、网络畅通性(丢包率、端口误码率等)</w:t>
            </w:r>
          </w:p>
        </w:tc>
        <w:tc>
          <w:tcPr>
            <w:tcW w:w="799"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现场 </w:t>
            </w:r>
          </w:p>
        </w:tc>
        <w:tc>
          <w:tcPr>
            <w:tcW w:w="449"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每季</w:t>
            </w:r>
          </w:p>
        </w:tc>
      </w:tr>
      <w:tr>
        <w:tblPrEx>
          <w:tblCellMar>
            <w:top w:w="0" w:type="dxa"/>
            <w:left w:w="108" w:type="dxa"/>
            <w:bottom w:w="0" w:type="dxa"/>
            <w:right w:w="108" w:type="dxa"/>
          </w:tblCellMar>
        </w:tblPrEx>
        <w:trPr>
          <w:trHeight w:val="756" w:hRule="atLeast"/>
        </w:trPr>
        <w:tc>
          <w:tcPr>
            <w:tcW w:w="449" w:type="pct"/>
            <w:tcBorders>
              <w:top w:val="nil"/>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6</w:t>
            </w:r>
          </w:p>
        </w:tc>
        <w:tc>
          <w:tcPr>
            <w:tcW w:w="746"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设备检查</w:t>
            </w:r>
          </w:p>
        </w:tc>
        <w:tc>
          <w:tcPr>
            <w:tcW w:w="2555"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安装规范、设备状态、设备整洁、标签粘贴、设备接地、设备安放、所用电源的安全管理</w:t>
            </w:r>
          </w:p>
        </w:tc>
        <w:tc>
          <w:tcPr>
            <w:tcW w:w="799"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现场 </w:t>
            </w:r>
          </w:p>
        </w:tc>
        <w:tc>
          <w:tcPr>
            <w:tcW w:w="449"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每季</w:t>
            </w:r>
          </w:p>
        </w:tc>
      </w:tr>
      <w:tr>
        <w:tblPrEx>
          <w:tblCellMar>
            <w:top w:w="0" w:type="dxa"/>
            <w:left w:w="108" w:type="dxa"/>
            <w:bottom w:w="0" w:type="dxa"/>
            <w:right w:w="108" w:type="dxa"/>
          </w:tblCellMar>
        </w:tblPrEx>
        <w:trPr>
          <w:trHeight w:val="864" w:hRule="atLeast"/>
        </w:trPr>
        <w:tc>
          <w:tcPr>
            <w:tcW w:w="449" w:type="pct"/>
            <w:tcBorders>
              <w:top w:val="nil"/>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7</w:t>
            </w:r>
          </w:p>
        </w:tc>
        <w:tc>
          <w:tcPr>
            <w:tcW w:w="746"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立杆检查</w:t>
            </w:r>
          </w:p>
        </w:tc>
        <w:tc>
          <w:tcPr>
            <w:tcW w:w="2555"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检查监控摄像头立杆杆体、立杆基础的结构和安装状态</w:t>
            </w:r>
          </w:p>
        </w:tc>
        <w:tc>
          <w:tcPr>
            <w:tcW w:w="799"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现场</w:t>
            </w:r>
          </w:p>
        </w:tc>
        <w:tc>
          <w:tcPr>
            <w:tcW w:w="449"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每季</w:t>
            </w:r>
          </w:p>
        </w:tc>
      </w:tr>
      <w:tr>
        <w:tblPrEx>
          <w:tblCellMar>
            <w:top w:w="0" w:type="dxa"/>
            <w:left w:w="108" w:type="dxa"/>
            <w:bottom w:w="0" w:type="dxa"/>
            <w:right w:w="108" w:type="dxa"/>
          </w:tblCellMar>
        </w:tblPrEx>
        <w:trPr>
          <w:trHeight w:val="1201" w:hRule="atLeast"/>
        </w:trPr>
        <w:tc>
          <w:tcPr>
            <w:tcW w:w="449" w:type="pct"/>
            <w:tcBorders>
              <w:top w:val="nil"/>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p>
        </w:tc>
        <w:tc>
          <w:tcPr>
            <w:tcW w:w="746"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设备安装环境工作状态检查 </w:t>
            </w:r>
          </w:p>
        </w:tc>
        <w:tc>
          <w:tcPr>
            <w:tcW w:w="2555"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供电、室内、室外、温度、湿度、防雷接地和电源线路接口检查；设备工作状况，指示灯信息检查；摄像头遮挡情况（如树枝等异物遮挡摄像头）检查</w:t>
            </w:r>
          </w:p>
        </w:tc>
        <w:tc>
          <w:tcPr>
            <w:tcW w:w="799"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现场 </w:t>
            </w:r>
          </w:p>
        </w:tc>
        <w:tc>
          <w:tcPr>
            <w:tcW w:w="449" w:type="pct"/>
            <w:tcBorders>
              <w:top w:val="nil"/>
              <w:left w:val="nil"/>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每季 </w:t>
            </w:r>
          </w:p>
        </w:tc>
      </w:tr>
    </w:tbl>
    <w:p>
      <w:pPr>
        <w:pStyle w:val="7"/>
        <w:tabs>
          <w:tab w:val="clear" w:pos="0"/>
        </w:tabs>
        <w:spacing w:before="289" w:after="289"/>
      </w:pPr>
      <w:bookmarkStart w:id="279" w:name="_Toc67475760"/>
      <w:bookmarkStart w:id="280" w:name="_Toc490764589"/>
      <w:bookmarkStart w:id="281" w:name="_Toc480459266"/>
      <w:bookmarkStart w:id="282" w:name="_Toc448564149"/>
      <w:r>
        <w:rPr>
          <w:rFonts w:hint="eastAsia"/>
        </w:rPr>
        <w:t>故障诊断处理及维修服务</w:t>
      </w:r>
      <w:bookmarkEnd w:id="279"/>
      <w:bookmarkEnd w:id="280"/>
    </w:p>
    <w:p>
      <w:pPr>
        <w:bidi w:val="0"/>
      </w:pPr>
      <w:r>
        <w:rPr>
          <w:rFonts w:hint="eastAsia"/>
        </w:rPr>
        <w:t>运维实施单位提供外场工程设备故障响应、排查及维修服务，派遣相应技术人员提供技术支持。运维实施单位应与本工程建设的总包方、供应商、原厂等干系单位积极对接，对业主上报的或通过日常监控及巡检发现的系统或设备故障，由运维实施单位进行排查分析，定位故障原因，研判故障的责任主体，如为产品质量问题，对于处于质保期内的，协调上述相应的干系单位进行处理；超过质保期的，由运维实施单位对治安监控中涉及到的主要设备提供维修。如为工程故障，由运维实施单位进行处理。</w:t>
      </w:r>
    </w:p>
    <w:p>
      <w:pPr>
        <w:bidi w:val="0"/>
      </w:pPr>
      <w:r>
        <w:rPr>
          <w:rFonts w:hint="eastAsia"/>
        </w:rPr>
        <w:t>运维实施单位在维修及维护工作中，若遇到特殊情况（如线路损坏、缺少备件等），无法立即修复的情况，必须首先提出维修方案并采取有效措施(如使用同类型备件暂时替换使用)尽量使故障减少到中最小，以保证系统在最大限度内正常工作。</w:t>
      </w:r>
    </w:p>
    <w:p>
      <w:pPr>
        <w:bidi w:val="0"/>
      </w:pPr>
      <w:r>
        <w:rPr>
          <w:rFonts w:hint="eastAsia"/>
        </w:rPr>
        <w:t>运维实施单位应满足以下外场故障响应和恢复时间要求：</w:t>
      </w:r>
    </w:p>
    <w:tbl>
      <w:tblPr>
        <w:tblStyle w:val="28"/>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82"/>
        <w:gridCol w:w="1300"/>
        <w:gridCol w:w="2278"/>
        <w:gridCol w:w="2096"/>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9"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序号</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作业项目</w:t>
            </w:r>
          </w:p>
        </w:tc>
        <w:tc>
          <w:tcPr>
            <w:tcW w:w="13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项目内容</w:t>
            </w:r>
          </w:p>
        </w:tc>
        <w:tc>
          <w:tcPr>
            <w:tcW w:w="12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响应时间</w:t>
            </w:r>
          </w:p>
        </w:tc>
        <w:tc>
          <w:tcPr>
            <w:tcW w:w="12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恢复时间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40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w:t>
            </w:r>
          </w:p>
        </w:tc>
        <w:tc>
          <w:tcPr>
            <w:tcW w:w="7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故障处理 </w:t>
            </w:r>
          </w:p>
        </w:tc>
        <w:tc>
          <w:tcPr>
            <w:tcW w:w="134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受理业务部门前端故障申告</w:t>
            </w:r>
          </w:p>
        </w:tc>
        <w:tc>
          <w:tcPr>
            <w:tcW w:w="1237" w:type="pct"/>
            <w:tcBorders>
              <w:top w:val="single" w:color="auto" w:sz="4" w:space="0"/>
              <w:left w:val="single" w:color="auto" w:sz="4" w:space="0"/>
              <w:bottom w:val="single" w:color="auto" w:sz="4" w:space="0"/>
              <w:right w:val="single" w:color="auto" w:sz="4" w:space="0"/>
            </w:tcBorders>
            <w:shd w:val="clear" w:color="auto" w:fill="auto"/>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重大故障：≤30分钟</w:t>
            </w:r>
          </w:p>
        </w:tc>
        <w:tc>
          <w:tcPr>
            <w:tcW w:w="1248" w:type="pct"/>
            <w:tcBorders>
              <w:top w:val="single" w:color="auto" w:sz="4" w:space="0"/>
              <w:left w:val="single" w:color="auto" w:sz="4" w:space="0"/>
              <w:bottom w:val="single" w:color="auto" w:sz="4" w:space="0"/>
              <w:right w:val="single" w:color="auto" w:sz="4" w:space="0"/>
            </w:tcBorders>
            <w:shd w:val="clear" w:color="auto" w:fill="auto"/>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重大故障：≤4小时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40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7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13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1237" w:type="pct"/>
            <w:tcBorders>
              <w:top w:val="single" w:color="auto" w:sz="4" w:space="0"/>
              <w:left w:val="single" w:color="auto" w:sz="4" w:space="0"/>
              <w:bottom w:val="single" w:color="auto" w:sz="4" w:space="0"/>
              <w:right w:val="single" w:color="auto" w:sz="4" w:space="0"/>
            </w:tcBorders>
            <w:shd w:val="clear" w:color="auto" w:fill="auto"/>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故障：≤60分钟</w:t>
            </w:r>
          </w:p>
        </w:tc>
        <w:tc>
          <w:tcPr>
            <w:tcW w:w="1248" w:type="pct"/>
            <w:tcBorders>
              <w:top w:val="single" w:color="auto" w:sz="4" w:space="0"/>
              <w:left w:val="single" w:color="auto" w:sz="4" w:space="0"/>
              <w:bottom w:val="single" w:color="auto" w:sz="4" w:space="0"/>
              <w:right w:val="single" w:color="auto" w:sz="4" w:space="0"/>
            </w:tcBorders>
            <w:shd w:val="clear" w:color="auto" w:fill="auto"/>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故障：≤8小时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40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7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13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1237" w:type="pct"/>
            <w:tcBorders>
              <w:top w:val="single" w:color="auto" w:sz="4" w:space="0"/>
              <w:left w:val="single" w:color="auto" w:sz="4" w:space="0"/>
              <w:bottom w:val="single" w:color="auto" w:sz="4" w:space="0"/>
              <w:right w:val="single" w:color="auto" w:sz="4" w:space="0"/>
            </w:tcBorders>
            <w:shd w:val="clear" w:color="auto" w:fill="auto"/>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一般故障：≤60分钟</w:t>
            </w:r>
          </w:p>
        </w:tc>
        <w:tc>
          <w:tcPr>
            <w:tcW w:w="1248" w:type="pct"/>
            <w:tcBorders>
              <w:top w:val="single" w:color="auto" w:sz="4" w:space="0"/>
              <w:left w:val="single" w:color="auto" w:sz="4" w:space="0"/>
              <w:bottom w:val="single" w:color="auto" w:sz="4" w:space="0"/>
              <w:right w:val="single" w:color="auto" w:sz="4" w:space="0"/>
            </w:tcBorders>
            <w:shd w:val="clear" w:color="auto" w:fill="auto"/>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一般故障：≤24小时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40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7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13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1237" w:type="pct"/>
            <w:tcBorders>
              <w:top w:val="single" w:color="auto" w:sz="4" w:space="0"/>
              <w:left w:val="single" w:color="auto" w:sz="4" w:space="0"/>
              <w:bottom w:val="single" w:color="auto" w:sz="4" w:space="0"/>
              <w:right w:val="single" w:color="auto" w:sz="4" w:space="0"/>
            </w:tcBorders>
            <w:shd w:val="clear" w:color="auto" w:fill="auto"/>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其他故障：≤60分钟</w:t>
            </w:r>
          </w:p>
        </w:tc>
        <w:tc>
          <w:tcPr>
            <w:tcW w:w="1248" w:type="pct"/>
            <w:tcBorders>
              <w:top w:val="single" w:color="auto" w:sz="4" w:space="0"/>
              <w:left w:val="single" w:color="auto" w:sz="4" w:space="0"/>
              <w:bottom w:val="single" w:color="auto" w:sz="4" w:space="0"/>
              <w:right w:val="single" w:color="auto" w:sz="4" w:space="0"/>
            </w:tcBorders>
            <w:shd w:val="clear" w:color="auto" w:fill="auto"/>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其他故障：≤48小时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4"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2</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摄像头监控区域调整</w:t>
            </w:r>
          </w:p>
        </w:tc>
        <w:tc>
          <w:tcPr>
            <w:tcW w:w="13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根据业务部门需求工单，调整摄像头监控区域</w:t>
            </w:r>
          </w:p>
        </w:tc>
        <w:tc>
          <w:tcPr>
            <w:tcW w:w="12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after="0"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按需</w:t>
            </w:r>
          </w:p>
        </w:tc>
        <w:tc>
          <w:tcPr>
            <w:tcW w:w="1248" w:type="pct"/>
            <w:tcBorders>
              <w:top w:val="single" w:color="auto" w:sz="4" w:space="0"/>
              <w:left w:val="single" w:color="auto" w:sz="4" w:space="0"/>
              <w:bottom w:val="single" w:color="auto" w:sz="4" w:space="0"/>
              <w:right w:val="single" w:color="auto" w:sz="4" w:space="0"/>
            </w:tcBorders>
            <w:shd w:val="clear" w:color="auto" w:fill="auto"/>
          </w:tcPr>
          <w:p>
            <w:pPr>
              <w:pStyle w:val="27"/>
              <w:widowControl/>
              <w:spacing w:after="0" w:line="240" w:lineRule="auto"/>
              <w:ind w:firstLine="0" w:firstLineChars="0"/>
              <w:rPr>
                <w:rFonts w:hint="eastAsia" w:ascii="宋体" w:hAnsi="宋体" w:eastAsia="宋体" w:cs="宋体"/>
                <w:sz w:val="21"/>
                <w:szCs w:val="21"/>
              </w:rPr>
            </w:pPr>
          </w:p>
        </w:tc>
      </w:tr>
    </w:tbl>
    <w:p>
      <w:pPr>
        <w:pStyle w:val="7"/>
        <w:tabs>
          <w:tab w:val="clear" w:pos="0"/>
        </w:tabs>
        <w:spacing w:before="289" w:after="289"/>
      </w:pPr>
      <w:bookmarkStart w:id="283" w:name="_Toc495606610"/>
      <w:bookmarkStart w:id="284" w:name="_Toc67475761"/>
      <w:bookmarkStart w:id="285" w:name="_Toc497384913"/>
      <w:r>
        <w:rPr>
          <w:rFonts w:hint="eastAsia"/>
        </w:rPr>
        <w:t>重要设备延保服务工作内容</w:t>
      </w:r>
      <w:bookmarkEnd w:id="283"/>
      <w:bookmarkEnd w:id="284"/>
      <w:bookmarkEnd w:id="285"/>
    </w:p>
    <w:p>
      <w:pPr>
        <w:bidi w:val="0"/>
      </w:pPr>
      <w:r>
        <w:rPr>
          <w:rFonts w:hint="eastAsia"/>
        </w:rPr>
        <w:t>在运维服务期内，针对治安监控摄像机，提供技术支持、故障处理、硬件保障等延保服务。具体服务内容如下：</w:t>
      </w:r>
    </w:p>
    <w:p>
      <w:pPr>
        <w:numPr>
          <w:ilvl w:val="0"/>
          <w:numId w:val="48"/>
        </w:numPr>
        <w:snapToGrid w:val="0"/>
        <w:ind w:left="0" w:firstLine="524" w:firstLineChars="200"/>
      </w:pPr>
      <w:r>
        <w:rPr>
          <w:rFonts w:hint="eastAsia" w:ascii="宋体" w:hAnsi="宋体" w:eastAsia="宋体" w:cs="宋体"/>
          <w:sz w:val="24"/>
        </w:rPr>
        <w:t>技术支持：提供5*8小时的技术支持服务，以远程技术支持为主、现场技术支持为辅，在远程技术支持不能解决问题或故障的情况下，提供现场技术支持服务。</w:t>
      </w:r>
    </w:p>
    <w:p>
      <w:pPr>
        <w:numPr>
          <w:ilvl w:val="0"/>
          <w:numId w:val="48"/>
        </w:numPr>
        <w:snapToGrid w:val="0"/>
        <w:ind w:left="0" w:firstLine="524" w:firstLineChars="200"/>
      </w:pPr>
      <w:r>
        <w:rPr>
          <w:rFonts w:hint="eastAsia" w:ascii="宋体" w:hAnsi="宋体" w:eastAsia="宋体" w:cs="宋体"/>
          <w:sz w:val="24"/>
        </w:rPr>
        <w:t>故障处理：通过远程或现场方式对原厂设备故障提供维修服务，并在规定时间内恢复业务的正常运行。</w:t>
      </w:r>
    </w:p>
    <w:p>
      <w:pPr>
        <w:numPr>
          <w:ilvl w:val="0"/>
          <w:numId w:val="48"/>
        </w:numPr>
        <w:snapToGrid w:val="0"/>
        <w:ind w:left="0" w:firstLine="524" w:firstLineChars="200"/>
      </w:pPr>
      <w:r>
        <w:rPr>
          <w:rFonts w:hint="eastAsia" w:ascii="宋体" w:hAnsi="宋体" w:eastAsia="宋体" w:cs="宋体"/>
          <w:sz w:val="24"/>
        </w:rPr>
        <w:t>硬件保障：针对人为因素或不可抗力以外造成的设备故障，提供设备、配件、材料的维修处理服务，若设备、配件、材料无法维修的，提供免费更换设备，更换的设备需与原系统或设备兼容。</w:t>
      </w:r>
    </w:p>
    <w:p>
      <w:pPr>
        <w:pStyle w:val="7"/>
        <w:tabs>
          <w:tab w:val="clear" w:pos="0"/>
        </w:tabs>
        <w:spacing w:before="289" w:after="289"/>
      </w:pPr>
      <w:bookmarkStart w:id="286" w:name="_Toc497384914"/>
      <w:bookmarkStart w:id="287" w:name="_Toc67475762"/>
      <w:bookmarkStart w:id="288" w:name="_Toc495606611"/>
      <w:r>
        <w:rPr>
          <w:rFonts w:hint="eastAsia"/>
        </w:rPr>
        <w:t>维修维护服务工作内容</w:t>
      </w:r>
      <w:bookmarkEnd w:id="286"/>
      <w:bookmarkEnd w:id="287"/>
      <w:bookmarkEnd w:id="288"/>
    </w:p>
    <w:p>
      <w:pPr>
        <w:snapToGrid w:val="0"/>
        <w:ind w:firstLine="524" w:firstLineChars="200"/>
      </w:pPr>
      <w:r>
        <w:rPr>
          <w:rFonts w:hint="eastAsia" w:ascii="宋体" w:hAnsi="宋体" w:eastAsia="宋体" w:cs="宋体"/>
          <w:sz w:val="24"/>
        </w:rPr>
        <w:t>在运维服务期内，针对立杆、机箱等其他外场主要设备，提供技术支持、故障处理、硬件维修等维修维护服务。具体服务内容如下：</w:t>
      </w:r>
    </w:p>
    <w:p>
      <w:pPr>
        <w:numPr>
          <w:ilvl w:val="0"/>
          <w:numId w:val="49"/>
        </w:numPr>
        <w:snapToGrid w:val="0"/>
        <w:ind w:left="0" w:firstLine="524" w:firstLineChars="200"/>
      </w:pPr>
      <w:r>
        <w:rPr>
          <w:rFonts w:hint="eastAsia" w:ascii="宋体" w:hAnsi="宋体" w:eastAsia="宋体" w:cs="宋体"/>
          <w:sz w:val="24"/>
        </w:rPr>
        <w:t>技术支持：提供5*8小时的技术支持服务，以远程技术支持为主、现场技术支持为辅，在远程技术支持不能解决问题或故障的情况下，提供现场技术支持服务。</w:t>
      </w:r>
    </w:p>
    <w:p>
      <w:pPr>
        <w:numPr>
          <w:ilvl w:val="0"/>
          <w:numId w:val="49"/>
        </w:numPr>
        <w:snapToGrid w:val="0"/>
        <w:ind w:left="0" w:firstLine="524" w:firstLineChars="200"/>
        <w:rPr>
          <w:rFonts w:ascii="宋体" w:hAnsi="宋体" w:eastAsia="宋体" w:cs="宋体"/>
          <w:sz w:val="24"/>
        </w:rPr>
      </w:pPr>
      <w:r>
        <w:rPr>
          <w:rFonts w:hint="eastAsia" w:ascii="宋体" w:hAnsi="宋体" w:eastAsia="宋体" w:cs="宋体"/>
          <w:sz w:val="24"/>
        </w:rPr>
        <w:t>故障处理：通过远程或现场方式对原厂设备故障提供维修服务，并在规定时间内恢复业务的正常运行。</w:t>
      </w:r>
    </w:p>
    <w:p>
      <w:pPr>
        <w:numPr>
          <w:ilvl w:val="0"/>
          <w:numId w:val="49"/>
        </w:numPr>
        <w:snapToGrid w:val="0"/>
        <w:ind w:left="0" w:firstLine="524" w:firstLineChars="200"/>
      </w:pPr>
      <w:r>
        <w:rPr>
          <w:rFonts w:hint="eastAsia" w:ascii="宋体" w:hAnsi="宋体" w:eastAsia="宋体" w:cs="宋体"/>
          <w:sz w:val="24"/>
        </w:rPr>
        <w:t>硬件维修：针对人为因素或不可抗力以外造成的设备故障，提供免费维修服务，不包括设备的拆卸及安装工作。除运维单位人为因素造成的设备故障外，需用户另行采购与现系统和设备兼容的设备、配件和材料。</w:t>
      </w:r>
    </w:p>
    <w:bookmarkEnd w:id="281"/>
    <w:p>
      <w:pPr>
        <w:pStyle w:val="7"/>
        <w:tabs>
          <w:tab w:val="clear" w:pos="0"/>
        </w:tabs>
        <w:spacing w:before="289" w:after="289"/>
      </w:pPr>
      <w:bookmarkStart w:id="289" w:name="_Toc490764592"/>
      <w:bookmarkStart w:id="290" w:name="_Toc67475764"/>
      <w:bookmarkStart w:id="291" w:name="_Toc480459268"/>
      <w:bookmarkStart w:id="292" w:name="_Toc448564152"/>
      <w:bookmarkStart w:id="293" w:name="_Toc448564150"/>
      <w:bookmarkStart w:id="294" w:name="_Toc490764591"/>
      <w:bookmarkStart w:id="295" w:name="_Toc480459267"/>
      <w:r>
        <w:rPr>
          <w:rFonts w:hint="eastAsia"/>
        </w:rPr>
        <w:t>系统升级及性能优化</w:t>
      </w:r>
      <w:bookmarkEnd w:id="289"/>
      <w:bookmarkEnd w:id="290"/>
      <w:bookmarkEnd w:id="291"/>
    </w:p>
    <w:bookmarkEnd w:id="292"/>
    <w:p>
      <w:pPr>
        <w:snapToGrid w:val="0"/>
        <w:ind w:firstLine="524" w:firstLineChars="200"/>
      </w:pPr>
      <w:r>
        <w:rPr>
          <w:rFonts w:hint="eastAsia" w:ascii="宋体" w:hAnsi="宋体" w:eastAsia="宋体" w:cs="宋体"/>
          <w:sz w:val="24"/>
        </w:rPr>
        <w:t>结合视频监控设备供应商需要，运维实施单位及时对视频监控、前端镜头等外场工程相关设备进行升级服务。</w:t>
      </w:r>
    </w:p>
    <w:p>
      <w:pPr>
        <w:snapToGrid w:val="0"/>
        <w:ind w:firstLine="524" w:firstLineChars="200"/>
      </w:pPr>
      <w:r>
        <w:rPr>
          <w:rFonts w:hint="eastAsia" w:ascii="宋体" w:hAnsi="宋体" w:eastAsia="宋体" w:cs="宋体"/>
          <w:sz w:val="24"/>
        </w:rPr>
        <w:t>运维实施单位应根据系统运行情况，及时对外场设备/系统的配置参数进行优化调整，保证设备的稳定运行。</w:t>
      </w:r>
    </w:p>
    <w:bookmarkEnd w:id="282"/>
    <w:bookmarkEnd w:id="293"/>
    <w:bookmarkEnd w:id="294"/>
    <w:bookmarkEnd w:id="295"/>
    <w:p>
      <w:pPr>
        <w:pStyle w:val="7"/>
        <w:tabs>
          <w:tab w:val="clear" w:pos="0"/>
        </w:tabs>
        <w:spacing w:before="289" w:after="289"/>
      </w:pPr>
      <w:bookmarkStart w:id="296" w:name="_Toc67475765"/>
      <w:bookmarkStart w:id="297" w:name="_Toc490764594"/>
      <w:r>
        <w:rPr>
          <w:rFonts w:hint="eastAsia"/>
        </w:rPr>
        <w:t>资产管理</w:t>
      </w:r>
      <w:bookmarkEnd w:id="296"/>
      <w:bookmarkEnd w:id="297"/>
    </w:p>
    <w:p>
      <w:pPr>
        <w:snapToGrid w:val="0"/>
        <w:ind w:firstLine="524" w:firstLineChars="200"/>
      </w:pPr>
      <w:r>
        <w:rPr>
          <w:rFonts w:hint="eastAsia" w:ascii="宋体" w:hAnsi="宋体" w:eastAsia="宋体" w:cs="宋体"/>
          <w:sz w:val="24"/>
        </w:rPr>
        <w:t>运维实施单位需提供设备资产及信息管理服务，包括设备的质保时间、设备配置信息、设备型号、数量等通过相应的软件管理工具，对因设备故障更换、新增设备入网等设备变更情况进行更新，通过对相关资源录入，以及资源更新，做好资源的基础管理和专业管理工作。</w:t>
      </w:r>
    </w:p>
    <w:p>
      <w:pPr>
        <w:pStyle w:val="7"/>
        <w:tabs>
          <w:tab w:val="clear" w:pos="0"/>
        </w:tabs>
        <w:spacing w:before="289" w:after="289"/>
      </w:pPr>
      <w:bookmarkStart w:id="298" w:name="_Toc67475766"/>
      <w:bookmarkStart w:id="299" w:name="_Toc490764596"/>
      <w:r>
        <w:rPr>
          <w:rFonts w:hint="eastAsia"/>
        </w:rPr>
        <w:t>定期清洁保养服务</w:t>
      </w:r>
      <w:bookmarkEnd w:id="298"/>
    </w:p>
    <w:p>
      <w:pPr>
        <w:snapToGrid w:val="0"/>
        <w:ind w:firstLine="524" w:firstLineChars="200"/>
      </w:pPr>
      <w:r>
        <w:rPr>
          <w:rFonts w:hint="eastAsia" w:ascii="宋体" w:hAnsi="宋体" w:eastAsia="宋体" w:cs="宋体"/>
          <w:sz w:val="24"/>
        </w:rPr>
        <w:t>定期清洁前端摄像机护罩、监控标识牌、智能机箱，并对影响摄像机的监控效果的枝叶进行修整。每季度至少一次，对于应用场景较为恶劣的镜头应每月至少一次。具体巡检频率应结合业主使用过程中的具体要求相应的调整。</w:t>
      </w:r>
    </w:p>
    <w:tbl>
      <w:tblPr>
        <w:tblStyle w:val="28"/>
        <w:tblW w:w="5169"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411"/>
        <w:gridCol w:w="1242"/>
        <w:gridCol w:w="1100"/>
        <w:gridCol w:w="1242"/>
        <w:gridCol w:w="1128"/>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0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b/>
                <w:bCs/>
                <w:sz w:val="21"/>
                <w:szCs w:val="21"/>
              </w:rPr>
            </w:pPr>
            <w:r>
              <w:rPr>
                <w:rFonts w:cs="宋体"/>
                <w:b/>
                <w:bCs/>
                <w:sz w:val="21"/>
                <w:szCs w:val="21"/>
              </w:rPr>
              <w:t>镜头编号</w:t>
            </w:r>
          </w:p>
        </w:tc>
        <w:tc>
          <w:tcPr>
            <w:tcW w:w="80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b/>
                <w:bCs/>
                <w:sz w:val="21"/>
                <w:szCs w:val="21"/>
              </w:rPr>
            </w:pPr>
            <w:r>
              <w:rPr>
                <w:rFonts w:cs="宋体"/>
                <w:b/>
                <w:bCs/>
                <w:sz w:val="21"/>
                <w:szCs w:val="21"/>
              </w:rPr>
              <w:t>点位名称</w:t>
            </w:r>
          </w:p>
        </w:tc>
        <w:tc>
          <w:tcPr>
            <w:tcW w:w="7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b/>
                <w:bCs/>
                <w:sz w:val="21"/>
                <w:szCs w:val="21"/>
              </w:rPr>
            </w:pPr>
            <w:r>
              <w:rPr>
                <w:rFonts w:cs="宋体"/>
                <w:b/>
                <w:bCs/>
                <w:sz w:val="21"/>
                <w:szCs w:val="21"/>
              </w:rPr>
              <w:t>IP地址</w:t>
            </w:r>
          </w:p>
        </w:tc>
        <w:tc>
          <w:tcPr>
            <w:tcW w:w="2681"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pStyle w:val="27"/>
              <w:widowControl/>
              <w:spacing w:before="156" w:after="156" w:line="240" w:lineRule="auto"/>
              <w:ind w:firstLine="0" w:firstLineChars="0"/>
              <w:rPr>
                <w:rFonts w:hint="default" w:cs="宋体"/>
                <w:b/>
                <w:bCs/>
                <w:sz w:val="21"/>
                <w:szCs w:val="21"/>
              </w:rPr>
            </w:pPr>
            <w:r>
              <w:rPr>
                <w:rFonts w:cs="宋体"/>
                <w:b/>
                <w:bCs/>
                <w:sz w:val="21"/>
                <w:szCs w:val="21"/>
              </w:rPr>
              <w:t>清洁时间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80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ascii="宋体" w:hAnsi="宋体" w:eastAsia="宋体" w:cs="宋体"/>
                <w:szCs w:val="21"/>
              </w:rPr>
            </w:pPr>
          </w:p>
        </w:tc>
        <w:tc>
          <w:tcPr>
            <w:tcW w:w="8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ascii="宋体" w:hAnsi="宋体" w:eastAsia="宋体" w:cs="宋体"/>
                <w:szCs w:val="21"/>
              </w:rPr>
            </w:pPr>
          </w:p>
        </w:tc>
        <w:tc>
          <w:tcPr>
            <w:tcW w:w="7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ascii="宋体" w:hAnsi="宋体" w:eastAsia="宋体" w:cs="宋体"/>
                <w:szCs w:val="21"/>
              </w:rPr>
            </w:pPr>
          </w:p>
        </w:tc>
        <w:tc>
          <w:tcPr>
            <w:tcW w:w="62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7"/>
              <w:widowControl/>
              <w:spacing w:before="156" w:after="156" w:line="240" w:lineRule="auto"/>
              <w:ind w:firstLine="0" w:firstLineChars="0"/>
              <w:rPr>
                <w:rFonts w:hint="default" w:cs="宋体"/>
                <w:b/>
                <w:bCs/>
                <w:sz w:val="21"/>
                <w:szCs w:val="21"/>
              </w:rPr>
            </w:pPr>
            <w:r>
              <w:rPr>
                <w:rFonts w:cs="宋体"/>
                <w:b/>
                <w:bCs/>
                <w:sz w:val="21"/>
                <w:szCs w:val="21"/>
              </w:rPr>
              <w:t>一季度</w:t>
            </w:r>
          </w:p>
        </w:tc>
        <w:tc>
          <w:tcPr>
            <w:tcW w:w="7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b/>
                <w:bCs/>
                <w:sz w:val="21"/>
                <w:szCs w:val="21"/>
              </w:rPr>
            </w:pPr>
            <w:r>
              <w:rPr>
                <w:rFonts w:cs="宋体"/>
                <w:b/>
                <w:bCs/>
                <w:sz w:val="21"/>
                <w:szCs w:val="21"/>
              </w:rPr>
              <w:t>二季度</w:t>
            </w:r>
          </w:p>
        </w:tc>
        <w:tc>
          <w:tcPr>
            <w:tcW w:w="6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b/>
                <w:bCs/>
                <w:sz w:val="21"/>
                <w:szCs w:val="21"/>
              </w:rPr>
            </w:pPr>
            <w:r>
              <w:rPr>
                <w:rFonts w:cs="宋体"/>
                <w:b/>
                <w:bCs/>
                <w:sz w:val="21"/>
                <w:szCs w:val="21"/>
              </w:rPr>
              <w:t>三季度</w:t>
            </w: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b/>
                <w:bCs/>
                <w:sz w:val="21"/>
                <w:szCs w:val="21"/>
              </w:rPr>
            </w:pPr>
            <w:r>
              <w:rPr>
                <w:rFonts w:cs="宋体"/>
                <w:b/>
                <w:bCs/>
                <w:sz w:val="21"/>
                <w:szCs w:val="21"/>
              </w:rPr>
              <w:t>四季度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b/>
                <w:bCs/>
                <w:sz w:val="21"/>
                <w:szCs w:val="21"/>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c>
          <w:tcPr>
            <w:tcW w:w="7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c>
          <w:tcPr>
            <w:tcW w:w="62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7"/>
              <w:widowControl/>
              <w:spacing w:before="156" w:after="156" w:line="240" w:lineRule="auto"/>
              <w:ind w:firstLine="0" w:firstLineChars="0"/>
              <w:rPr>
                <w:rFonts w:hint="default" w:cs="宋体"/>
                <w:sz w:val="21"/>
                <w:szCs w:val="21"/>
                <w:u w:val="single"/>
              </w:rPr>
            </w:pPr>
          </w:p>
        </w:tc>
        <w:tc>
          <w:tcPr>
            <w:tcW w:w="7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u w:val="single"/>
              </w:rPr>
            </w:pPr>
          </w:p>
        </w:tc>
        <w:tc>
          <w:tcPr>
            <w:tcW w:w="6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u w:val="single"/>
              </w:rPr>
            </w:pP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b/>
                <w:bCs/>
                <w:sz w:val="21"/>
                <w:szCs w:val="21"/>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c>
          <w:tcPr>
            <w:tcW w:w="7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c>
          <w:tcPr>
            <w:tcW w:w="62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7"/>
              <w:widowControl/>
              <w:spacing w:before="156" w:after="156" w:line="240" w:lineRule="auto"/>
              <w:ind w:firstLine="0" w:firstLineChars="0"/>
              <w:rPr>
                <w:rFonts w:hint="default" w:cs="宋体"/>
                <w:sz w:val="21"/>
                <w:szCs w:val="21"/>
                <w:u w:val="single"/>
              </w:rPr>
            </w:pPr>
          </w:p>
        </w:tc>
        <w:tc>
          <w:tcPr>
            <w:tcW w:w="7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u w:val="single"/>
              </w:rPr>
            </w:pPr>
          </w:p>
        </w:tc>
        <w:tc>
          <w:tcPr>
            <w:tcW w:w="6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u w:val="single"/>
              </w:rPr>
            </w:pP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b/>
                <w:bCs/>
                <w:sz w:val="21"/>
                <w:szCs w:val="21"/>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c>
          <w:tcPr>
            <w:tcW w:w="7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c>
          <w:tcPr>
            <w:tcW w:w="62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7"/>
              <w:widowControl/>
              <w:spacing w:before="156" w:after="156" w:line="240" w:lineRule="auto"/>
              <w:ind w:firstLine="0" w:firstLineChars="0"/>
              <w:rPr>
                <w:rFonts w:hint="default" w:cs="宋体"/>
                <w:sz w:val="21"/>
                <w:szCs w:val="21"/>
              </w:rPr>
            </w:pPr>
          </w:p>
        </w:tc>
        <w:tc>
          <w:tcPr>
            <w:tcW w:w="7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c>
          <w:tcPr>
            <w:tcW w:w="6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b/>
                <w:bCs/>
                <w:sz w:val="21"/>
                <w:szCs w:val="21"/>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c>
          <w:tcPr>
            <w:tcW w:w="7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c>
          <w:tcPr>
            <w:tcW w:w="62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7"/>
              <w:widowControl/>
              <w:spacing w:before="156" w:after="156" w:line="240" w:lineRule="auto"/>
              <w:ind w:firstLine="0" w:firstLineChars="0"/>
              <w:rPr>
                <w:rFonts w:hint="default" w:cs="宋体"/>
                <w:sz w:val="21"/>
                <w:szCs w:val="21"/>
              </w:rPr>
            </w:pPr>
          </w:p>
        </w:tc>
        <w:tc>
          <w:tcPr>
            <w:tcW w:w="7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c>
          <w:tcPr>
            <w:tcW w:w="6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b/>
                <w:bCs/>
                <w:sz w:val="21"/>
                <w:szCs w:val="21"/>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c>
          <w:tcPr>
            <w:tcW w:w="7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c>
          <w:tcPr>
            <w:tcW w:w="62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7"/>
              <w:widowControl/>
              <w:spacing w:before="156" w:after="156" w:line="240" w:lineRule="auto"/>
              <w:ind w:firstLine="0" w:firstLineChars="0"/>
              <w:rPr>
                <w:rFonts w:hint="default" w:cs="宋体"/>
                <w:sz w:val="21"/>
                <w:szCs w:val="21"/>
              </w:rPr>
            </w:pPr>
          </w:p>
        </w:tc>
        <w:tc>
          <w:tcPr>
            <w:tcW w:w="7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c>
          <w:tcPr>
            <w:tcW w:w="6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default" w:cs="宋体"/>
                <w:sz w:val="21"/>
                <w:szCs w:val="21"/>
              </w:rPr>
            </w:pPr>
          </w:p>
        </w:tc>
      </w:tr>
    </w:tbl>
    <w:p>
      <w:pPr>
        <w:pStyle w:val="7"/>
        <w:tabs>
          <w:tab w:val="clear" w:pos="0"/>
        </w:tabs>
        <w:spacing w:before="289" w:after="289"/>
      </w:pPr>
      <w:bookmarkStart w:id="300" w:name="_Toc67475767"/>
      <w:r>
        <w:rPr>
          <w:rFonts w:hint="eastAsia"/>
        </w:rPr>
        <w:t>运维资料管理</w:t>
      </w:r>
      <w:bookmarkEnd w:id="299"/>
      <w:bookmarkEnd w:id="300"/>
    </w:p>
    <w:p>
      <w:pPr>
        <w:snapToGrid w:val="0"/>
        <w:ind w:firstLine="524" w:firstLineChars="200"/>
      </w:pPr>
      <w:r>
        <w:rPr>
          <w:rFonts w:hint="eastAsia" w:ascii="宋体" w:hAnsi="宋体" w:eastAsia="宋体" w:cs="宋体"/>
          <w:sz w:val="24"/>
        </w:rPr>
        <w:t>运维实施单位负责技术资料、图纸、技术文件的收集、整理等管理工作，并根据用户要求的格式，对各项服务的运行记录、维护记录和技术文档等详细内容进行记录，按照相关规范进行审核、登记、编号和存档，保证各项服务活动可追踪、服务效果可验证。</w:t>
      </w:r>
    </w:p>
    <w:p>
      <w:pPr>
        <w:snapToGrid w:val="0"/>
        <w:ind w:firstLine="524" w:firstLineChars="200"/>
      </w:pPr>
      <w:r>
        <w:rPr>
          <w:rFonts w:hint="eastAsia" w:ascii="宋体" w:hAnsi="宋体" w:eastAsia="宋体" w:cs="宋体"/>
          <w:sz w:val="24"/>
        </w:rPr>
        <w:t>运维实施单位应定期汇总编制运维月报、季报、年报，并进行数据整理分析，提供附有图表的统计分析评估报告，同时将数据整理分析结果进行记录，形成知识库，促进用户的信息化管理能力和水平的提高。</w:t>
      </w:r>
    </w:p>
    <w:p>
      <w:pPr>
        <w:pStyle w:val="6"/>
        <w:spacing w:before="289" w:after="289"/>
      </w:pPr>
      <w:bookmarkStart w:id="301" w:name="_Toc28021"/>
      <w:bookmarkStart w:id="302" w:name="_Toc480459246"/>
      <w:bookmarkStart w:id="303" w:name="_Toc67475770"/>
      <w:bookmarkStart w:id="304" w:name="_Toc490764598"/>
      <w:bookmarkStart w:id="305" w:name="_Toc490764597"/>
      <w:bookmarkStart w:id="306" w:name="_Toc67475769"/>
      <w:bookmarkStart w:id="307" w:name="_Toc68482672"/>
      <w:r>
        <w:rPr>
          <w:rFonts w:hint="eastAsia"/>
        </w:rPr>
        <w:t>内场运维工作内容及要求</w:t>
      </w:r>
      <w:bookmarkEnd w:id="301"/>
    </w:p>
    <w:p>
      <w:pPr>
        <w:pStyle w:val="7"/>
        <w:widowControl/>
        <w:tabs>
          <w:tab w:val="clear" w:pos="0"/>
          <w:tab w:val="clear" w:pos="575"/>
        </w:tabs>
        <w:spacing w:before="289" w:after="289"/>
        <w:ind w:left="720" w:hanging="720"/>
      </w:pPr>
      <w:r>
        <w:rPr>
          <w:rFonts w:hint="eastAsia" w:cs="黑体"/>
        </w:rPr>
        <w:t>内场设备要求</w:t>
      </w:r>
    </w:p>
    <w:p>
      <w:pPr>
        <w:adjustRightInd w:val="0"/>
        <w:snapToGrid w:val="0"/>
        <w:ind w:firstLine="524" w:firstLineChars="200"/>
        <w:rPr>
          <w:bCs/>
        </w:rPr>
      </w:pPr>
      <w:r>
        <w:rPr>
          <w:rFonts w:hint="eastAsia" w:ascii="宋体" w:hAnsi="宋体" w:eastAsia="宋体" w:cs="宋体"/>
          <w:bCs/>
          <w:sz w:val="24"/>
        </w:rPr>
        <w:t>（1）内场配套要列入固定资产统一管理</w:t>
      </w:r>
      <w:r>
        <w:rPr>
          <w:rFonts w:hint="eastAsia" w:ascii="宋体" w:hAnsi="宋体" w:eastAsia="宋体" w:cs="宋体"/>
          <w:sz w:val="24"/>
        </w:rPr>
        <w:t>；</w:t>
      </w:r>
    </w:p>
    <w:p>
      <w:pPr>
        <w:adjustRightInd w:val="0"/>
        <w:snapToGrid w:val="0"/>
        <w:ind w:firstLine="524" w:firstLineChars="200"/>
        <w:rPr>
          <w:rFonts w:hint="eastAsia" w:cs="宋体"/>
          <w:bCs/>
          <w:sz w:val="24"/>
          <w:lang w:eastAsia="zh-CN"/>
        </w:rPr>
      </w:pPr>
      <w:r>
        <w:rPr>
          <w:rFonts w:hint="eastAsia" w:ascii="宋体" w:hAnsi="宋体" w:eastAsia="宋体" w:cs="宋体"/>
          <w:bCs/>
          <w:sz w:val="24"/>
        </w:rPr>
        <w:t>（2）所有作为固定资产的设备，都应统一分类编号、建帐、立卡，做到帐、卡、物相符，及时记录增减情况，准确掌握设备的数量、质量和性能</w:t>
      </w:r>
      <w:r>
        <w:rPr>
          <w:rFonts w:hint="eastAsia" w:cs="宋体"/>
          <w:bCs/>
          <w:sz w:val="24"/>
          <w:lang w:eastAsia="zh-CN"/>
        </w:rPr>
        <w:t>；</w:t>
      </w:r>
    </w:p>
    <w:p>
      <w:pPr>
        <w:adjustRightInd w:val="0"/>
        <w:snapToGrid w:val="0"/>
        <w:ind w:firstLine="524" w:firstLineChars="200"/>
        <w:rPr>
          <w:bCs/>
        </w:rPr>
      </w:pPr>
      <w:r>
        <w:rPr>
          <w:rFonts w:hint="eastAsia" w:ascii="宋体" w:hAnsi="宋体" w:eastAsia="宋体" w:cs="宋体"/>
          <w:bCs/>
          <w:sz w:val="24"/>
        </w:rPr>
        <w:t>（3）要做好设备档案工作，做到资料齐全，使用、维修原始记录准确完整。加强设备管理方面的资料积累和统计分析工作，建立设备的统计制度；</w:t>
      </w:r>
    </w:p>
    <w:p>
      <w:pPr>
        <w:adjustRightInd w:val="0"/>
        <w:snapToGrid w:val="0"/>
        <w:ind w:firstLine="524" w:firstLineChars="200"/>
        <w:rPr>
          <w:bCs/>
        </w:rPr>
      </w:pPr>
      <w:r>
        <w:rPr>
          <w:rFonts w:hint="eastAsia" w:ascii="宋体" w:hAnsi="宋体" w:eastAsia="宋体" w:cs="宋体"/>
          <w:bCs/>
          <w:sz w:val="24"/>
        </w:rPr>
        <w:t>（4）建立设备机历簿制度，每台（架）设备要设立格式统一的设备机历簿，挂在设备的适当位置，设备机历簿要注明设备的名称、型号、厂家、投产日期以及维护记录，设备机历簿要统一制作，由维护人员填写，管理部门负责检查；</w:t>
      </w:r>
    </w:p>
    <w:p>
      <w:pPr>
        <w:adjustRightInd w:val="0"/>
        <w:snapToGrid w:val="0"/>
        <w:ind w:firstLine="524" w:firstLineChars="200"/>
        <w:rPr>
          <w:bCs/>
        </w:rPr>
      </w:pPr>
      <w:r>
        <w:rPr>
          <w:rFonts w:hint="eastAsia" w:ascii="宋体" w:hAnsi="宋体" w:eastAsia="宋体" w:cs="宋体"/>
          <w:bCs/>
          <w:sz w:val="24"/>
        </w:rPr>
        <w:t>（5）建立内场配套包机制度，各内场配套维护和管理部门应明确有专人负责设备管理，使用时应严格遵守操作规程。重视设备现场管理，做好清洁、检查、维护和调整工作；</w:t>
      </w:r>
    </w:p>
    <w:p>
      <w:pPr>
        <w:adjustRightInd w:val="0"/>
        <w:snapToGrid w:val="0"/>
        <w:ind w:firstLine="524" w:firstLineChars="200"/>
        <w:rPr>
          <w:bCs/>
        </w:rPr>
      </w:pPr>
      <w:r>
        <w:rPr>
          <w:rFonts w:hint="eastAsia" w:ascii="宋体" w:hAnsi="宋体" w:eastAsia="宋体" w:cs="宋体"/>
          <w:bCs/>
          <w:sz w:val="24"/>
        </w:rPr>
        <w:t>（6）系统设备是完成应用任务的物质基础，必须管理好、维护好、使用好。机房设备严禁挪作它用；</w:t>
      </w:r>
    </w:p>
    <w:p>
      <w:pPr>
        <w:adjustRightInd w:val="0"/>
        <w:snapToGrid w:val="0"/>
        <w:ind w:firstLine="524" w:firstLineChars="200"/>
        <w:rPr>
          <w:bCs/>
        </w:rPr>
      </w:pPr>
      <w:r>
        <w:rPr>
          <w:rFonts w:hint="eastAsia" w:ascii="宋体" w:hAnsi="宋体" w:eastAsia="宋体" w:cs="宋体"/>
          <w:bCs/>
          <w:sz w:val="24"/>
        </w:rPr>
        <w:t>（7）设备仪表的专用附件、备件要做到随机专用，妥善保管。备用设备不得随便拆除其机盘和元件，要保持原机的正常状态，定期试用；</w:t>
      </w:r>
    </w:p>
    <w:p>
      <w:pPr>
        <w:adjustRightInd w:val="0"/>
        <w:snapToGrid w:val="0"/>
        <w:ind w:firstLine="524" w:firstLineChars="200"/>
        <w:rPr>
          <w:bCs/>
        </w:rPr>
      </w:pPr>
      <w:r>
        <w:rPr>
          <w:rFonts w:hint="eastAsia" w:ascii="宋体" w:hAnsi="宋体" w:eastAsia="宋体" w:cs="宋体"/>
          <w:bCs/>
          <w:sz w:val="24"/>
        </w:rPr>
        <w:t>（8）设备保管均应建立相应的库房，分别存放，符合干燥、通风、安全的要求。对某些精密、贵重设备，应视具体保管要求，采取相应的防尘、防震、恒温等措施；</w:t>
      </w:r>
    </w:p>
    <w:p>
      <w:pPr>
        <w:adjustRightInd w:val="0"/>
        <w:snapToGrid w:val="0"/>
        <w:ind w:firstLine="524" w:firstLineChars="200"/>
        <w:rPr>
          <w:bCs/>
        </w:rPr>
      </w:pPr>
      <w:r>
        <w:rPr>
          <w:rFonts w:hint="eastAsia" w:ascii="宋体" w:hAnsi="宋体" w:eastAsia="宋体" w:cs="宋体"/>
          <w:bCs/>
          <w:sz w:val="24"/>
        </w:rPr>
        <w:t>（9）设备清查工作原则上每年进行一次，清查内容包括：帐物是否相符、设备使用情况、设备事故报告。</w:t>
      </w:r>
    </w:p>
    <w:p>
      <w:pPr>
        <w:adjustRightInd w:val="0"/>
        <w:snapToGrid w:val="0"/>
        <w:ind w:firstLine="524" w:firstLineChars="200"/>
        <w:rPr>
          <w:bCs/>
        </w:rPr>
      </w:pPr>
      <w:r>
        <w:rPr>
          <w:rFonts w:hint="eastAsia" w:ascii="宋体" w:hAnsi="宋体" w:eastAsia="宋体" w:cs="宋体"/>
          <w:bCs/>
          <w:sz w:val="24"/>
        </w:rPr>
        <w:t>（10）内场配套发生的设备事故，必须按有关规定和职责范围组织调查、分析、处理上报。事故等级的划分按各专业维护规程规定执行。</w:t>
      </w:r>
    </w:p>
    <w:p>
      <w:pPr>
        <w:pStyle w:val="8"/>
        <w:widowControl/>
        <w:tabs>
          <w:tab w:val="left" w:pos="0"/>
          <w:tab w:val="clear" w:pos="1282"/>
        </w:tabs>
        <w:spacing w:before="166" w:after="166"/>
        <w:ind w:left="720" w:hanging="720"/>
        <w:rPr>
          <w:rFonts w:hint="default"/>
        </w:rPr>
      </w:pPr>
      <w:bookmarkStart w:id="308" w:name="_Toc7349"/>
      <w:r>
        <w:rPr>
          <w:rFonts w:cs="黑体"/>
        </w:rPr>
        <w:t>设备完好标准</w:t>
      </w:r>
      <w:bookmarkEnd w:id="308"/>
    </w:p>
    <w:p>
      <w:pPr>
        <w:adjustRightInd w:val="0"/>
        <w:snapToGrid w:val="0"/>
        <w:ind w:firstLine="524" w:firstLineChars="200"/>
        <w:rPr>
          <w:bCs/>
        </w:rPr>
      </w:pPr>
      <w:r>
        <w:rPr>
          <w:rFonts w:hint="eastAsia" w:ascii="宋体" w:hAnsi="宋体" w:eastAsia="宋体" w:cs="宋体"/>
          <w:bCs/>
          <w:sz w:val="24"/>
        </w:rPr>
        <w:t>（1）主要技术指标和电气性能应符合或高于维护技术标准；</w:t>
      </w:r>
    </w:p>
    <w:p>
      <w:pPr>
        <w:adjustRightInd w:val="0"/>
        <w:snapToGrid w:val="0"/>
        <w:ind w:firstLine="524" w:firstLineChars="200"/>
        <w:rPr>
          <w:bCs/>
        </w:rPr>
      </w:pPr>
      <w:r>
        <w:rPr>
          <w:rFonts w:hint="eastAsia" w:ascii="宋体" w:hAnsi="宋体" w:eastAsia="宋体" w:cs="宋体"/>
          <w:bCs/>
          <w:sz w:val="24"/>
        </w:rPr>
        <w:t>（2）主要功能与性能指标、业务能力应符合或高于规程规定的标准；</w:t>
      </w:r>
    </w:p>
    <w:p>
      <w:pPr>
        <w:adjustRightInd w:val="0"/>
        <w:snapToGrid w:val="0"/>
        <w:ind w:firstLine="524" w:firstLineChars="200"/>
        <w:rPr>
          <w:bCs/>
        </w:rPr>
      </w:pPr>
      <w:r>
        <w:rPr>
          <w:rFonts w:hint="eastAsia" w:ascii="宋体" w:hAnsi="宋体" w:eastAsia="宋体" w:cs="宋体"/>
          <w:bCs/>
          <w:sz w:val="24"/>
        </w:rPr>
        <w:t>（3）结构完整、部件齐全、外观整洁完好；</w:t>
      </w:r>
    </w:p>
    <w:p>
      <w:pPr>
        <w:adjustRightInd w:val="0"/>
        <w:snapToGrid w:val="0"/>
        <w:ind w:firstLine="524" w:firstLineChars="200"/>
        <w:rPr>
          <w:bCs/>
        </w:rPr>
      </w:pPr>
      <w:r>
        <w:rPr>
          <w:rFonts w:hint="eastAsia" w:ascii="宋体" w:hAnsi="宋体" w:eastAsia="宋体" w:cs="宋体"/>
          <w:bCs/>
          <w:sz w:val="24"/>
        </w:rPr>
        <w:t>（4）设备能正常运行、使用良好；</w:t>
      </w:r>
    </w:p>
    <w:p>
      <w:pPr>
        <w:adjustRightInd w:val="0"/>
        <w:snapToGrid w:val="0"/>
        <w:ind w:firstLine="524" w:firstLineChars="200"/>
        <w:rPr>
          <w:bCs/>
        </w:rPr>
      </w:pPr>
      <w:r>
        <w:rPr>
          <w:rFonts w:hint="eastAsia" w:ascii="宋体" w:hAnsi="宋体" w:eastAsia="宋体" w:cs="宋体"/>
          <w:bCs/>
          <w:sz w:val="24"/>
        </w:rPr>
        <w:t>（5）技术资料、图纸齐全并与实物相符；</w:t>
      </w:r>
    </w:p>
    <w:p>
      <w:pPr>
        <w:adjustRightInd w:val="0"/>
        <w:snapToGrid w:val="0"/>
        <w:ind w:firstLine="524" w:firstLineChars="200"/>
        <w:rPr>
          <w:bCs/>
        </w:rPr>
      </w:pPr>
      <w:r>
        <w:rPr>
          <w:rFonts w:hint="eastAsia" w:ascii="宋体" w:hAnsi="宋体" w:eastAsia="宋体" w:cs="宋体"/>
          <w:bCs/>
          <w:sz w:val="24"/>
        </w:rPr>
        <w:t>（6）设备完好率标准应符合重庆市公安局颁布的规定指标，并列入维护考核内容。</w:t>
      </w:r>
    </w:p>
    <w:p>
      <w:pPr>
        <w:pStyle w:val="8"/>
        <w:widowControl/>
        <w:tabs>
          <w:tab w:val="left" w:pos="0"/>
          <w:tab w:val="clear" w:pos="1282"/>
        </w:tabs>
        <w:spacing w:before="166" w:after="166"/>
        <w:ind w:left="720" w:hanging="720"/>
        <w:rPr>
          <w:rFonts w:hint="default"/>
        </w:rPr>
      </w:pPr>
      <w:bookmarkStart w:id="309" w:name="_Toc18466"/>
      <w:r>
        <w:rPr>
          <w:rFonts w:cs="黑体"/>
        </w:rPr>
        <w:t>设备的评估</w:t>
      </w:r>
      <w:bookmarkEnd w:id="309"/>
    </w:p>
    <w:p>
      <w:pPr>
        <w:adjustRightInd w:val="0"/>
        <w:snapToGrid w:val="0"/>
        <w:ind w:firstLine="524" w:firstLineChars="200"/>
        <w:rPr>
          <w:bCs/>
        </w:rPr>
      </w:pPr>
      <w:r>
        <w:rPr>
          <w:rFonts w:hint="eastAsia" w:ascii="宋体" w:hAnsi="宋体" w:eastAsia="宋体" w:cs="宋体"/>
          <w:bCs/>
          <w:sz w:val="24"/>
        </w:rPr>
        <w:t>1.加强设备评估有益于发现问题，提高系统运行质量，并为设备新采购提高主要依据。</w:t>
      </w:r>
    </w:p>
    <w:p>
      <w:pPr>
        <w:adjustRightInd w:val="0"/>
        <w:snapToGrid w:val="0"/>
        <w:ind w:firstLine="524" w:firstLineChars="200"/>
        <w:rPr>
          <w:bCs/>
        </w:rPr>
      </w:pPr>
      <w:r>
        <w:rPr>
          <w:rFonts w:hint="eastAsia" w:ascii="宋体" w:hAnsi="宋体" w:eastAsia="宋体" w:cs="宋体"/>
          <w:bCs/>
          <w:sz w:val="24"/>
        </w:rPr>
        <w:t>2.设备评估应定期进行，并可以结合专项评估、动态评估。</w:t>
      </w:r>
    </w:p>
    <w:p>
      <w:pPr>
        <w:adjustRightInd w:val="0"/>
        <w:snapToGrid w:val="0"/>
        <w:ind w:firstLine="524" w:firstLineChars="200"/>
        <w:rPr>
          <w:bCs/>
        </w:rPr>
      </w:pPr>
      <w:r>
        <w:rPr>
          <w:rFonts w:hint="eastAsia" w:ascii="宋体" w:hAnsi="宋体" w:eastAsia="宋体" w:cs="宋体"/>
          <w:bCs/>
          <w:sz w:val="24"/>
        </w:rPr>
        <w:t>3.要不断研究完善设备评估手段，通过引入信息技术手段，加强设备评估的工作效率。</w:t>
      </w:r>
    </w:p>
    <w:p>
      <w:pPr>
        <w:adjustRightInd w:val="0"/>
        <w:snapToGrid w:val="0"/>
        <w:ind w:firstLine="524" w:firstLineChars="200"/>
      </w:pPr>
      <w:r>
        <w:rPr>
          <w:rFonts w:hint="eastAsia" w:ascii="宋体" w:hAnsi="宋体" w:eastAsia="宋体" w:cs="宋体"/>
          <w:bCs/>
          <w:sz w:val="24"/>
        </w:rPr>
        <w:t>4.定期评估流程</w:t>
      </w:r>
    </w:p>
    <w:p>
      <w:pPr>
        <w:adjustRightInd w:val="0"/>
        <w:snapToGrid w:val="0"/>
        <w:ind w:firstLine="524" w:firstLineChars="200"/>
      </w:pPr>
      <w:r>
        <w:rPr>
          <w:rFonts w:hint="eastAsia" w:ascii="宋体" w:hAnsi="宋体" w:eastAsia="宋体" w:cs="宋体"/>
          <w:sz w:val="24"/>
        </w:rPr>
        <w:t>（1）每年初由运维管理部门组织进行所有在网设备的年度评估；</w:t>
      </w:r>
    </w:p>
    <w:p>
      <w:pPr>
        <w:adjustRightInd w:val="0"/>
        <w:snapToGrid w:val="0"/>
        <w:ind w:firstLine="524" w:firstLineChars="200"/>
      </w:pPr>
      <w:r>
        <w:rPr>
          <w:rFonts w:hint="eastAsia" w:ascii="宋体" w:hAnsi="宋体" w:eastAsia="宋体" w:cs="宋体"/>
          <w:sz w:val="24"/>
        </w:rPr>
        <w:t>（2）运维管理部门根据市公安信息系统运维管理部门的要求，由运维实施单位负责本次运维服务涉及设备评估工作；</w:t>
      </w:r>
    </w:p>
    <w:p>
      <w:pPr>
        <w:adjustRightInd w:val="0"/>
        <w:snapToGrid w:val="0"/>
        <w:ind w:firstLine="524" w:firstLineChars="200"/>
      </w:pPr>
      <w:r>
        <w:rPr>
          <w:rFonts w:hint="eastAsia" w:ascii="宋体" w:hAnsi="宋体" w:eastAsia="宋体" w:cs="宋体"/>
          <w:sz w:val="24"/>
        </w:rPr>
        <w:t>（3）设备新采购应以设备综合评估意见为重要依据；</w:t>
      </w:r>
    </w:p>
    <w:p>
      <w:pPr>
        <w:adjustRightInd w:val="0"/>
        <w:snapToGrid w:val="0"/>
        <w:ind w:firstLine="524" w:firstLineChars="200"/>
      </w:pPr>
      <w:r>
        <w:rPr>
          <w:rFonts w:hint="eastAsia" w:ascii="宋体" w:hAnsi="宋体" w:eastAsia="宋体" w:cs="宋体"/>
          <w:sz w:val="24"/>
        </w:rPr>
        <w:t>（4）定期评估、专项评估参照以上流程执行。</w:t>
      </w:r>
    </w:p>
    <w:p>
      <w:pPr>
        <w:pStyle w:val="8"/>
        <w:widowControl/>
        <w:tabs>
          <w:tab w:val="left" w:pos="0"/>
          <w:tab w:val="clear" w:pos="1282"/>
        </w:tabs>
        <w:spacing w:before="166" w:after="166"/>
        <w:ind w:left="720" w:hanging="720"/>
        <w:rPr>
          <w:rFonts w:hint="default"/>
        </w:rPr>
      </w:pPr>
      <w:bookmarkStart w:id="310" w:name="_Toc9499"/>
      <w:r>
        <w:rPr>
          <w:rFonts w:cs="黑体"/>
        </w:rPr>
        <w:t>设备的改造与更新</w:t>
      </w:r>
      <w:bookmarkEnd w:id="310"/>
    </w:p>
    <w:p>
      <w:pPr>
        <w:adjustRightInd w:val="0"/>
        <w:snapToGrid w:val="0"/>
        <w:ind w:firstLine="524" w:firstLineChars="200"/>
        <w:rPr>
          <w:bCs/>
        </w:rPr>
      </w:pPr>
      <w:r>
        <w:rPr>
          <w:rFonts w:hint="eastAsia" w:ascii="宋体" w:hAnsi="宋体" w:eastAsia="宋体" w:cs="宋体"/>
          <w:bCs/>
          <w:sz w:val="24"/>
        </w:rPr>
        <w:t>1.设备的改造与更新按固定资产改造更新流程办理。在重要设备的改造与更新中，新设备的功能及技术参数不能低于被改造与更新的设备。其中，关键性重要设备的改造与更新，必须事先作出设计和技术经济论证，按设备管理权限报批后组织实施。</w:t>
      </w:r>
    </w:p>
    <w:p>
      <w:pPr>
        <w:adjustRightInd w:val="0"/>
        <w:snapToGrid w:val="0"/>
        <w:ind w:firstLine="524" w:firstLineChars="200"/>
        <w:rPr>
          <w:bCs/>
        </w:rPr>
      </w:pPr>
      <w:r>
        <w:rPr>
          <w:rFonts w:hint="eastAsia" w:ascii="宋体" w:hAnsi="宋体" w:eastAsia="宋体" w:cs="宋体"/>
          <w:bCs/>
          <w:sz w:val="24"/>
        </w:rPr>
        <w:t>2.设备改造竣工后，</w:t>
      </w:r>
      <w:r>
        <w:rPr>
          <w:rFonts w:hint="eastAsia" w:ascii="宋体" w:hAnsi="宋体" w:eastAsia="宋体" w:cs="宋体"/>
          <w:sz w:val="24"/>
        </w:rPr>
        <w:t>运维管理部门</w:t>
      </w:r>
      <w:r>
        <w:rPr>
          <w:rFonts w:hint="eastAsia" w:ascii="宋体" w:hAnsi="宋体" w:eastAsia="宋体" w:cs="宋体"/>
          <w:bCs/>
          <w:sz w:val="24"/>
        </w:rPr>
        <w:t>应按设计要求及有关规程进行验收和试运行。</w:t>
      </w:r>
    </w:p>
    <w:p>
      <w:pPr>
        <w:adjustRightInd w:val="0"/>
        <w:snapToGrid w:val="0"/>
        <w:ind w:firstLine="524" w:firstLineChars="200"/>
      </w:pPr>
      <w:r>
        <w:rPr>
          <w:rFonts w:hint="eastAsia" w:ascii="宋体" w:hAnsi="宋体" w:eastAsia="宋体" w:cs="宋体"/>
          <w:bCs/>
          <w:sz w:val="24"/>
        </w:rPr>
        <w:t>3.对下列情况之一的设备可予以报废（损）更新</w:t>
      </w:r>
    </w:p>
    <w:p>
      <w:pPr>
        <w:adjustRightInd w:val="0"/>
        <w:snapToGrid w:val="0"/>
        <w:ind w:firstLine="524" w:firstLineChars="200"/>
      </w:pPr>
      <w:r>
        <w:rPr>
          <w:rFonts w:hint="eastAsia" w:ascii="宋体" w:hAnsi="宋体" w:eastAsia="宋体" w:cs="宋体"/>
          <w:sz w:val="24"/>
        </w:rPr>
        <w:t>（1）已达到使用年限，并丧失使用价值的；</w:t>
      </w:r>
    </w:p>
    <w:p>
      <w:pPr>
        <w:adjustRightInd w:val="0"/>
        <w:snapToGrid w:val="0"/>
        <w:ind w:firstLine="524" w:firstLineChars="200"/>
      </w:pPr>
      <w:r>
        <w:rPr>
          <w:rFonts w:hint="eastAsia" w:ascii="宋体" w:hAnsi="宋体" w:eastAsia="宋体" w:cs="宋体"/>
          <w:sz w:val="24"/>
        </w:rPr>
        <w:t>（2）经过测试，大修理后技术性能仍不能满足要求和生产安全的；</w:t>
      </w:r>
    </w:p>
    <w:p>
      <w:pPr>
        <w:adjustRightInd w:val="0"/>
        <w:snapToGrid w:val="0"/>
        <w:ind w:firstLine="524" w:firstLineChars="200"/>
      </w:pPr>
      <w:r>
        <w:rPr>
          <w:rFonts w:hint="eastAsia" w:ascii="宋体" w:hAnsi="宋体" w:eastAsia="宋体" w:cs="宋体"/>
          <w:sz w:val="24"/>
        </w:rPr>
        <w:t>（3）设备老化、技术落后、耗能高、效率低或造成事故，大修理后虽能恢复使用，但不如更新经济的；</w:t>
      </w:r>
    </w:p>
    <w:p>
      <w:pPr>
        <w:adjustRightInd w:val="0"/>
        <w:snapToGrid w:val="0"/>
        <w:ind w:firstLine="524" w:firstLineChars="200"/>
      </w:pPr>
      <w:r>
        <w:rPr>
          <w:rFonts w:hint="eastAsia" w:ascii="宋体" w:hAnsi="宋体" w:eastAsia="宋体" w:cs="宋体"/>
          <w:sz w:val="24"/>
        </w:rPr>
        <w:t>（4）国家或主管部门规定淘汰的设备；</w:t>
      </w:r>
    </w:p>
    <w:p>
      <w:pPr>
        <w:pStyle w:val="84"/>
        <w:widowControl/>
        <w:numPr>
          <w:ilvl w:val="0"/>
          <w:numId w:val="50"/>
        </w:numPr>
        <w:adjustRightInd w:val="0"/>
        <w:ind w:firstLineChars="0"/>
        <w:rPr>
          <w:rFonts w:hint="default"/>
          <w:sz w:val="24"/>
        </w:rPr>
      </w:pPr>
      <w:r>
        <w:rPr>
          <w:sz w:val="24"/>
        </w:rPr>
        <w:t>因事故毁坏，且无法修复的。</w:t>
      </w:r>
    </w:p>
    <w:p>
      <w:pPr>
        <w:pStyle w:val="7"/>
        <w:tabs>
          <w:tab w:val="clear" w:pos="0"/>
        </w:tabs>
        <w:spacing w:before="289" w:after="289"/>
      </w:pPr>
      <w:r>
        <w:rPr>
          <w:rFonts w:hint="eastAsia"/>
        </w:rPr>
        <w:t>日常监控与巡检</w:t>
      </w:r>
      <w:bookmarkEnd w:id="302"/>
      <w:bookmarkEnd w:id="303"/>
      <w:bookmarkEnd w:id="304"/>
    </w:p>
    <w:p>
      <w:pPr>
        <w:bidi w:val="0"/>
        <w:rPr>
          <w:rFonts w:hint="default"/>
        </w:rPr>
      </w:pPr>
      <w:r>
        <w:t>内场环境是整个工程的核心部位，为保证设备7*24小时不间断运行，</w:t>
      </w:r>
      <w:r>
        <w:rPr>
          <w:rFonts w:hint="eastAsia"/>
          <w:lang w:val="en-US" w:eastAsia="zh-CN"/>
        </w:rPr>
        <w:t>监控室</w:t>
      </w:r>
      <w:r>
        <w:t>部分必须保证每天一次状态巡检，每月一次系统巡检，如遇重大节假日或大型保障，系统巡检可根据实际情况进行调整</w:t>
      </w:r>
      <w:r>
        <w:rPr>
          <w:rFonts w:hint="eastAsia"/>
          <w:lang w:eastAsia="zh-CN"/>
        </w:rPr>
        <w:t>。</w:t>
      </w:r>
      <w:r>
        <w:t>具体巡检方案如下：</w:t>
      </w:r>
    </w:p>
    <w:p>
      <w:pPr>
        <w:pStyle w:val="7"/>
        <w:tabs>
          <w:tab w:val="clear" w:pos="0"/>
        </w:tabs>
        <w:spacing w:before="289" w:after="289"/>
      </w:pPr>
      <w:bookmarkStart w:id="311" w:name="_Toc480459251"/>
      <w:bookmarkStart w:id="312" w:name="_Toc67475771"/>
      <w:bookmarkStart w:id="313" w:name="_Toc490764604"/>
      <w:r>
        <w:rPr>
          <w:rFonts w:hint="eastAsia"/>
        </w:rPr>
        <w:t>故障处理及维修服务</w:t>
      </w:r>
      <w:bookmarkEnd w:id="311"/>
      <w:bookmarkEnd w:id="312"/>
      <w:bookmarkEnd w:id="313"/>
    </w:p>
    <w:p>
      <w:pPr>
        <w:bidi w:val="0"/>
        <w:rPr>
          <w:rFonts w:hint="default"/>
        </w:rPr>
      </w:pPr>
      <w:r>
        <w:t>运维实施单位提供内场工程系统/设备故障响应、排查及维修服务，派遣相应技术人员提供驻场技术支持。运维实施单位应与本工程建设的总包方、供应商、原厂等干系单位积极对接，对业主上报的或通过日常监控及巡检发现的系统或设备故障，由运维实施单位进行排查分析，定位故障原因，研判故障的责任主体，如为产品质量问题，对于处于质保期内的，协调上述相应的干系单位进行处理；超过质保期的，由运维实施单位对内场环境工程运维范围中涉及到的主要设备提供维修服务。如为工程故障，由运维实施单位进行处理。</w:t>
      </w:r>
    </w:p>
    <w:p>
      <w:pPr>
        <w:bidi w:val="0"/>
        <w:rPr>
          <w:rFonts w:hint="default"/>
        </w:rPr>
      </w:pPr>
      <w:r>
        <w:t>运维实施单位在维修及维护工作中，若遇到特殊情况（如线路损坏、缺少备件等），无法立即修复的情况，必须首先提出维修方案并采取有效措施(如使用同类型备件暂时替换使用)尽量使故障减少到最小，以保证系统在最大限度内正常工作。</w:t>
      </w:r>
    </w:p>
    <w:p>
      <w:pPr>
        <w:bidi w:val="0"/>
        <w:rPr>
          <w:rFonts w:hint="default"/>
        </w:rPr>
      </w:pPr>
      <w:r>
        <w:t>运维实施单位应满足以下内场故障响应和恢复时间要求：</w:t>
      </w:r>
    </w:p>
    <w:tbl>
      <w:tblPr>
        <w:tblStyle w:val="28"/>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193"/>
        <w:gridCol w:w="1571"/>
        <w:gridCol w:w="2546"/>
        <w:gridCol w:w="2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tcBorders>
              <w:top w:val="single" w:color="auto" w:sz="4" w:space="0"/>
              <w:left w:val="single" w:color="auto" w:sz="4" w:space="0"/>
              <w:bottom w:val="single" w:color="auto" w:sz="4" w:space="0"/>
              <w:right w:val="single" w:color="auto" w:sz="4" w:space="0"/>
            </w:tcBorders>
            <w:shd w:val="clear" w:color="auto" w:fill="A6A6A6"/>
            <w:vAlign w:val="center"/>
          </w:tcPr>
          <w:p>
            <w:pPr>
              <w:pStyle w:val="27"/>
              <w:widowControl/>
              <w:spacing w:before="156" w:after="156" w:line="240" w:lineRule="auto"/>
              <w:ind w:firstLine="0" w:firstLineChars="0"/>
              <w:rPr>
                <w:rFonts w:hint="eastAsia" w:ascii="宋体" w:hAnsi="宋体" w:eastAsia="宋体" w:cs="宋体"/>
                <w:b/>
                <w:sz w:val="21"/>
                <w:szCs w:val="21"/>
              </w:rPr>
            </w:pPr>
            <w:r>
              <w:rPr>
                <w:rFonts w:hint="eastAsia" w:ascii="宋体" w:hAnsi="宋体" w:eastAsia="宋体" w:cs="宋体"/>
                <w:b/>
                <w:sz w:val="21"/>
                <w:szCs w:val="21"/>
              </w:rPr>
              <w:t>序号</w:t>
            </w:r>
          </w:p>
        </w:tc>
        <w:tc>
          <w:tcPr>
            <w:tcW w:w="704" w:type="pct"/>
            <w:tcBorders>
              <w:top w:val="single" w:color="auto" w:sz="4" w:space="0"/>
              <w:left w:val="single" w:color="auto" w:sz="4" w:space="0"/>
              <w:bottom w:val="single" w:color="auto" w:sz="4" w:space="0"/>
              <w:right w:val="single" w:color="auto" w:sz="4" w:space="0"/>
            </w:tcBorders>
            <w:shd w:val="clear" w:color="auto" w:fill="A6A6A6"/>
            <w:vAlign w:val="center"/>
          </w:tcPr>
          <w:p>
            <w:pPr>
              <w:pStyle w:val="27"/>
              <w:widowControl/>
              <w:spacing w:before="156" w:after="156" w:line="240" w:lineRule="auto"/>
              <w:ind w:firstLine="0" w:firstLineChars="0"/>
              <w:rPr>
                <w:rFonts w:hint="eastAsia" w:ascii="宋体" w:hAnsi="宋体" w:eastAsia="宋体" w:cs="宋体"/>
                <w:b/>
                <w:sz w:val="21"/>
                <w:szCs w:val="21"/>
              </w:rPr>
            </w:pPr>
            <w:r>
              <w:rPr>
                <w:rFonts w:hint="eastAsia" w:ascii="宋体" w:hAnsi="宋体" w:eastAsia="宋体" w:cs="宋体"/>
                <w:b/>
                <w:sz w:val="21"/>
                <w:szCs w:val="21"/>
              </w:rPr>
              <w:t>作业项目</w:t>
            </w:r>
          </w:p>
        </w:tc>
        <w:tc>
          <w:tcPr>
            <w:tcW w:w="927" w:type="pct"/>
            <w:tcBorders>
              <w:top w:val="single" w:color="auto" w:sz="4" w:space="0"/>
              <w:left w:val="single" w:color="auto" w:sz="4" w:space="0"/>
              <w:bottom w:val="single" w:color="auto" w:sz="4" w:space="0"/>
              <w:right w:val="single" w:color="auto" w:sz="4" w:space="0"/>
            </w:tcBorders>
            <w:shd w:val="clear" w:color="auto" w:fill="A6A6A6"/>
            <w:vAlign w:val="center"/>
          </w:tcPr>
          <w:p>
            <w:pPr>
              <w:pStyle w:val="27"/>
              <w:widowControl/>
              <w:spacing w:before="156" w:after="156" w:line="240" w:lineRule="auto"/>
              <w:ind w:firstLine="0" w:firstLineChars="0"/>
              <w:rPr>
                <w:rFonts w:hint="eastAsia" w:ascii="宋体" w:hAnsi="宋体" w:eastAsia="宋体" w:cs="宋体"/>
                <w:b/>
                <w:sz w:val="21"/>
                <w:szCs w:val="21"/>
              </w:rPr>
            </w:pPr>
            <w:r>
              <w:rPr>
                <w:rFonts w:hint="eastAsia" w:ascii="宋体" w:hAnsi="宋体" w:eastAsia="宋体" w:cs="宋体"/>
                <w:b/>
                <w:sz w:val="21"/>
                <w:szCs w:val="21"/>
              </w:rPr>
              <w:t>项目内容</w:t>
            </w:r>
          </w:p>
        </w:tc>
        <w:tc>
          <w:tcPr>
            <w:tcW w:w="1502" w:type="pct"/>
            <w:tcBorders>
              <w:top w:val="single" w:color="auto" w:sz="4" w:space="0"/>
              <w:left w:val="single" w:color="auto" w:sz="4" w:space="0"/>
              <w:bottom w:val="single" w:color="auto" w:sz="4" w:space="0"/>
              <w:right w:val="single" w:color="auto" w:sz="4" w:space="0"/>
            </w:tcBorders>
            <w:shd w:val="clear" w:color="auto" w:fill="A6A6A6"/>
            <w:vAlign w:val="center"/>
          </w:tcPr>
          <w:p>
            <w:pPr>
              <w:pStyle w:val="27"/>
              <w:widowControl/>
              <w:spacing w:before="156" w:after="156" w:line="240" w:lineRule="auto"/>
              <w:ind w:firstLine="0" w:firstLineChars="0"/>
              <w:rPr>
                <w:rFonts w:hint="eastAsia" w:ascii="宋体" w:hAnsi="宋体" w:eastAsia="宋体" w:cs="宋体"/>
                <w:b/>
                <w:sz w:val="21"/>
                <w:szCs w:val="21"/>
              </w:rPr>
            </w:pPr>
            <w:r>
              <w:rPr>
                <w:rFonts w:hint="eastAsia" w:ascii="宋体" w:hAnsi="宋体" w:eastAsia="宋体" w:cs="宋体"/>
                <w:b/>
                <w:sz w:val="21"/>
                <w:szCs w:val="21"/>
              </w:rPr>
              <w:t>响应时间</w:t>
            </w:r>
          </w:p>
        </w:tc>
        <w:tc>
          <w:tcPr>
            <w:tcW w:w="1413" w:type="pct"/>
            <w:tcBorders>
              <w:top w:val="single" w:color="auto" w:sz="4" w:space="0"/>
              <w:left w:val="single" w:color="auto" w:sz="4" w:space="0"/>
              <w:bottom w:val="single" w:color="auto" w:sz="4" w:space="0"/>
              <w:right w:val="single" w:color="auto" w:sz="4" w:space="0"/>
            </w:tcBorders>
            <w:shd w:val="clear" w:color="auto" w:fill="A6A6A6"/>
            <w:vAlign w:val="center"/>
          </w:tcPr>
          <w:p>
            <w:pPr>
              <w:pStyle w:val="27"/>
              <w:widowControl/>
              <w:spacing w:before="156" w:after="156" w:line="240" w:lineRule="auto"/>
              <w:ind w:firstLine="0" w:firstLineChars="0"/>
              <w:rPr>
                <w:rFonts w:hint="eastAsia" w:ascii="宋体" w:hAnsi="宋体" w:eastAsia="宋体" w:cs="宋体"/>
                <w:b/>
                <w:sz w:val="21"/>
                <w:szCs w:val="21"/>
              </w:rPr>
            </w:pPr>
            <w:r>
              <w:rPr>
                <w:rFonts w:hint="eastAsia" w:ascii="宋体" w:hAnsi="宋体" w:eastAsia="宋体" w:cs="宋体"/>
                <w:b/>
                <w:sz w:val="21"/>
                <w:szCs w:val="21"/>
              </w:rPr>
              <w:t>恢复时间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4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w:t>
            </w:r>
          </w:p>
        </w:tc>
        <w:tc>
          <w:tcPr>
            <w:tcW w:w="70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 xml:space="preserve">故障处理 </w:t>
            </w:r>
          </w:p>
        </w:tc>
        <w:tc>
          <w:tcPr>
            <w:tcW w:w="92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受理业务部门前端故障申告</w:t>
            </w:r>
          </w:p>
        </w:tc>
        <w:tc>
          <w:tcPr>
            <w:tcW w:w="1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重大故障：≤30分钟</w:t>
            </w:r>
          </w:p>
        </w:tc>
        <w:tc>
          <w:tcPr>
            <w:tcW w:w="14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重大故障：≤4小时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4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70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92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1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故障：≤60分钟</w:t>
            </w:r>
          </w:p>
        </w:tc>
        <w:tc>
          <w:tcPr>
            <w:tcW w:w="14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故障：≤8小时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4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70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92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1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一般故障：≤60分钟</w:t>
            </w:r>
          </w:p>
        </w:tc>
        <w:tc>
          <w:tcPr>
            <w:tcW w:w="14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一般故障：≤24小时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4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70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92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sz w:val="21"/>
                <w:szCs w:val="21"/>
              </w:rPr>
            </w:pPr>
          </w:p>
        </w:tc>
        <w:tc>
          <w:tcPr>
            <w:tcW w:w="1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其它故障：≤60分钟</w:t>
            </w:r>
          </w:p>
        </w:tc>
        <w:tc>
          <w:tcPr>
            <w:tcW w:w="14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7"/>
              <w:widowControl/>
              <w:spacing w:before="156" w:after="156"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其它故障：≤48小时</w:t>
            </w:r>
          </w:p>
        </w:tc>
      </w:tr>
    </w:tbl>
    <w:p>
      <w:pPr>
        <w:pStyle w:val="27"/>
        <w:widowControl/>
        <w:spacing w:before="156" w:after="156"/>
        <w:ind w:firstLine="258"/>
        <w:rPr>
          <w:rFonts w:hint="default" w:eastAsia="等线"/>
        </w:rPr>
      </w:pPr>
    </w:p>
    <w:p>
      <w:pPr>
        <w:pStyle w:val="7"/>
        <w:tabs>
          <w:tab w:val="clear" w:pos="0"/>
        </w:tabs>
        <w:spacing w:before="289" w:after="289"/>
      </w:pPr>
      <w:r>
        <w:rPr>
          <w:rFonts w:hint="eastAsia"/>
        </w:rPr>
        <w:t>资产管理</w:t>
      </w:r>
    </w:p>
    <w:p>
      <w:pPr>
        <w:pStyle w:val="2"/>
        <w:spacing w:after="0" w:line="360" w:lineRule="auto"/>
        <w:ind w:left="0" w:leftChars="0" w:firstLine="516"/>
        <w:rPr>
          <w:rFonts w:ascii="宋体" w:hAnsi="宋体" w:eastAsia="宋体"/>
          <w:sz w:val="24"/>
          <w:szCs w:val="24"/>
        </w:rPr>
      </w:pPr>
      <w:r>
        <w:rPr>
          <w:rFonts w:hint="eastAsia" w:ascii="宋体" w:hAnsi="宋体" w:eastAsia="宋体"/>
          <w:sz w:val="24"/>
          <w:szCs w:val="24"/>
        </w:rPr>
        <w:t>运维实施单位需提供设备资产及信息管理服务，包括设备的质保时间、设备配置信息、设备型号、数量等通过相应的软件管理工具，对因设备故障更换、新增设备入网等设备变更情况进行更新，通过对相关资源录入，以及资源更新，做好资源的基础管理和专业管理工作，建立动态设备数据库。</w:t>
      </w:r>
    </w:p>
    <w:p>
      <w:pPr>
        <w:pStyle w:val="7"/>
        <w:tabs>
          <w:tab w:val="clear" w:pos="0"/>
        </w:tabs>
        <w:spacing w:before="289" w:after="289"/>
      </w:pPr>
      <w:r>
        <w:rPr>
          <w:rFonts w:hint="eastAsia"/>
        </w:rPr>
        <w:t>定期清洁服务</w:t>
      </w:r>
    </w:p>
    <w:p>
      <w:pPr>
        <w:pStyle w:val="2"/>
        <w:spacing w:after="0" w:line="360" w:lineRule="auto"/>
        <w:ind w:left="0" w:leftChars="0" w:firstLine="516"/>
        <w:rPr>
          <w:rFonts w:ascii="宋体" w:hAnsi="宋体" w:eastAsia="宋体"/>
          <w:sz w:val="24"/>
          <w:szCs w:val="24"/>
        </w:rPr>
      </w:pPr>
      <w:r>
        <w:rPr>
          <w:rFonts w:hint="eastAsia" w:ascii="宋体" w:hAnsi="宋体" w:eastAsia="宋体"/>
          <w:sz w:val="24"/>
          <w:szCs w:val="24"/>
        </w:rPr>
        <w:t>定期清洁内场主要设备，包括精密空调内外机除尘、机柜除尘等，每季度</w:t>
      </w:r>
      <w:r>
        <w:rPr>
          <w:rFonts w:ascii="宋体" w:hAnsi="宋体" w:eastAsia="宋体"/>
          <w:sz w:val="24"/>
          <w:szCs w:val="24"/>
        </w:rPr>
        <w:t>至少一次</w:t>
      </w:r>
      <w:r>
        <w:rPr>
          <w:rFonts w:hint="eastAsia" w:ascii="宋体" w:hAnsi="宋体" w:eastAsia="宋体"/>
          <w:sz w:val="24"/>
          <w:szCs w:val="24"/>
        </w:rPr>
        <w:t>。</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459"/>
        <w:gridCol w:w="1457"/>
        <w:gridCol w:w="1459"/>
        <w:gridCol w:w="1457"/>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0" w:type="pct"/>
            <w:vMerge w:val="restart"/>
            <w:shd w:val="clear" w:color="auto" w:fill="auto"/>
            <w:vAlign w:val="center"/>
          </w:tcPr>
          <w:p>
            <w:pPr>
              <w:pStyle w:val="2"/>
              <w:spacing w:after="0" w:line="240" w:lineRule="auto"/>
              <w:ind w:left="0" w:leftChars="0" w:firstLine="0" w:firstLineChars="0"/>
              <w:rPr>
                <w:rFonts w:ascii="宋体" w:hAnsi="宋体" w:eastAsia="宋体"/>
                <w:sz w:val="21"/>
                <w:szCs w:val="21"/>
              </w:rPr>
            </w:pPr>
            <w:r>
              <w:rPr>
                <w:rFonts w:hint="eastAsia" w:ascii="宋体" w:hAnsi="宋体" w:eastAsia="宋体"/>
                <w:sz w:val="21"/>
                <w:szCs w:val="21"/>
              </w:rPr>
              <w:t>设备名称</w:t>
            </w:r>
          </w:p>
        </w:tc>
        <w:tc>
          <w:tcPr>
            <w:tcW w:w="861" w:type="pct"/>
            <w:vMerge w:val="restart"/>
            <w:vAlign w:val="center"/>
          </w:tcPr>
          <w:p>
            <w:pPr>
              <w:pStyle w:val="2"/>
              <w:spacing w:after="0" w:line="240" w:lineRule="auto"/>
              <w:ind w:left="0" w:leftChars="0" w:firstLine="0" w:firstLineChars="0"/>
              <w:rPr>
                <w:rFonts w:ascii="宋体" w:hAnsi="宋体" w:eastAsia="宋体"/>
                <w:sz w:val="21"/>
                <w:szCs w:val="21"/>
              </w:rPr>
            </w:pPr>
            <w:r>
              <w:rPr>
                <w:rFonts w:hint="eastAsia" w:ascii="宋体" w:hAnsi="宋体" w:eastAsia="宋体"/>
                <w:sz w:val="21"/>
                <w:szCs w:val="21"/>
              </w:rPr>
              <w:t>IP地址</w:t>
            </w:r>
          </w:p>
        </w:tc>
        <w:tc>
          <w:tcPr>
            <w:tcW w:w="3438" w:type="pct"/>
            <w:gridSpan w:val="4"/>
            <w:shd w:val="clear" w:color="auto" w:fill="auto"/>
            <w:noWrap/>
            <w:vAlign w:val="center"/>
          </w:tcPr>
          <w:p>
            <w:pPr>
              <w:pStyle w:val="2"/>
              <w:spacing w:after="0" w:line="240" w:lineRule="auto"/>
              <w:ind w:left="0" w:leftChars="0" w:firstLine="0" w:firstLineChars="0"/>
              <w:rPr>
                <w:rFonts w:ascii="宋体" w:hAnsi="宋体" w:eastAsia="宋体"/>
                <w:sz w:val="21"/>
                <w:szCs w:val="21"/>
              </w:rPr>
            </w:pPr>
            <w:r>
              <w:rPr>
                <w:rFonts w:hint="eastAsia" w:ascii="宋体" w:hAnsi="宋体" w:eastAsia="宋体"/>
                <w:sz w:val="21"/>
                <w:szCs w:val="21"/>
              </w:rPr>
              <w:t>清</w:t>
            </w:r>
            <w:r>
              <w:rPr>
                <w:rFonts w:ascii="宋体" w:hAnsi="宋体" w:eastAsia="宋体"/>
                <w:sz w:val="21"/>
                <w:szCs w:val="21"/>
              </w:rPr>
              <w:t>洁时</w:t>
            </w:r>
            <w:r>
              <w:rPr>
                <w:rFonts w:hint="eastAsia" w:ascii="宋体" w:hAnsi="宋体" w:eastAsia="宋体"/>
                <w:sz w:val="21"/>
                <w:szCs w:val="21"/>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0" w:type="pct"/>
            <w:vMerge w:val="continue"/>
            <w:shd w:val="clear" w:color="auto" w:fill="auto"/>
            <w:vAlign w:val="center"/>
          </w:tcPr>
          <w:p>
            <w:pPr>
              <w:pStyle w:val="2"/>
              <w:spacing w:after="0" w:line="240" w:lineRule="auto"/>
              <w:ind w:left="0" w:leftChars="0" w:firstLine="0" w:firstLineChars="0"/>
              <w:rPr>
                <w:rFonts w:ascii="宋体" w:hAnsi="宋体" w:eastAsia="宋体"/>
                <w:sz w:val="21"/>
                <w:szCs w:val="21"/>
              </w:rPr>
            </w:pPr>
          </w:p>
        </w:tc>
        <w:tc>
          <w:tcPr>
            <w:tcW w:w="861" w:type="pct"/>
            <w:vMerge w:val="continue"/>
          </w:tcPr>
          <w:p>
            <w:pPr>
              <w:pStyle w:val="2"/>
              <w:spacing w:after="0" w:line="240" w:lineRule="auto"/>
              <w:ind w:left="0" w:leftChars="0" w:firstLine="0" w:firstLineChars="0"/>
              <w:rPr>
                <w:rFonts w:ascii="宋体" w:hAnsi="宋体" w:eastAsia="宋体"/>
                <w:sz w:val="21"/>
                <w:szCs w:val="21"/>
              </w:rPr>
            </w:pPr>
          </w:p>
        </w:tc>
        <w:tc>
          <w:tcPr>
            <w:tcW w:w="860" w:type="pct"/>
            <w:shd w:val="clear" w:color="auto" w:fill="auto"/>
            <w:noWrap/>
            <w:vAlign w:val="center"/>
          </w:tcPr>
          <w:p>
            <w:pPr>
              <w:pStyle w:val="2"/>
              <w:spacing w:after="0" w:line="240" w:lineRule="auto"/>
              <w:ind w:left="0" w:leftChars="0" w:firstLine="0" w:firstLineChars="0"/>
              <w:rPr>
                <w:rFonts w:ascii="宋体" w:hAnsi="宋体" w:eastAsia="宋体"/>
                <w:sz w:val="21"/>
                <w:szCs w:val="21"/>
              </w:rPr>
            </w:pPr>
            <w:r>
              <w:rPr>
                <w:rFonts w:hint="eastAsia" w:ascii="宋体" w:hAnsi="宋体" w:eastAsia="宋体"/>
                <w:sz w:val="21"/>
                <w:szCs w:val="21"/>
              </w:rPr>
              <w:t>一</w:t>
            </w:r>
            <w:r>
              <w:rPr>
                <w:rFonts w:ascii="宋体" w:hAnsi="宋体" w:eastAsia="宋体"/>
                <w:sz w:val="21"/>
                <w:szCs w:val="21"/>
              </w:rPr>
              <w:t>季度</w:t>
            </w:r>
          </w:p>
        </w:tc>
        <w:tc>
          <w:tcPr>
            <w:tcW w:w="861" w:type="pct"/>
            <w:shd w:val="clear" w:color="auto" w:fill="auto"/>
            <w:vAlign w:val="center"/>
          </w:tcPr>
          <w:p>
            <w:pPr>
              <w:pStyle w:val="2"/>
              <w:spacing w:after="0" w:line="240" w:lineRule="auto"/>
              <w:ind w:left="0" w:leftChars="0" w:firstLine="0" w:firstLineChars="0"/>
              <w:rPr>
                <w:rFonts w:ascii="宋体" w:hAnsi="宋体" w:eastAsia="宋体"/>
                <w:sz w:val="21"/>
                <w:szCs w:val="21"/>
              </w:rPr>
            </w:pPr>
            <w:r>
              <w:rPr>
                <w:rFonts w:hint="eastAsia" w:ascii="宋体" w:hAnsi="宋体" w:eastAsia="宋体"/>
                <w:sz w:val="21"/>
                <w:szCs w:val="21"/>
              </w:rPr>
              <w:t>二</w:t>
            </w:r>
            <w:r>
              <w:rPr>
                <w:rFonts w:ascii="宋体" w:hAnsi="宋体" w:eastAsia="宋体"/>
                <w:sz w:val="21"/>
                <w:szCs w:val="21"/>
              </w:rPr>
              <w:t>季度</w:t>
            </w:r>
          </w:p>
        </w:tc>
        <w:tc>
          <w:tcPr>
            <w:tcW w:w="860" w:type="pct"/>
            <w:shd w:val="clear" w:color="auto" w:fill="auto"/>
            <w:vAlign w:val="center"/>
          </w:tcPr>
          <w:p>
            <w:pPr>
              <w:pStyle w:val="2"/>
              <w:spacing w:after="0" w:line="240" w:lineRule="auto"/>
              <w:ind w:left="0" w:leftChars="0" w:firstLine="0" w:firstLineChars="0"/>
              <w:rPr>
                <w:rFonts w:ascii="宋体" w:hAnsi="宋体" w:eastAsia="宋体"/>
                <w:sz w:val="21"/>
                <w:szCs w:val="21"/>
              </w:rPr>
            </w:pPr>
            <w:r>
              <w:rPr>
                <w:rFonts w:hint="eastAsia" w:ascii="宋体" w:hAnsi="宋体" w:eastAsia="宋体"/>
                <w:sz w:val="21"/>
                <w:szCs w:val="21"/>
              </w:rPr>
              <w:t>三季度</w:t>
            </w:r>
          </w:p>
        </w:tc>
        <w:tc>
          <w:tcPr>
            <w:tcW w:w="856" w:type="pct"/>
            <w:shd w:val="clear" w:color="auto" w:fill="auto"/>
            <w:vAlign w:val="center"/>
          </w:tcPr>
          <w:p>
            <w:pPr>
              <w:pStyle w:val="2"/>
              <w:spacing w:after="0" w:line="240" w:lineRule="auto"/>
              <w:ind w:left="0" w:leftChars="0" w:firstLine="0" w:firstLineChars="0"/>
              <w:rPr>
                <w:rFonts w:ascii="宋体" w:hAnsi="宋体" w:eastAsia="宋体"/>
                <w:sz w:val="21"/>
                <w:szCs w:val="21"/>
              </w:rPr>
            </w:pPr>
            <w:r>
              <w:rPr>
                <w:rFonts w:hint="eastAsia" w:ascii="宋体" w:hAnsi="宋体" w:eastAsia="宋体"/>
                <w:sz w:val="21"/>
                <w:szCs w:val="21"/>
              </w:rPr>
              <w:t>四</w:t>
            </w:r>
            <w:r>
              <w:rPr>
                <w:rFonts w:ascii="宋体" w:hAnsi="宋体" w:eastAsia="宋体"/>
                <w:sz w:val="21"/>
                <w:szCs w:val="21"/>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0" w:type="pct"/>
            <w:shd w:val="clear" w:color="auto" w:fill="auto"/>
            <w:vAlign w:val="center"/>
          </w:tcPr>
          <w:p>
            <w:pPr>
              <w:pStyle w:val="2"/>
              <w:spacing w:after="0" w:line="240" w:lineRule="auto"/>
              <w:ind w:left="0" w:leftChars="0" w:firstLine="0" w:firstLineChars="0"/>
              <w:rPr>
                <w:rFonts w:ascii="宋体" w:hAnsi="宋体" w:eastAsia="宋体"/>
                <w:sz w:val="21"/>
                <w:szCs w:val="21"/>
              </w:rPr>
            </w:pPr>
          </w:p>
        </w:tc>
        <w:tc>
          <w:tcPr>
            <w:tcW w:w="861" w:type="pct"/>
          </w:tcPr>
          <w:p>
            <w:pPr>
              <w:pStyle w:val="2"/>
              <w:spacing w:after="0" w:line="240" w:lineRule="auto"/>
              <w:ind w:left="0" w:leftChars="0" w:firstLine="0" w:firstLineChars="0"/>
              <w:rPr>
                <w:rFonts w:ascii="宋体" w:hAnsi="宋体" w:eastAsia="宋体"/>
                <w:sz w:val="21"/>
                <w:szCs w:val="21"/>
                <w:u w:val="single"/>
              </w:rPr>
            </w:pPr>
          </w:p>
        </w:tc>
        <w:tc>
          <w:tcPr>
            <w:tcW w:w="860" w:type="pct"/>
            <w:shd w:val="clear" w:color="auto" w:fill="auto"/>
            <w:noWrap/>
            <w:vAlign w:val="center"/>
          </w:tcPr>
          <w:p>
            <w:pPr>
              <w:pStyle w:val="2"/>
              <w:spacing w:after="0" w:line="240" w:lineRule="auto"/>
              <w:ind w:left="0" w:leftChars="0" w:firstLine="0" w:firstLineChars="0"/>
              <w:rPr>
                <w:rFonts w:ascii="宋体" w:hAnsi="宋体" w:eastAsia="宋体"/>
                <w:sz w:val="21"/>
                <w:szCs w:val="21"/>
                <w:u w:val="single"/>
              </w:rPr>
            </w:pPr>
          </w:p>
        </w:tc>
        <w:tc>
          <w:tcPr>
            <w:tcW w:w="861" w:type="pct"/>
            <w:shd w:val="clear" w:color="auto" w:fill="auto"/>
            <w:vAlign w:val="center"/>
          </w:tcPr>
          <w:p>
            <w:pPr>
              <w:pStyle w:val="2"/>
              <w:spacing w:after="0" w:line="240" w:lineRule="auto"/>
              <w:ind w:left="0" w:leftChars="0" w:firstLine="0" w:firstLineChars="0"/>
              <w:rPr>
                <w:rFonts w:ascii="宋体" w:hAnsi="宋体" w:eastAsia="宋体"/>
                <w:sz w:val="21"/>
                <w:szCs w:val="21"/>
                <w:u w:val="single"/>
              </w:rPr>
            </w:pPr>
          </w:p>
        </w:tc>
        <w:tc>
          <w:tcPr>
            <w:tcW w:w="860" w:type="pct"/>
            <w:shd w:val="clear" w:color="auto" w:fill="auto"/>
            <w:vAlign w:val="center"/>
          </w:tcPr>
          <w:p>
            <w:pPr>
              <w:pStyle w:val="2"/>
              <w:spacing w:after="0" w:line="240" w:lineRule="auto"/>
              <w:ind w:left="0" w:leftChars="0" w:firstLine="0" w:firstLineChars="0"/>
              <w:rPr>
                <w:rFonts w:ascii="宋体" w:hAnsi="宋体" w:eastAsia="宋体"/>
                <w:sz w:val="21"/>
                <w:szCs w:val="21"/>
                <w:u w:val="single"/>
              </w:rPr>
            </w:pPr>
          </w:p>
        </w:tc>
        <w:tc>
          <w:tcPr>
            <w:tcW w:w="856" w:type="pct"/>
            <w:shd w:val="clear" w:color="auto" w:fill="auto"/>
            <w:vAlign w:val="center"/>
          </w:tcPr>
          <w:p>
            <w:pPr>
              <w:pStyle w:val="2"/>
              <w:spacing w:after="0" w:line="240" w:lineRule="auto"/>
              <w:ind w:left="0" w:leftChars="0" w:firstLine="0" w:firstLineChars="0"/>
              <w:rPr>
                <w:rFonts w:ascii="宋体" w:hAnsi="宋体" w:eastAsia="宋体"/>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0" w:type="pct"/>
            <w:shd w:val="clear" w:color="auto" w:fill="auto"/>
            <w:vAlign w:val="center"/>
          </w:tcPr>
          <w:p>
            <w:pPr>
              <w:pStyle w:val="2"/>
              <w:spacing w:after="0" w:line="240" w:lineRule="auto"/>
              <w:ind w:left="0" w:leftChars="0" w:firstLine="0" w:firstLineChars="0"/>
              <w:rPr>
                <w:rFonts w:ascii="宋体" w:hAnsi="宋体" w:eastAsia="宋体"/>
                <w:sz w:val="21"/>
                <w:szCs w:val="21"/>
              </w:rPr>
            </w:pPr>
          </w:p>
        </w:tc>
        <w:tc>
          <w:tcPr>
            <w:tcW w:w="861" w:type="pct"/>
          </w:tcPr>
          <w:p>
            <w:pPr>
              <w:pStyle w:val="2"/>
              <w:spacing w:after="0" w:line="240" w:lineRule="auto"/>
              <w:ind w:left="0" w:leftChars="0" w:firstLine="0" w:firstLineChars="0"/>
              <w:rPr>
                <w:rFonts w:ascii="宋体" w:hAnsi="宋体" w:eastAsia="宋体"/>
                <w:sz w:val="21"/>
                <w:szCs w:val="21"/>
                <w:u w:val="single"/>
              </w:rPr>
            </w:pPr>
          </w:p>
        </w:tc>
        <w:tc>
          <w:tcPr>
            <w:tcW w:w="860" w:type="pct"/>
            <w:shd w:val="clear" w:color="auto" w:fill="auto"/>
            <w:noWrap/>
            <w:vAlign w:val="center"/>
          </w:tcPr>
          <w:p>
            <w:pPr>
              <w:pStyle w:val="2"/>
              <w:spacing w:after="0" w:line="240" w:lineRule="auto"/>
              <w:ind w:left="0" w:leftChars="0" w:firstLine="0" w:firstLineChars="0"/>
              <w:rPr>
                <w:rFonts w:ascii="宋体" w:hAnsi="宋体" w:eastAsia="宋体"/>
                <w:sz w:val="21"/>
                <w:szCs w:val="21"/>
                <w:u w:val="single"/>
              </w:rPr>
            </w:pPr>
          </w:p>
        </w:tc>
        <w:tc>
          <w:tcPr>
            <w:tcW w:w="861" w:type="pct"/>
            <w:shd w:val="clear" w:color="auto" w:fill="auto"/>
            <w:vAlign w:val="center"/>
          </w:tcPr>
          <w:p>
            <w:pPr>
              <w:pStyle w:val="2"/>
              <w:spacing w:after="0" w:line="240" w:lineRule="auto"/>
              <w:ind w:left="0" w:leftChars="0" w:firstLine="0" w:firstLineChars="0"/>
              <w:rPr>
                <w:rFonts w:ascii="宋体" w:hAnsi="宋体" w:eastAsia="宋体"/>
                <w:sz w:val="21"/>
                <w:szCs w:val="21"/>
                <w:u w:val="single"/>
              </w:rPr>
            </w:pPr>
          </w:p>
        </w:tc>
        <w:tc>
          <w:tcPr>
            <w:tcW w:w="860" w:type="pct"/>
            <w:shd w:val="clear" w:color="auto" w:fill="auto"/>
            <w:vAlign w:val="center"/>
          </w:tcPr>
          <w:p>
            <w:pPr>
              <w:pStyle w:val="2"/>
              <w:spacing w:after="0" w:line="240" w:lineRule="auto"/>
              <w:ind w:left="0" w:leftChars="0" w:firstLine="0" w:firstLineChars="0"/>
              <w:rPr>
                <w:rFonts w:ascii="宋体" w:hAnsi="宋体" w:eastAsia="宋体"/>
                <w:sz w:val="21"/>
                <w:szCs w:val="21"/>
                <w:u w:val="single"/>
              </w:rPr>
            </w:pPr>
          </w:p>
        </w:tc>
        <w:tc>
          <w:tcPr>
            <w:tcW w:w="856" w:type="pct"/>
            <w:shd w:val="clear" w:color="auto" w:fill="auto"/>
            <w:vAlign w:val="center"/>
          </w:tcPr>
          <w:p>
            <w:pPr>
              <w:pStyle w:val="2"/>
              <w:spacing w:after="0" w:line="240" w:lineRule="auto"/>
              <w:ind w:left="0" w:leftChars="0" w:firstLine="0" w:firstLineChars="0"/>
              <w:rPr>
                <w:rFonts w:ascii="宋体" w:hAnsi="宋体" w:eastAsia="宋体"/>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0" w:type="pct"/>
            <w:shd w:val="clear" w:color="auto" w:fill="auto"/>
            <w:vAlign w:val="center"/>
          </w:tcPr>
          <w:p>
            <w:pPr>
              <w:pStyle w:val="2"/>
              <w:spacing w:after="0" w:line="240" w:lineRule="auto"/>
              <w:ind w:left="0" w:leftChars="0" w:firstLine="0" w:firstLineChars="0"/>
              <w:rPr>
                <w:rFonts w:ascii="宋体" w:hAnsi="宋体" w:eastAsia="宋体"/>
                <w:sz w:val="21"/>
                <w:szCs w:val="21"/>
              </w:rPr>
            </w:pPr>
          </w:p>
        </w:tc>
        <w:tc>
          <w:tcPr>
            <w:tcW w:w="861" w:type="pct"/>
          </w:tcPr>
          <w:p>
            <w:pPr>
              <w:pStyle w:val="2"/>
              <w:spacing w:after="0" w:line="240" w:lineRule="auto"/>
              <w:ind w:left="0" w:leftChars="0" w:firstLine="0" w:firstLineChars="0"/>
              <w:rPr>
                <w:rFonts w:ascii="宋体" w:hAnsi="宋体" w:eastAsia="宋体"/>
                <w:sz w:val="21"/>
                <w:szCs w:val="21"/>
              </w:rPr>
            </w:pPr>
          </w:p>
        </w:tc>
        <w:tc>
          <w:tcPr>
            <w:tcW w:w="860" w:type="pct"/>
            <w:shd w:val="clear" w:color="auto" w:fill="auto"/>
            <w:noWrap/>
            <w:vAlign w:val="center"/>
          </w:tcPr>
          <w:p>
            <w:pPr>
              <w:pStyle w:val="2"/>
              <w:spacing w:after="0" w:line="240" w:lineRule="auto"/>
              <w:ind w:left="0" w:leftChars="0" w:firstLine="0" w:firstLineChars="0"/>
              <w:rPr>
                <w:rFonts w:ascii="宋体" w:hAnsi="宋体" w:eastAsia="宋体"/>
                <w:sz w:val="21"/>
                <w:szCs w:val="21"/>
              </w:rPr>
            </w:pPr>
          </w:p>
        </w:tc>
        <w:tc>
          <w:tcPr>
            <w:tcW w:w="861" w:type="pct"/>
            <w:shd w:val="clear" w:color="auto" w:fill="auto"/>
            <w:vAlign w:val="center"/>
          </w:tcPr>
          <w:p>
            <w:pPr>
              <w:pStyle w:val="2"/>
              <w:spacing w:after="0" w:line="240" w:lineRule="auto"/>
              <w:ind w:left="0" w:leftChars="0" w:firstLine="0" w:firstLineChars="0"/>
              <w:rPr>
                <w:rFonts w:ascii="宋体" w:hAnsi="宋体" w:eastAsia="宋体"/>
                <w:sz w:val="21"/>
                <w:szCs w:val="21"/>
              </w:rPr>
            </w:pPr>
          </w:p>
        </w:tc>
        <w:tc>
          <w:tcPr>
            <w:tcW w:w="860" w:type="pct"/>
            <w:shd w:val="clear" w:color="auto" w:fill="auto"/>
            <w:vAlign w:val="center"/>
          </w:tcPr>
          <w:p>
            <w:pPr>
              <w:pStyle w:val="2"/>
              <w:spacing w:after="0" w:line="240" w:lineRule="auto"/>
              <w:ind w:left="0" w:leftChars="0" w:firstLine="0" w:firstLineChars="0"/>
              <w:rPr>
                <w:rFonts w:ascii="宋体" w:hAnsi="宋体" w:eastAsia="宋体"/>
                <w:sz w:val="21"/>
                <w:szCs w:val="21"/>
              </w:rPr>
            </w:pPr>
          </w:p>
        </w:tc>
        <w:tc>
          <w:tcPr>
            <w:tcW w:w="856" w:type="pct"/>
            <w:shd w:val="clear" w:color="auto" w:fill="auto"/>
            <w:vAlign w:val="center"/>
          </w:tcPr>
          <w:p>
            <w:pPr>
              <w:pStyle w:val="2"/>
              <w:spacing w:after="0" w:line="240" w:lineRule="auto"/>
              <w:ind w:left="0" w:leftChars="0" w:firstLine="0" w:firstLineChars="0"/>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0" w:type="pct"/>
            <w:shd w:val="clear" w:color="auto" w:fill="auto"/>
            <w:vAlign w:val="center"/>
          </w:tcPr>
          <w:p>
            <w:pPr>
              <w:pStyle w:val="2"/>
              <w:spacing w:after="0" w:line="240" w:lineRule="auto"/>
              <w:ind w:left="0" w:leftChars="0" w:firstLine="0" w:firstLineChars="0"/>
              <w:rPr>
                <w:rFonts w:ascii="宋体" w:hAnsi="宋体" w:eastAsia="宋体"/>
                <w:sz w:val="21"/>
                <w:szCs w:val="21"/>
              </w:rPr>
            </w:pPr>
          </w:p>
        </w:tc>
        <w:tc>
          <w:tcPr>
            <w:tcW w:w="861" w:type="pct"/>
          </w:tcPr>
          <w:p>
            <w:pPr>
              <w:pStyle w:val="2"/>
              <w:spacing w:after="0" w:line="240" w:lineRule="auto"/>
              <w:ind w:left="0" w:leftChars="0" w:firstLine="0" w:firstLineChars="0"/>
              <w:rPr>
                <w:rFonts w:ascii="宋体" w:hAnsi="宋体" w:eastAsia="宋体"/>
                <w:sz w:val="21"/>
                <w:szCs w:val="21"/>
              </w:rPr>
            </w:pPr>
          </w:p>
        </w:tc>
        <w:tc>
          <w:tcPr>
            <w:tcW w:w="860" w:type="pct"/>
            <w:shd w:val="clear" w:color="auto" w:fill="auto"/>
            <w:noWrap/>
            <w:vAlign w:val="center"/>
          </w:tcPr>
          <w:p>
            <w:pPr>
              <w:pStyle w:val="2"/>
              <w:spacing w:after="0" w:line="240" w:lineRule="auto"/>
              <w:ind w:left="0" w:leftChars="0" w:firstLine="0" w:firstLineChars="0"/>
              <w:rPr>
                <w:rFonts w:ascii="宋体" w:hAnsi="宋体" w:eastAsia="宋体"/>
                <w:sz w:val="21"/>
                <w:szCs w:val="21"/>
              </w:rPr>
            </w:pPr>
          </w:p>
        </w:tc>
        <w:tc>
          <w:tcPr>
            <w:tcW w:w="861" w:type="pct"/>
            <w:shd w:val="clear" w:color="auto" w:fill="auto"/>
            <w:vAlign w:val="center"/>
          </w:tcPr>
          <w:p>
            <w:pPr>
              <w:pStyle w:val="2"/>
              <w:spacing w:after="0" w:line="240" w:lineRule="auto"/>
              <w:ind w:left="0" w:leftChars="0" w:firstLine="0" w:firstLineChars="0"/>
              <w:rPr>
                <w:rFonts w:ascii="宋体" w:hAnsi="宋体" w:eastAsia="宋体"/>
                <w:sz w:val="21"/>
                <w:szCs w:val="21"/>
              </w:rPr>
            </w:pPr>
          </w:p>
        </w:tc>
        <w:tc>
          <w:tcPr>
            <w:tcW w:w="860" w:type="pct"/>
            <w:shd w:val="clear" w:color="auto" w:fill="auto"/>
            <w:vAlign w:val="center"/>
          </w:tcPr>
          <w:p>
            <w:pPr>
              <w:pStyle w:val="2"/>
              <w:spacing w:after="0" w:line="240" w:lineRule="auto"/>
              <w:ind w:left="0" w:leftChars="0" w:firstLine="0" w:firstLineChars="0"/>
              <w:rPr>
                <w:rFonts w:ascii="宋体" w:hAnsi="宋体" w:eastAsia="宋体"/>
                <w:sz w:val="21"/>
                <w:szCs w:val="21"/>
              </w:rPr>
            </w:pPr>
          </w:p>
        </w:tc>
        <w:tc>
          <w:tcPr>
            <w:tcW w:w="856" w:type="pct"/>
            <w:shd w:val="clear" w:color="auto" w:fill="auto"/>
            <w:vAlign w:val="center"/>
          </w:tcPr>
          <w:p>
            <w:pPr>
              <w:pStyle w:val="2"/>
              <w:spacing w:after="0" w:line="240" w:lineRule="auto"/>
              <w:ind w:left="0" w:leftChars="0" w:firstLine="0" w:firstLineChars="0"/>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0" w:type="pct"/>
            <w:shd w:val="clear" w:color="auto" w:fill="auto"/>
            <w:vAlign w:val="center"/>
          </w:tcPr>
          <w:p>
            <w:pPr>
              <w:pStyle w:val="2"/>
              <w:spacing w:after="0" w:line="240" w:lineRule="auto"/>
              <w:ind w:left="0" w:leftChars="0" w:firstLine="0" w:firstLineChars="0"/>
              <w:rPr>
                <w:rFonts w:ascii="宋体" w:hAnsi="宋体" w:eastAsia="宋体"/>
                <w:sz w:val="21"/>
                <w:szCs w:val="21"/>
              </w:rPr>
            </w:pPr>
          </w:p>
        </w:tc>
        <w:tc>
          <w:tcPr>
            <w:tcW w:w="861" w:type="pct"/>
          </w:tcPr>
          <w:p>
            <w:pPr>
              <w:pStyle w:val="2"/>
              <w:spacing w:after="0" w:line="240" w:lineRule="auto"/>
              <w:ind w:left="0" w:leftChars="0" w:firstLine="0" w:firstLineChars="0"/>
              <w:rPr>
                <w:rFonts w:ascii="宋体" w:hAnsi="宋体" w:eastAsia="宋体"/>
                <w:sz w:val="21"/>
                <w:szCs w:val="21"/>
              </w:rPr>
            </w:pPr>
          </w:p>
        </w:tc>
        <w:tc>
          <w:tcPr>
            <w:tcW w:w="860" w:type="pct"/>
            <w:shd w:val="clear" w:color="auto" w:fill="auto"/>
            <w:noWrap/>
            <w:vAlign w:val="center"/>
          </w:tcPr>
          <w:p>
            <w:pPr>
              <w:pStyle w:val="2"/>
              <w:spacing w:after="0" w:line="240" w:lineRule="auto"/>
              <w:ind w:left="0" w:leftChars="0" w:firstLine="0" w:firstLineChars="0"/>
              <w:rPr>
                <w:rFonts w:ascii="宋体" w:hAnsi="宋体" w:eastAsia="宋体"/>
                <w:sz w:val="21"/>
                <w:szCs w:val="21"/>
              </w:rPr>
            </w:pPr>
          </w:p>
        </w:tc>
        <w:tc>
          <w:tcPr>
            <w:tcW w:w="861" w:type="pct"/>
            <w:shd w:val="clear" w:color="auto" w:fill="auto"/>
            <w:vAlign w:val="center"/>
          </w:tcPr>
          <w:p>
            <w:pPr>
              <w:pStyle w:val="2"/>
              <w:spacing w:after="0" w:line="240" w:lineRule="auto"/>
              <w:ind w:left="0" w:leftChars="0" w:firstLine="0" w:firstLineChars="0"/>
              <w:rPr>
                <w:rFonts w:ascii="宋体" w:hAnsi="宋体" w:eastAsia="宋体"/>
                <w:sz w:val="21"/>
                <w:szCs w:val="21"/>
              </w:rPr>
            </w:pPr>
          </w:p>
        </w:tc>
        <w:tc>
          <w:tcPr>
            <w:tcW w:w="860" w:type="pct"/>
            <w:shd w:val="clear" w:color="auto" w:fill="auto"/>
            <w:vAlign w:val="center"/>
          </w:tcPr>
          <w:p>
            <w:pPr>
              <w:pStyle w:val="2"/>
              <w:spacing w:after="0" w:line="240" w:lineRule="auto"/>
              <w:ind w:left="0" w:leftChars="0" w:firstLine="0" w:firstLineChars="0"/>
              <w:rPr>
                <w:rFonts w:ascii="宋体" w:hAnsi="宋体" w:eastAsia="宋体"/>
                <w:sz w:val="21"/>
                <w:szCs w:val="21"/>
              </w:rPr>
            </w:pPr>
          </w:p>
        </w:tc>
        <w:tc>
          <w:tcPr>
            <w:tcW w:w="856" w:type="pct"/>
            <w:shd w:val="clear" w:color="auto" w:fill="auto"/>
            <w:vAlign w:val="center"/>
          </w:tcPr>
          <w:p>
            <w:pPr>
              <w:pStyle w:val="2"/>
              <w:spacing w:after="0" w:line="240" w:lineRule="auto"/>
              <w:ind w:left="0" w:leftChars="0" w:firstLine="0" w:firstLineChars="0"/>
              <w:rPr>
                <w:rFonts w:ascii="宋体" w:hAnsi="宋体" w:eastAsia="宋体"/>
                <w:sz w:val="21"/>
                <w:szCs w:val="21"/>
              </w:rPr>
            </w:pPr>
          </w:p>
        </w:tc>
      </w:tr>
    </w:tbl>
    <w:p>
      <w:pPr>
        <w:pStyle w:val="2"/>
        <w:spacing w:line="360" w:lineRule="auto"/>
        <w:ind w:left="456" w:firstLine="516"/>
        <w:rPr>
          <w:rFonts w:ascii="宋体" w:hAnsi="宋体" w:eastAsia="宋体"/>
          <w:sz w:val="24"/>
        </w:rPr>
      </w:pPr>
    </w:p>
    <w:p>
      <w:pPr>
        <w:pStyle w:val="7"/>
        <w:tabs>
          <w:tab w:val="clear" w:pos="0"/>
        </w:tabs>
        <w:spacing w:before="289" w:after="289"/>
      </w:pPr>
      <w:r>
        <w:rPr>
          <w:rFonts w:hint="eastAsia"/>
        </w:rPr>
        <w:t>运维资料管理</w:t>
      </w:r>
    </w:p>
    <w:p>
      <w:pPr>
        <w:pStyle w:val="2"/>
        <w:spacing w:after="0" w:line="360" w:lineRule="auto"/>
        <w:ind w:left="0" w:leftChars="0" w:firstLine="516"/>
        <w:rPr>
          <w:rFonts w:ascii="宋体" w:hAnsi="宋体" w:eastAsia="宋体"/>
          <w:sz w:val="24"/>
          <w:szCs w:val="24"/>
        </w:rPr>
      </w:pPr>
      <w:r>
        <w:rPr>
          <w:rFonts w:hint="eastAsia" w:ascii="宋体" w:hAnsi="宋体" w:eastAsia="宋体"/>
          <w:sz w:val="24"/>
          <w:szCs w:val="24"/>
        </w:rPr>
        <w:t>运维实施单位负责技术资料、图纸、技术文件的收集、整理等管理工作，并根据用户要求的格式，对各项服务的运行记录、维护记录和技术文档等详细内容进行记录，按照相关规范进行审核、登记、编号和存档，保证各项服务活动可追踪、服务效果可验证。</w:t>
      </w:r>
    </w:p>
    <w:p>
      <w:pPr>
        <w:pStyle w:val="2"/>
        <w:spacing w:after="0" w:line="360" w:lineRule="auto"/>
        <w:ind w:left="0" w:leftChars="0" w:firstLine="516"/>
        <w:rPr>
          <w:rFonts w:hint="eastAsia" w:ascii="宋体" w:hAnsi="宋体" w:eastAsia="宋体"/>
          <w:sz w:val="24"/>
          <w:szCs w:val="24"/>
        </w:rPr>
      </w:pPr>
      <w:r>
        <w:rPr>
          <w:rFonts w:hint="eastAsia" w:ascii="宋体" w:hAnsi="宋体" w:eastAsia="宋体"/>
          <w:sz w:val="24"/>
          <w:szCs w:val="24"/>
        </w:rPr>
        <w:t>运维实施单位应定期汇总编制运维月报、季报、年报，并进行数据整理分析，提供附有图表的统计分析评估报告，同时将数据整理分析结果进行记录，形成知识库，促进用户的信息化管理能力和水平的提高。</w:t>
      </w:r>
    </w:p>
    <w:p>
      <w:pPr>
        <w:pStyle w:val="6"/>
        <w:spacing w:before="289" w:after="289"/>
      </w:pPr>
      <w:bookmarkStart w:id="314" w:name="_Toc68482678"/>
      <w:bookmarkStart w:id="315" w:name="_Toc490764638"/>
      <w:bookmarkStart w:id="316" w:name="_Toc67475794"/>
      <w:bookmarkStart w:id="317" w:name="_Toc28370"/>
      <w:bookmarkStart w:id="318" w:name="_Toc25945"/>
      <w:r>
        <w:rPr>
          <w:rFonts w:hint="eastAsia"/>
        </w:rPr>
        <w:t>备品备件要求</w:t>
      </w:r>
      <w:bookmarkEnd w:id="314"/>
      <w:bookmarkEnd w:id="315"/>
      <w:bookmarkEnd w:id="316"/>
      <w:bookmarkEnd w:id="317"/>
    </w:p>
    <w:p>
      <w:pPr>
        <w:adjustRightInd w:val="0"/>
        <w:snapToGrid w:val="0"/>
        <w:ind w:firstLine="524" w:firstLineChars="200"/>
        <w:textAlignment w:val="baseline"/>
        <w:rPr>
          <w:rFonts w:ascii="宋体" w:hAnsi="宋体" w:eastAsia="宋体" w:cs="宋体"/>
          <w:kern w:val="0"/>
          <w:sz w:val="24"/>
        </w:rPr>
      </w:pPr>
      <w:r>
        <w:rPr>
          <w:rFonts w:hint="eastAsia" w:ascii="宋体" w:hAnsi="宋体" w:eastAsia="宋体" w:cs="宋体"/>
          <w:kern w:val="0"/>
          <w:sz w:val="24"/>
        </w:rPr>
        <w:t>为提高故障排除解决效率，运维实施单位应建立完善的备品备件库，并制订相应的管理体系、建立合理通畅的备品备件发放及回收渠道，提高备品备件的有效支持能力，向用户提供较为全面的设备更换服务，大幅度缩短设备更换周期，使用户能够在很短的时间内获得所需的设备，同时做好备品备件中心库的监督与管理工作。</w:t>
      </w:r>
    </w:p>
    <w:p>
      <w:pPr>
        <w:adjustRightInd w:val="0"/>
        <w:ind w:firstLine="524" w:firstLineChars="200"/>
        <w:textAlignment w:val="baseline"/>
        <w:rPr>
          <w:rFonts w:ascii="宋体" w:hAnsi="宋体" w:eastAsia="宋体" w:cs="宋体"/>
          <w:kern w:val="0"/>
          <w:sz w:val="24"/>
        </w:rPr>
      </w:pPr>
      <w:r>
        <w:rPr>
          <w:rFonts w:hint="eastAsia" w:ascii="宋体" w:hAnsi="宋体" w:eastAsia="宋体" w:cs="宋体"/>
          <w:kern w:val="0"/>
          <w:sz w:val="24"/>
        </w:rPr>
        <w:t>备品备件管理要求如下：</w:t>
      </w:r>
    </w:p>
    <w:p>
      <w:pPr>
        <w:adjustRightInd w:val="0"/>
        <w:snapToGrid w:val="0"/>
        <w:ind w:firstLine="524" w:firstLineChars="200"/>
        <w:textAlignment w:val="baseline"/>
        <w:rPr>
          <w:rFonts w:ascii="宋体" w:hAnsi="宋体" w:eastAsia="宋体" w:cs="宋体"/>
          <w:kern w:val="0"/>
          <w:sz w:val="24"/>
        </w:rPr>
      </w:pPr>
      <w:r>
        <w:rPr>
          <w:rFonts w:hint="eastAsia" w:ascii="宋体" w:hAnsi="宋体" w:eastAsia="宋体" w:cs="宋体"/>
          <w:kern w:val="0"/>
          <w:sz w:val="24"/>
        </w:rPr>
        <w:t>1）拥有成熟的备品备件管理系统，能够覆盖备品备件管理的采购、申请、出入库、借用、维修、盘点、报废等各环节；</w:t>
      </w:r>
    </w:p>
    <w:p>
      <w:pPr>
        <w:adjustRightInd w:val="0"/>
        <w:snapToGrid w:val="0"/>
        <w:ind w:firstLine="524" w:firstLineChars="200"/>
        <w:textAlignment w:val="baseline"/>
        <w:rPr>
          <w:rFonts w:ascii="宋体" w:hAnsi="宋体" w:eastAsia="宋体" w:cs="宋体"/>
          <w:kern w:val="0"/>
          <w:sz w:val="24"/>
        </w:rPr>
      </w:pPr>
      <w:r>
        <w:rPr>
          <w:rFonts w:hint="eastAsia" w:ascii="宋体" w:hAnsi="宋体" w:eastAsia="宋体" w:cs="宋体"/>
          <w:kern w:val="0"/>
          <w:sz w:val="24"/>
        </w:rPr>
        <w:t>2）拥有成熟的备件管理体系流程，覆盖备件管理各个环节，做到流转顺畅，账目清晰；</w:t>
      </w:r>
    </w:p>
    <w:p>
      <w:pPr>
        <w:adjustRightInd w:val="0"/>
        <w:snapToGrid w:val="0"/>
        <w:ind w:firstLine="524" w:firstLineChars="200"/>
        <w:textAlignment w:val="baseline"/>
        <w:rPr>
          <w:rFonts w:ascii="宋体" w:hAnsi="宋体" w:eastAsia="宋体" w:cs="宋体"/>
          <w:kern w:val="0"/>
          <w:sz w:val="24"/>
        </w:rPr>
      </w:pPr>
      <w:r>
        <w:rPr>
          <w:rFonts w:hint="eastAsia" w:ascii="宋体" w:hAnsi="宋体" w:eastAsia="宋体" w:cs="宋体"/>
          <w:kern w:val="0"/>
          <w:sz w:val="24"/>
        </w:rPr>
        <w:t>3）运维实施单位针对备品备件库房管理，具有规范的管理制度，包含人员管理、安全管理、消防管理等，并接受业主监督；</w:t>
      </w:r>
    </w:p>
    <w:p>
      <w:pPr>
        <w:bidi w:val="0"/>
        <w:rPr>
          <w:rFonts w:hint="eastAsia"/>
          <w:lang w:val="en-US" w:eastAsia="zh-CN"/>
        </w:rPr>
      </w:pPr>
      <w:r>
        <w:rPr>
          <w:rFonts w:hint="eastAsia"/>
          <w:lang w:val="en-US" w:eastAsia="zh-CN"/>
        </w:rPr>
        <w:t>4）对需付费部分，设备价格设定不能高于市场现价，设备参数应为最新参数。</w:t>
      </w:r>
    </w:p>
    <w:p>
      <w:pPr>
        <w:pStyle w:val="6"/>
        <w:spacing w:before="198" w:after="198"/>
        <w:rPr>
          <w:color w:val="auto"/>
        </w:rPr>
      </w:pPr>
      <w:bookmarkStart w:id="319" w:name="_Toc1716"/>
      <w:r>
        <w:rPr>
          <w:color w:val="auto"/>
        </w:rPr>
        <w:t>考核方案</w:t>
      </w:r>
      <w:bookmarkEnd w:id="318"/>
      <w:bookmarkEnd w:id="319"/>
    </w:p>
    <w:p>
      <w:pPr>
        <w:tabs>
          <w:tab w:val="left" w:pos="0"/>
        </w:tabs>
        <w:ind w:firstLine="520"/>
        <w:rPr>
          <w:color w:val="auto"/>
        </w:rPr>
      </w:pPr>
      <w:r>
        <w:rPr>
          <w:rFonts w:hint="eastAsia"/>
          <w:color w:val="auto"/>
          <w:szCs w:val="32"/>
        </w:rPr>
        <w:t>为保障运维服务达到良好的效果，运维实施单位充分履行责任和义务，保证运维单位的权益，根据武隆区公安局运维服务实际情况，结合市公安局对武隆区公安局的考核要求，制定运维考核方案，主要包括以下几个方面。</w:t>
      </w:r>
    </w:p>
    <w:p>
      <w:pPr>
        <w:pStyle w:val="7"/>
        <w:widowControl/>
        <w:tabs>
          <w:tab w:val="clear" w:pos="575"/>
        </w:tabs>
        <w:spacing w:before="198" w:after="198"/>
        <w:rPr>
          <w:color w:val="auto"/>
        </w:rPr>
      </w:pPr>
      <w:bookmarkStart w:id="320" w:name="_Toc31970"/>
      <w:r>
        <w:rPr>
          <w:rFonts w:hint="eastAsia" w:cs="黑体"/>
          <w:color w:val="auto"/>
        </w:rPr>
        <w:t>质量评价</w:t>
      </w:r>
      <w:bookmarkEnd w:id="320"/>
    </w:p>
    <w:p>
      <w:pPr>
        <w:ind w:firstLine="524"/>
        <w:rPr>
          <w:color w:val="auto"/>
        </w:rPr>
      </w:pPr>
      <w:r>
        <w:rPr>
          <w:rFonts w:hint="eastAsia" w:cs="宋体"/>
          <w:color w:val="auto"/>
          <w:spacing w:val="11"/>
          <w:lang w:bidi="ar"/>
        </w:rPr>
        <w:t>对运维单位工作质量评价主要从故障响应率、故障处理率、平均故障修复时间等评价指标。</w:t>
      </w:r>
    </w:p>
    <w:p>
      <w:pPr>
        <w:pStyle w:val="7"/>
        <w:widowControl/>
        <w:tabs>
          <w:tab w:val="clear" w:pos="575"/>
        </w:tabs>
        <w:spacing w:before="198" w:after="198"/>
        <w:rPr>
          <w:color w:val="auto"/>
        </w:rPr>
      </w:pPr>
      <w:bookmarkStart w:id="321" w:name="_Toc7594"/>
      <w:bookmarkStart w:id="322" w:name="_Toc12494"/>
      <w:bookmarkStart w:id="323" w:name="_Toc3927"/>
      <w:r>
        <w:rPr>
          <w:rFonts w:hint="eastAsia"/>
          <w:color w:val="auto"/>
        </w:rPr>
        <w:t>绩效考核</w:t>
      </w:r>
      <w:bookmarkEnd w:id="321"/>
    </w:p>
    <w:p>
      <w:pPr>
        <w:ind w:firstLine="524"/>
        <w:rPr>
          <w:color w:val="auto"/>
        </w:rPr>
      </w:pPr>
      <w:r>
        <w:rPr>
          <w:rFonts w:hint="eastAsia" w:cs="宋体"/>
          <w:color w:val="auto"/>
          <w:spacing w:val="11"/>
          <w:lang w:bidi="ar"/>
        </w:rPr>
        <w:t>评价指标、指标值、计算方式详细如下，根据每年业务侧重点不同进行实时调整。</w:t>
      </w:r>
    </w:p>
    <w:tbl>
      <w:tblPr>
        <w:tblStyle w:val="28"/>
        <w:tblW w:w="4997" w:type="pct"/>
        <w:tblInd w:w="0" w:type="dxa"/>
        <w:tblLayout w:type="autofit"/>
        <w:tblCellMar>
          <w:top w:w="0" w:type="dxa"/>
          <w:left w:w="108" w:type="dxa"/>
          <w:bottom w:w="0" w:type="dxa"/>
          <w:right w:w="108" w:type="dxa"/>
        </w:tblCellMar>
      </w:tblPr>
      <w:tblGrid>
        <w:gridCol w:w="889"/>
        <w:gridCol w:w="1044"/>
        <w:gridCol w:w="1874"/>
        <w:gridCol w:w="895"/>
        <w:gridCol w:w="2138"/>
        <w:gridCol w:w="1626"/>
      </w:tblGrid>
      <w:tr>
        <w:tblPrEx>
          <w:tblCellMar>
            <w:top w:w="0" w:type="dxa"/>
            <w:left w:w="108" w:type="dxa"/>
            <w:bottom w:w="0" w:type="dxa"/>
            <w:right w:w="108" w:type="dxa"/>
          </w:tblCellMar>
        </w:tblPrEx>
        <w:trPr>
          <w:trHeight w:val="624" w:hRule="atLeast"/>
          <w:tblHeader/>
        </w:trPr>
        <w:tc>
          <w:tcPr>
            <w:tcW w:w="525"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序号</w:t>
            </w:r>
          </w:p>
        </w:tc>
        <w:tc>
          <w:tcPr>
            <w:tcW w:w="61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运维目标</w:t>
            </w:r>
          </w:p>
        </w:tc>
        <w:tc>
          <w:tcPr>
            <w:tcW w:w="110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考核指标</w:t>
            </w:r>
          </w:p>
        </w:tc>
        <w:tc>
          <w:tcPr>
            <w:tcW w:w="528"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目标要求</w:t>
            </w:r>
          </w:p>
        </w:tc>
        <w:tc>
          <w:tcPr>
            <w:tcW w:w="12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计算方式</w:t>
            </w:r>
          </w:p>
        </w:tc>
        <w:tc>
          <w:tcPr>
            <w:tcW w:w="960"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备注</w:t>
            </w:r>
          </w:p>
        </w:tc>
      </w:tr>
      <w:tr>
        <w:tblPrEx>
          <w:tblCellMar>
            <w:top w:w="0" w:type="dxa"/>
            <w:left w:w="108" w:type="dxa"/>
            <w:bottom w:w="0" w:type="dxa"/>
            <w:right w:w="108" w:type="dxa"/>
          </w:tblCellMar>
        </w:tblPrEx>
        <w:trPr>
          <w:trHeight w:val="454" w:hRule="atLeast"/>
        </w:trPr>
        <w:tc>
          <w:tcPr>
            <w:tcW w:w="525" w:type="pct"/>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616" w:type="pct"/>
            <w:vMerge w:val="restart"/>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质量评价</w:t>
            </w:r>
          </w:p>
        </w:tc>
        <w:tc>
          <w:tcPr>
            <w:tcW w:w="110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故障及时响应率</w:t>
            </w:r>
          </w:p>
        </w:tc>
        <w:tc>
          <w:tcPr>
            <w:tcW w:w="528"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100%</w:t>
            </w:r>
          </w:p>
        </w:tc>
        <w:tc>
          <w:tcPr>
            <w:tcW w:w="1262"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故障及时响应数/故障总数×100%</w:t>
            </w:r>
          </w:p>
        </w:tc>
        <w:tc>
          <w:tcPr>
            <w:tcW w:w="960"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p>
        </w:tc>
      </w:tr>
      <w:tr>
        <w:tblPrEx>
          <w:tblCellMar>
            <w:top w:w="0" w:type="dxa"/>
            <w:left w:w="108" w:type="dxa"/>
            <w:bottom w:w="0" w:type="dxa"/>
            <w:right w:w="108" w:type="dxa"/>
          </w:tblCellMar>
        </w:tblPrEx>
        <w:trPr>
          <w:trHeight w:val="454" w:hRule="atLeast"/>
        </w:trPr>
        <w:tc>
          <w:tcPr>
            <w:tcW w:w="525" w:type="pct"/>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2</w:t>
            </w:r>
          </w:p>
        </w:tc>
        <w:tc>
          <w:tcPr>
            <w:tcW w:w="616"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hint="eastAsia" w:cs="宋体"/>
                <w:color w:val="auto"/>
                <w:sz w:val="21"/>
                <w:szCs w:val="21"/>
              </w:rPr>
            </w:pPr>
          </w:p>
        </w:tc>
        <w:tc>
          <w:tcPr>
            <w:tcW w:w="110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故障及时处理完成率</w:t>
            </w:r>
          </w:p>
        </w:tc>
        <w:tc>
          <w:tcPr>
            <w:tcW w:w="528"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100%</w:t>
            </w:r>
          </w:p>
        </w:tc>
        <w:tc>
          <w:tcPr>
            <w:tcW w:w="1262"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故障及时处理数/故障总数×100%</w:t>
            </w:r>
          </w:p>
        </w:tc>
        <w:tc>
          <w:tcPr>
            <w:tcW w:w="960"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p>
        </w:tc>
      </w:tr>
      <w:tr>
        <w:tblPrEx>
          <w:tblCellMar>
            <w:top w:w="0" w:type="dxa"/>
            <w:left w:w="108" w:type="dxa"/>
            <w:bottom w:w="0" w:type="dxa"/>
            <w:right w:w="108" w:type="dxa"/>
          </w:tblCellMar>
        </w:tblPrEx>
        <w:trPr>
          <w:trHeight w:val="454" w:hRule="atLeast"/>
        </w:trPr>
        <w:tc>
          <w:tcPr>
            <w:tcW w:w="525" w:type="pct"/>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3</w:t>
            </w:r>
          </w:p>
        </w:tc>
        <w:tc>
          <w:tcPr>
            <w:tcW w:w="616"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hint="eastAsia" w:cs="宋体"/>
                <w:color w:val="auto"/>
                <w:sz w:val="21"/>
                <w:szCs w:val="21"/>
              </w:rPr>
            </w:pPr>
          </w:p>
        </w:tc>
        <w:tc>
          <w:tcPr>
            <w:tcW w:w="110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平均故障处理时间</w:t>
            </w:r>
          </w:p>
        </w:tc>
        <w:tc>
          <w:tcPr>
            <w:tcW w:w="528"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p>
        </w:tc>
        <w:tc>
          <w:tcPr>
            <w:tcW w:w="1262"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∑故障完成时间/故障总数×100%</w:t>
            </w:r>
          </w:p>
        </w:tc>
        <w:tc>
          <w:tcPr>
            <w:tcW w:w="960"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p>
        </w:tc>
      </w:tr>
      <w:tr>
        <w:tblPrEx>
          <w:tblCellMar>
            <w:top w:w="0" w:type="dxa"/>
            <w:left w:w="108" w:type="dxa"/>
            <w:bottom w:w="0" w:type="dxa"/>
            <w:right w:w="108" w:type="dxa"/>
          </w:tblCellMar>
        </w:tblPrEx>
        <w:trPr>
          <w:trHeight w:val="454" w:hRule="atLeast"/>
        </w:trPr>
        <w:tc>
          <w:tcPr>
            <w:tcW w:w="525" w:type="pct"/>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4</w:t>
            </w:r>
          </w:p>
        </w:tc>
        <w:tc>
          <w:tcPr>
            <w:tcW w:w="616" w:type="pct"/>
            <w:vMerge w:val="restart"/>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绩效评价</w:t>
            </w:r>
          </w:p>
        </w:tc>
        <w:tc>
          <w:tcPr>
            <w:tcW w:w="110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视频监控镜头在线率</w:t>
            </w:r>
          </w:p>
        </w:tc>
        <w:tc>
          <w:tcPr>
            <w:tcW w:w="528"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≥99.5%</w:t>
            </w:r>
          </w:p>
        </w:tc>
        <w:tc>
          <w:tcPr>
            <w:tcW w:w="1262"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在线镜头数/镜头总数×100%</w:t>
            </w:r>
          </w:p>
        </w:tc>
        <w:tc>
          <w:tcPr>
            <w:tcW w:w="960"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自建监控镜头</w:t>
            </w:r>
          </w:p>
        </w:tc>
      </w:tr>
      <w:tr>
        <w:tblPrEx>
          <w:tblCellMar>
            <w:top w:w="0" w:type="dxa"/>
            <w:left w:w="108" w:type="dxa"/>
            <w:bottom w:w="0" w:type="dxa"/>
            <w:right w:w="108" w:type="dxa"/>
          </w:tblCellMar>
        </w:tblPrEx>
        <w:trPr>
          <w:trHeight w:val="454" w:hRule="atLeast"/>
        </w:trPr>
        <w:tc>
          <w:tcPr>
            <w:tcW w:w="525" w:type="pct"/>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5</w:t>
            </w:r>
          </w:p>
        </w:tc>
        <w:tc>
          <w:tcPr>
            <w:tcW w:w="616"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hint="eastAsia" w:cs="宋体"/>
                <w:color w:val="auto"/>
                <w:sz w:val="21"/>
                <w:szCs w:val="21"/>
              </w:rPr>
            </w:pPr>
          </w:p>
        </w:tc>
        <w:tc>
          <w:tcPr>
            <w:tcW w:w="110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视频监控镜头完好率</w:t>
            </w:r>
          </w:p>
        </w:tc>
        <w:tc>
          <w:tcPr>
            <w:tcW w:w="528"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≥99.5%</w:t>
            </w:r>
          </w:p>
        </w:tc>
        <w:tc>
          <w:tcPr>
            <w:tcW w:w="1262"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视频质量完好数/镜头总数×100%</w:t>
            </w:r>
          </w:p>
        </w:tc>
        <w:tc>
          <w:tcPr>
            <w:tcW w:w="960"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自建监控镜头</w:t>
            </w:r>
          </w:p>
        </w:tc>
      </w:tr>
      <w:tr>
        <w:tblPrEx>
          <w:tblCellMar>
            <w:top w:w="0" w:type="dxa"/>
            <w:left w:w="108" w:type="dxa"/>
            <w:bottom w:w="0" w:type="dxa"/>
            <w:right w:w="108" w:type="dxa"/>
          </w:tblCellMar>
        </w:tblPrEx>
        <w:trPr>
          <w:trHeight w:val="454" w:hRule="atLeast"/>
        </w:trPr>
        <w:tc>
          <w:tcPr>
            <w:tcW w:w="525" w:type="pct"/>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6</w:t>
            </w:r>
          </w:p>
        </w:tc>
        <w:tc>
          <w:tcPr>
            <w:tcW w:w="616"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hint="eastAsia" w:cs="宋体"/>
                <w:color w:val="auto"/>
                <w:sz w:val="21"/>
                <w:szCs w:val="21"/>
              </w:rPr>
            </w:pPr>
          </w:p>
        </w:tc>
        <w:tc>
          <w:tcPr>
            <w:tcW w:w="110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视频监控镜头坐标采集率</w:t>
            </w:r>
          </w:p>
        </w:tc>
        <w:tc>
          <w:tcPr>
            <w:tcW w:w="528"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100%</w:t>
            </w:r>
          </w:p>
        </w:tc>
        <w:tc>
          <w:tcPr>
            <w:tcW w:w="1262"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已采集坐标数/镜头总数×100%</w:t>
            </w:r>
          </w:p>
        </w:tc>
        <w:tc>
          <w:tcPr>
            <w:tcW w:w="960"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p>
        </w:tc>
      </w:tr>
      <w:tr>
        <w:tblPrEx>
          <w:tblCellMar>
            <w:top w:w="0" w:type="dxa"/>
            <w:left w:w="108" w:type="dxa"/>
            <w:bottom w:w="0" w:type="dxa"/>
            <w:right w:w="108" w:type="dxa"/>
          </w:tblCellMar>
        </w:tblPrEx>
        <w:trPr>
          <w:trHeight w:val="454" w:hRule="atLeast"/>
        </w:trPr>
        <w:tc>
          <w:tcPr>
            <w:tcW w:w="525" w:type="pct"/>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7</w:t>
            </w:r>
          </w:p>
        </w:tc>
        <w:tc>
          <w:tcPr>
            <w:tcW w:w="616"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hint="eastAsia" w:cs="宋体"/>
                <w:color w:val="auto"/>
                <w:sz w:val="21"/>
                <w:szCs w:val="21"/>
              </w:rPr>
            </w:pPr>
          </w:p>
        </w:tc>
        <w:tc>
          <w:tcPr>
            <w:tcW w:w="110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视频监控镜头OSD规范率</w:t>
            </w:r>
          </w:p>
        </w:tc>
        <w:tc>
          <w:tcPr>
            <w:tcW w:w="528"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100%</w:t>
            </w:r>
          </w:p>
        </w:tc>
        <w:tc>
          <w:tcPr>
            <w:tcW w:w="1262"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OSD规范数/镜头总数×100%</w:t>
            </w:r>
          </w:p>
        </w:tc>
        <w:tc>
          <w:tcPr>
            <w:tcW w:w="960"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自建监控镜头</w:t>
            </w:r>
          </w:p>
        </w:tc>
      </w:tr>
      <w:tr>
        <w:tblPrEx>
          <w:tblCellMar>
            <w:top w:w="0" w:type="dxa"/>
            <w:left w:w="108" w:type="dxa"/>
            <w:bottom w:w="0" w:type="dxa"/>
            <w:right w:w="108" w:type="dxa"/>
          </w:tblCellMar>
        </w:tblPrEx>
        <w:trPr>
          <w:trHeight w:val="454" w:hRule="atLeast"/>
        </w:trPr>
        <w:tc>
          <w:tcPr>
            <w:tcW w:w="525" w:type="pct"/>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8</w:t>
            </w:r>
          </w:p>
        </w:tc>
        <w:tc>
          <w:tcPr>
            <w:tcW w:w="616"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hint="eastAsia" w:cs="宋体"/>
                <w:color w:val="auto"/>
                <w:sz w:val="21"/>
                <w:szCs w:val="21"/>
              </w:rPr>
            </w:pPr>
          </w:p>
        </w:tc>
        <w:tc>
          <w:tcPr>
            <w:tcW w:w="110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视频监控镜头时钟同步准确率</w:t>
            </w:r>
          </w:p>
        </w:tc>
        <w:tc>
          <w:tcPr>
            <w:tcW w:w="528"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100%</w:t>
            </w:r>
          </w:p>
        </w:tc>
        <w:tc>
          <w:tcPr>
            <w:tcW w:w="1262"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时钟同步正确数/镜头总数×100%</w:t>
            </w:r>
          </w:p>
        </w:tc>
        <w:tc>
          <w:tcPr>
            <w:tcW w:w="960"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自建监控镜头</w:t>
            </w:r>
          </w:p>
        </w:tc>
      </w:tr>
      <w:tr>
        <w:tblPrEx>
          <w:tblCellMar>
            <w:top w:w="0" w:type="dxa"/>
            <w:left w:w="108" w:type="dxa"/>
            <w:bottom w:w="0" w:type="dxa"/>
            <w:right w:w="108" w:type="dxa"/>
          </w:tblCellMar>
        </w:tblPrEx>
        <w:trPr>
          <w:trHeight w:val="454" w:hRule="atLeast"/>
        </w:trPr>
        <w:tc>
          <w:tcPr>
            <w:tcW w:w="525" w:type="pct"/>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9</w:t>
            </w:r>
          </w:p>
        </w:tc>
        <w:tc>
          <w:tcPr>
            <w:tcW w:w="616"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hint="eastAsia" w:cs="宋体"/>
                <w:color w:val="auto"/>
                <w:sz w:val="21"/>
                <w:szCs w:val="21"/>
              </w:rPr>
            </w:pPr>
          </w:p>
        </w:tc>
        <w:tc>
          <w:tcPr>
            <w:tcW w:w="110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定期运维完成率</w:t>
            </w:r>
          </w:p>
        </w:tc>
        <w:tc>
          <w:tcPr>
            <w:tcW w:w="528"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≥99.5%</w:t>
            </w:r>
          </w:p>
        </w:tc>
        <w:tc>
          <w:tcPr>
            <w:tcW w:w="1262"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自建监控镜头定期运维有效数/自建监控镜头总数×100%</w:t>
            </w:r>
          </w:p>
        </w:tc>
        <w:tc>
          <w:tcPr>
            <w:tcW w:w="960"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　</w:t>
            </w:r>
          </w:p>
        </w:tc>
      </w:tr>
      <w:tr>
        <w:tblPrEx>
          <w:tblCellMar>
            <w:top w:w="0" w:type="dxa"/>
            <w:left w:w="108" w:type="dxa"/>
            <w:bottom w:w="0" w:type="dxa"/>
            <w:right w:w="108" w:type="dxa"/>
          </w:tblCellMar>
        </w:tblPrEx>
        <w:trPr>
          <w:trHeight w:val="454" w:hRule="atLeast"/>
        </w:trPr>
        <w:tc>
          <w:tcPr>
            <w:tcW w:w="525" w:type="pct"/>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rPr>
              <w:t>1</w:t>
            </w:r>
            <w:r>
              <w:rPr>
                <w:rFonts w:hint="eastAsia" w:cs="宋体"/>
                <w:color w:val="auto"/>
                <w:sz w:val="21"/>
                <w:szCs w:val="21"/>
                <w:lang w:val="en-US" w:eastAsia="zh-CN"/>
              </w:rPr>
              <w:t>0</w:t>
            </w:r>
          </w:p>
        </w:tc>
        <w:tc>
          <w:tcPr>
            <w:tcW w:w="616"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hint="eastAsia" w:cs="宋体"/>
                <w:color w:val="auto"/>
                <w:sz w:val="21"/>
                <w:szCs w:val="21"/>
              </w:rPr>
            </w:pPr>
          </w:p>
        </w:tc>
        <w:tc>
          <w:tcPr>
            <w:tcW w:w="110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录像完整率</w:t>
            </w:r>
          </w:p>
        </w:tc>
        <w:tc>
          <w:tcPr>
            <w:tcW w:w="528"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100%</w:t>
            </w:r>
          </w:p>
        </w:tc>
        <w:tc>
          <w:tcPr>
            <w:tcW w:w="1262"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∑实际录像存储时间/录像应存储时间×100%</w:t>
            </w:r>
          </w:p>
        </w:tc>
        <w:tc>
          <w:tcPr>
            <w:tcW w:w="960"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自建监控镜头</w:t>
            </w:r>
          </w:p>
        </w:tc>
      </w:tr>
      <w:tr>
        <w:tblPrEx>
          <w:tblCellMar>
            <w:top w:w="0" w:type="dxa"/>
            <w:left w:w="108" w:type="dxa"/>
            <w:bottom w:w="0" w:type="dxa"/>
            <w:right w:w="108" w:type="dxa"/>
          </w:tblCellMar>
        </w:tblPrEx>
        <w:trPr>
          <w:trHeight w:val="454" w:hRule="atLeast"/>
        </w:trPr>
        <w:tc>
          <w:tcPr>
            <w:tcW w:w="525" w:type="pct"/>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rPr>
              <w:t>1</w:t>
            </w:r>
            <w:r>
              <w:rPr>
                <w:rFonts w:hint="eastAsia" w:cs="宋体"/>
                <w:color w:val="auto"/>
                <w:sz w:val="21"/>
                <w:szCs w:val="21"/>
                <w:lang w:val="en-US" w:eastAsia="zh-CN"/>
              </w:rPr>
              <w:t>1</w:t>
            </w:r>
          </w:p>
        </w:tc>
        <w:tc>
          <w:tcPr>
            <w:tcW w:w="616"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hint="eastAsia" w:cs="宋体"/>
                <w:color w:val="auto"/>
                <w:sz w:val="21"/>
                <w:szCs w:val="21"/>
              </w:rPr>
            </w:pPr>
          </w:p>
        </w:tc>
        <w:tc>
          <w:tcPr>
            <w:tcW w:w="110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合格视频监控在线率</w:t>
            </w:r>
          </w:p>
        </w:tc>
        <w:tc>
          <w:tcPr>
            <w:tcW w:w="528"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p>
        </w:tc>
        <w:tc>
          <w:tcPr>
            <w:tcW w:w="1262"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 xml:space="preserve">合格视频监控在线数÷视频监控镜头总数×分值权重 </w:t>
            </w:r>
          </w:p>
        </w:tc>
        <w:tc>
          <w:tcPr>
            <w:tcW w:w="960"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eastAsia" w:cs="宋体"/>
                <w:color w:val="auto"/>
                <w:sz w:val="21"/>
                <w:szCs w:val="21"/>
              </w:rPr>
            </w:pPr>
            <w:r>
              <w:rPr>
                <w:rFonts w:hint="eastAsia" w:cs="宋体"/>
                <w:color w:val="auto"/>
                <w:sz w:val="21"/>
                <w:szCs w:val="21"/>
              </w:rPr>
              <w:t>视频监控镜头分自建和整合两类结合上图量分别计算在线率</w:t>
            </w:r>
          </w:p>
        </w:tc>
      </w:tr>
    </w:tbl>
    <w:p>
      <w:pPr>
        <w:pStyle w:val="27"/>
        <w:widowControl/>
        <w:spacing w:before="166" w:after="166"/>
        <w:rPr>
          <w:color w:val="auto"/>
        </w:rPr>
      </w:pPr>
    </w:p>
    <w:bookmarkEnd w:id="305"/>
    <w:bookmarkEnd w:id="306"/>
    <w:bookmarkEnd w:id="307"/>
    <w:bookmarkEnd w:id="322"/>
    <w:bookmarkEnd w:id="323"/>
    <w:p>
      <w:pPr>
        <w:pStyle w:val="5"/>
        <w:keepNext w:val="0"/>
        <w:rPr>
          <w:color w:val="auto"/>
        </w:rPr>
      </w:pPr>
      <w:bookmarkStart w:id="324" w:name="_Toc11918"/>
      <w:r>
        <w:rPr>
          <w:color w:val="auto"/>
        </w:rPr>
        <w:t>系统软硬件设备选型原则</w:t>
      </w:r>
      <w:bookmarkEnd w:id="270"/>
      <w:r>
        <w:rPr>
          <w:color w:val="auto"/>
        </w:rPr>
        <w:t>及详细配置清单</w:t>
      </w:r>
      <w:bookmarkEnd w:id="271"/>
      <w:bookmarkEnd w:id="324"/>
    </w:p>
    <w:p>
      <w:pPr>
        <w:pStyle w:val="6"/>
        <w:tabs>
          <w:tab w:val="left" w:pos="6720"/>
        </w:tabs>
        <w:spacing w:before="198" w:after="198"/>
      </w:pPr>
      <w:bookmarkStart w:id="325" w:name="_Toc24309"/>
      <w:bookmarkStart w:id="326" w:name="_Toc30086"/>
      <w:bookmarkStart w:id="327" w:name="_Toc1404295733"/>
      <w:bookmarkStart w:id="328" w:name="_Toc4520"/>
      <w:bookmarkStart w:id="329" w:name="_Toc24108"/>
      <w:r>
        <w:rPr>
          <w:rFonts w:hint="eastAsia"/>
        </w:rPr>
        <w:t>选型原则</w:t>
      </w:r>
      <w:bookmarkEnd w:id="325"/>
      <w:bookmarkEnd w:id="326"/>
      <w:bookmarkEnd w:id="327"/>
      <w:bookmarkEnd w:id="328"/>
      <w:bookmarkEnd w:id="329"/>
    </w:p>
    <w:p>
      <w:pPr>
        <w:ind w:firstLine="524"/>
      </w:pPr>
      <w:r>
        <w:rPr>
          <w:rFonts w:hint="eastAsia"/>
        </w:rPr>
        <w:t>（1）注重操作易用性</w:t>
      </w:r>
    </w:p>
    <w:p>
      <w:pPr>
        <w:ind w:firstLine="524"/>
      </w:pPr>
      <w:r>
        <w:rPr>
          <w:rFonts w:hint="eastAsia"/>
        </w:rPr>
        <w:t>操作方便，使用简便；快速故障定位与系统维护；开关机过程缩短，系统对异常掉电有保护。</w:t>
      </w:r>
    </w:p>
    <w:p>
      <w:pPr>
        <w:ind w:firstLine="524"/>
      </w:pPr>
      <w:r>
        <w:rPr>
          <w:rFonts w:hint="eastAsia"/>
        </w:rPr>
        <w:t>（2）经济实用原则</w:t>
      </w:r>
    </w:p>
    <w:p>
      <w:pPr>
        <w:ind w:firstLine="524"/>
      </w:pPr>
      <w:r>
        <w:rPr>
          <w:rFonts w:hint="eastAsia"/>
        </w:rPr>
        <w:t>以需求为基础，充分考虑发展的需要来确定系统规模。系统应突出实用，要让系统的投资与本项目的实际需求相符合。</w:t>
      </w:r>
    </w:p>
    <w:p>
      <w:pPr>
        <w:ind w:firstLine="524"/>
      </w:pPr>
      <w:r>
        <w:rPr>
          <w:rFonts w:hint="eastAsia"/>
        </w:rPr>
        <w:t>（3）贯彻“三化”设计</w:t>
      </w:r>
    </w:p>
    <w:p>
      <w:pPr>
        <w:ind w:firstLine="524"/>
      </w:pPr>
      <w:r>
        <w:rPr>
          <w:rFonts w:hint="eastAsia"/>
        </w:rPr>
        <w:t>贯彻通用化、系列化和模块化设计思想，尽可能采用通用的电路和模块，各模块间的电气接口方式采用统一标准，所有对外接口都采用标准接口。</w:t>
      </w:r>
    </w:p>
    <w:p>
      <w:pPr>
        <w:ind w:firstLine="524"/>
      </w:pPr>
      <w:r>
        <w:rPr>
          <w:rFonts w:hint="eastAsia"/>
        </w:rPr>
        <w:t>（4）突出实用性和成熟性</w:t>
      </w:r>
    </w:p>
    <w:p>
      <w:pPr>
        <w:ind w:firstLine="524"/>
      </w:pPr>
      <w:r>
        <w:rPr>
          <w:rFonts w:hint="eastAsia"/>
        </w:rPr>
        <w:t>设计力求从实用出发，优先选用国内主流产品和经过验证的成熟技术。</w:t>
      </w:r>
    </w:p>
    <w:p>
      <w:pPr>
        <w:ind w:firstLine="524"/>
      </w:pPr>
      <w:r>
        <w:rPr>
          <w:rFonts w:hint="eastAsia"/>
        </w:rPr>
        <w:t>（5）强化可靠性</w:t>
      </w:r>
    </w:p>
    <w:p>
      <w:pPr>
        <w:ind w:firstLine="524"/>
      </w:pPr>
      <w:r>
        <w:rPr>
          <w:rFonts w:hint="eastAsia"/>
        </w:rPr>
        <w:t>认真执行“产品质量第一”方针，加强质量管理；在设计上采用先进的计算机技术，提高设备的可靠性。</w:t>
      </w:r>
    </w:p>
    <w:p>
      <w:pPr>
        <w:ind w:firstLine="524"/>
      </w:pPr>
      <w:r>
        <w:rPr>
          <w:rFonts w:hint="eastAsia"/>
        </w:rPr>
        <w:t>（6）开放性</w:t>
      </w:r>
    </w:p>
    <w:p>
      <w:pPr>
        <w:ind w:firstLine="524"/>
      </w:pPr>
      <w:r>
        <w:rPr>
          <w:rFonts w:hint="eastAsia"/>
        </w:rPr>
        <w:t>系统要求开放性好、标准化程度高，系统建设应与现有系统平台兼容。</w:t>
      </w:r>
    </w:p>
    <w:p>
      <w:pPr>
        <w:pStyle w:val="6"/>
        <w:spacing w:before="198" w:after="198"/>
      </w:pPr>
      <w:bookmarkStart w:id="330" w:name="_Toc272828489"/>
      <w:bookmarkStart w:id="331" w:name="_Toc25429"/>
      <w:bookmarkStart w:id="332" w:name="_Toc30771"/>
      <w:bookmarkStart w:id="333" w:name="_Toc3162"/>
      <w:bookmarkStart w:id="334" w:name="_Toc4073"/>
      <w:r>
        <w:t>详细配置清单</w:t>
      </w:r>
      <w:bookmarkEnd w:id="330"/>
      <w:bookmarkEnd w:id="331"/>
      <w:bookmarkEnd w:id="332"/>
      <w:bookmarkEnd w:id="333"/>
      <w:bookmarkEnd w:id="334"/>
    </w:p>
    <w:p>
      <w:pPr>
        <w:pStyle w:val="43"/>
        <w:ind w:firstLine="524"/>
        <w:rPr>
          <w:bCs/>
          <w:color w:val="auto"/>
        </w:rPr>
      </w:pPr>
      <w:r>
        <w:rPr>
          <w:rFonts w:hint="eastAsia"/>
        </w:rPr>
        <w:t>本项目软硬件配置清单详见附表。</w:t>
      </w:r>
    </w:p>
    <w:p>
      <w:pPr>
        <w:pStyle w:val="4"/>
        <w:spacing w:before="156" w:after="156"/>
        <w:rPr>
          <w:rFonts w:hint="default"/>
          <w:color w:val="auto"/>
          <w:lang w:val="en-GB"/>
        </w:rPr>
      </w:pPr>
      <w:bookmarkStart w:id="335" w:name="_Toc11317"/>
      <w:bookmarkStart w:id="336" w:name="_Toc3248"/>
      <w:bookmarkStart w:id="337" w:name="_Toc12735"/>
      <w:r>
        <w:rPr>
          <w:color w:val="auto"/>
          <w:lang w:val="en-GB"/>
        </w:rPr>
        <w:t>初步设计概算</w:t>
      </w:r>
      <w:bookmarkEnd w:id="335"/>
    </w:p>
    <w:p>
      <w:pPr>
        <w:pStyle w:val="5"/>
        <w:rPr>
          <w:rFonts w:hint="default"/>
          <w:color w:val="auto"/>
          <w:lang w:val="en-GB"/>
        </w:rPr>
      </w:pPr>
      <w:bookmarkStart w:id="338" w:name="_Toc454"/>
      <w:bookmarkStart w:id="339" w:name="_Toc11946"/>
      <w:r>
        <w:rPr>
          <w:color w:val="auto"/>
        </w:rPr>
        <w:t>取费</w:t>
      </w:r>
      <w:r>
        <w:rPr>
          <w:color w:val="auto"/>
          <w:lang w:val="en-GB"/>
        </w:rPr>
        <w:t>说明</w:t>
      </w:r>
      <w:bookmarkEnd w:id="338"/>
      <w:bookmarkEnd w:id="339"/>
    </w:p>
    <w:p>
      <w:pPr>
        <w:bidi w:val="0"/>
        <w:rPr>
          <w:rFonts w:hint="eastAsia"/>
          <w:lang w:eastAsia="zh-CN"/>
        </w:rPr>
      </w:pPr>
      <w:r>
        <w:rPr>
          <w:rFonts w:hint="eastAsia"/>
          <w:lang w:eastAsia="zh-CN"/>
        </w:rPr>
        <w:t>（1）工程费</w:t>
      </w:r>
    </w:p>
    <w:p>
      <w:pPr>
        <w:bidi w:val="0"/>
        <w:rPr>
          <w:rFonts w:hint="eastAsia"/>
          <w:lang w:eastAsia="zh-CN"/>
        </w:rPr>
      </w:pPr>
      <w:r>
        <w:rPr>
          <w:rFonts w:hint="eastAsia"/>
          <w:lang w:eastAsia="zh-CN"/>
        </w:rPr>
        <w:t>工程费包含本项目所需的软件投资（包括</w:t>
      </w:r>
      <w:r>
        <w:rPr>
          <w:rFonts w:hint="eastAsia"/>
          <w:lang w:val="en-US" w:eastAsia="zh-CN"/>
        </w:rPr>
        <w:t>定制化开发</w:t>
      </w:r>
      <w:r>
        <w:rPr>
          <w:rFonts w:hint="eastAsia"/>
          <w:lang w:eastAsia="zh-CN"/>
        </w:rPr>
        <w:t>软件、第三方软件等）、硬件投资（包括主机和存储设备、网络设备、安全设备、终端设备等）、系统集成费等。其中：</w:t>
      </w:r>
    </w:p>
    <w:p>
      <w:pPr>
        <w:bidi w:val="0"/>
        <w:rPr>
          <w:rFonts w:hint="eastAsia"/>
          <w:lang w:eastAsia="zh-CN"/>
        </w:rPr>
      </w:pPr>
      <w:r>
        <w:rPr>
          <w:rFonts w:hint="eastAsia"/>
          <w:lang w:eastAsia="zh-CN"/>
        </w:rPr>
        <w:t>1）应用定制化软件投资概算方法为：</w:t>
      </w:r>
    </w:p>
    <w:p>
      <w:pPr>
        <w:bidi w:val="0"/>
        <w:rPr>
          <w:rFonts w:hint="eastAsia"/>
          <w:lang w:eastAsia="zh-CN"/>
        </w:rPr>
      </w:pPr>
      <w:r>
        <w:rPr>
          <w:rFonts w:hint="eastAsia"/>
          <w:lang w:eastAsia="zh-CN"/>
        </w:rPr>
        <w:t>根据软件开发的工作量，结合本地的软件开发人工成本进行测算，并参考类似项目进行优化调整。</w:t>
      </w:r>
    </w:p>
    <w:p>
      <w:pPr>
        <w:bidi w:val="0"/>
        <w:rPr>
          <w:rFonts w:hint="eastAsia"/>
          <w:lang w:eastAsia="zh-CN"/>
        </w:rPr>
      </w:pPr>
      <w:r>
        <w:rPr>
          <w:rFonts w:hint="eastAsia"/>
          <w:lang w:eastAsia="zh-CN"/>
        </w:rPr>
        <w:t>按软件的功能、性能、容量，根据类似项目经验，并</w:t>
      </w:r>
      <w:r>
        <w:rPr>
          <w:rFonts w:hint="eastAsia"/>
          <w:lang w:val="en-US" w:eastAsia="zh-CN"/>
        </w:rPr>
        <w:t>按照</w:t>
      </w:r>
      <w:r>
        <w:rPr>
          <w:rFonts w:hint="eastAsia"/>
          <w:lang w:eastAsia="zh-CN"/>
        </w:rPr>
        <w:t>重庆市首席信息官(CIO)协会</w:t>
      </w:r>
      <w:r>
        <w:rPr>
          <w:rFonts w:hint="eastAsia"/>
          <w:lang w:val="en-US" w:eastAsia="zh-CN"/>
        </w:rPr>
        <w:t>发布的</w:t>
      </w:r>
      <w:r>
        <w:rPr>
          <w:rFonts w:hint="eastAsia"/>
          <w:lang w:eastAsia="zh-CN"/>
        </w:rPr>
        <w:t>《</w:t>
      </w:r>
      <w:r>
        <w:rPr>
          <w:rFonts w:hint="eastAsia"/>
          <w:lang w:val="en-US" w:eastAsia="zh-CN"/>
        </w:rPr>
        <w:t>政务信息化项目造价规范</w:t>
      </w:r>
      <w:r>
        <w:rPr>
          <w:rFonts w:hint="eastAsia"/>
          <w:lang w:eastAsia="zh-CN"/>
        </w:rPr>
        <w:t>》（</w:t>
      </w:r>
      <w:r>
        <w:rPr>
          <w:rFonts w:hint="eastAsia"/>
          <w:lang w:val="en-US" w:eastAsia="zh-CN"/>
        </w:rPr>
        <w:t>T/CQCIO002-2021</w:t>
      </w:r>
      <w:r>
        <w:rPr>
          <w:rFonts w:hint="eastAsia"/>
          <w:lang w:eastAsia="zh-CN"/>
        </w:rPr>
        <w:t>），</w:t>
      </w:r>
      <w:r>
        <w:rPr>
          <w:rFonts w:hint="eastAsia"/>
          <w:lang w:val="en-US" w:eastAsia="zh-CN"/>
        </w:rPr>
        <w:t>采用功能法进行测算</w:t>
      </w:r>
      <w:r>
        <w:rPr>
          <w:rFonts w:hint="eastAsia"/>
          <w:lang w:eastAsia="zh-CN"/>
        </w:rPr>
        <w:t>。</w:t>
      </w:r>
    </w:p>
    <w:p>
      <w:pPr>
        <w:bidi w:val="0"/>
        <w:rPr>
          <w:rFonts w:hint="eastAsia"/>
          <w:lang w:eastAsia="zh-CN"/>
        </w:rPr>
      </w:pPr>
      <w:r>
        <w:rPr>
          <w:rFonts w:hint="eastAsia"/>
          <w:lang w:eastAsia="zh-CN"/>
        </w:rPr>
        <w:t>2）硬件及系统软件、第三方软件的投资概算方法：</w:t>
      </w:r>
    </w:p>
    <w:p>
      <w:pPr>
        <w:bidi w:val="0"/>
        <w:rPr>
          <w:rFonts w:hint="eastAsia"/>
          <w:lang w:eastAsia="zh-CN"/>
        </w:rPr>
      </w:pPr>
      <w:r>
        <w:rPr>
          <w:rFonts w:hint="eastAsia"/>
          <w:lang w:eastAsia="zh-CN"/>
        </w:rPr>
        <w:t>需要直接采购的硬件和第三方软件价格采取向三家业内主流厂商询价结果，综合后进行概算。</w:t>
      </w:r>
    </w:p>
    <w:p>
      <w:pPr>
        <w:bidi w:val="0"/>
        <w:rPr>
          <w:rFonts w:hint="eastAsia"/>
          <w:lang w:eastAsia="zh-CN"/>
        </w:rPr>
      </w:pPr>
      <w:r>
        <w:rPr>
          <w:rFonts w:hint="eastAsia"/>
          <w:lang w:eastAsia="zh-CN"/>
        </w:rPr>
        <w:t>3）系统总集成费概算依据：</w:t>
      </w:r>
    </w:p>
    <w:p>
      <w:pPr>
        <w:bidi w:val="0"/>
        <w:rPr>
          <w:rFonts w:hint="eastAsia"/>
          <w:lang w:eastAsia="zh-CN"/>
        </w:rPr>
      </w:pPr>
      <w:r>
        <w:rPr>
          <w:rFonts w:hint="eastAsia"/>
          <w:lang w:eastAsia="zh-CN"/>
        </w:rPr>
        <w:t>本次工程的系统总集成内容包括：服务器及存储设备集成、网络集成、应用软件集成等。依据行业信息化项目建设经验，集成费一般占投资的5%～8%，考虑到本次工程的</w:t>
      </w:r>
      <w:r>
        <w:rPr>
          <w:rFonts w:hint="eastAsia"/>
          <w:lang w:val="en-US" w:eastAsia="zh-CN"/>
        </w:rPr>
        <w:t>属于升级改造项目，并且施工地点为城市社区，施工难度较大</w:t>
      </w:r>
      <w:r>
        <w:rPr>
          <w:rFonts w:hint="eastAsia"/>
          <w:lang w:eastAsia="zh-CN"/>
        </w:rPr>
        <w:t>，</w:t>
      </w:r>
      <w:r>
        <w:rPr>
          <w:rFonts w:hint="eastAsia"/>
          <w:lang w:val="en-US" w:eastAsia="zh-CN"/>
        </w:rPr>
        <w:t>故</w:t>
      </w:r>
      <w:r>
        <w:rPr>
          <w:rFonts w:hint="eastAsia"/>
          <w:lang w:eastAsia="zh-CN"/>
        </w:rPr>
        <w:t>本投资概算中综合集成费暂按集成内容总投资的</w:t>
      </w:r>
      <w:r>
        <w:rPr>
          <w:rFonts w:hint="eastAsia"/>
          <w:lang w:val="en-US" w:eastAsia="zh-CN"/>
        </w:rPr>
        <w:t>8</w:t>
      </w:r>
      <w:r>
        <w:rPr>
          <w:rFonts w:hint="eastAsia"/>
          <w:lang w:eastAsia="zh-CN"/>
        </w:rPr>
        <w:t>%概算。</w:t>
      </w:r>
    </w:p>
    <w:p>
      <w:pPr>
        <w:bidi w:val="0"/>
        <w:rPr>
          <w:rFonts w:hint="eastAsia"/>
          <w:lang w:eastAsia="zh-CN"/>
        </w:rPr>
      </w:pPr>
      <w:r>
        <w:rPr>
          <w:rFonts w:hint="eastAsia"/>
          <w:lang w:eastAsia="zh-CN"/>
        </w:rPr>
        <w:t>（2）工程建设其他费</w:t>
      </w:r>
    </w:p>
    <w:p>
      <w:pPr>
        <w:bidi w:val="0"/>
        <w:rPr>
          <w:rFonts w:hint="eastAsia"/>
          <w:lang w:eastAsia="zh-CN"/>
        </w:rPr>
      </w:pPr>
      <w:r>
        <w:rPr>
          <w:rFonts w:hint="eastAsia"/>
          <w:lang w:eastAsia="zh-CN"/>
        </w:rPr>
        <w:t>1）建设管理费</w:t>
      </w:r>
    </w:p>
    <w:p>
      <w:pPr>
        <w:bidi w:val="0"/>
        <w:rPr>
          <w:rFonts w:hint="eastAsia"/>
          <w:lang w:eastAsia="zh-CN"/>
        </w:rPr>
      </w:pPr>
      <w:r>
        <w:rPr>
          <w:rFonts w:hint="eastAsia"/>
          <w:lang w:eastAsia="zh-CN"/>
        </w:rPr>
        <w:t>本项目建设管理费根据《基本建设项目建设成本管理规定》（财建[2016]504号）取费。</w:t>
      </w:r>
    </w:p>
    <w:p>
      <w:pPr>
        <w:bidi w:val="0"/>
        <w:rPr>
          <w:rFonts w:hint="eastAsia"/>
          <w:lang w:eastAsia="zh-CN"/>
        </w:rPr>
      </w:pPr>
      <w:r>
        <w:rPr>
          <w:rFonts w:hint="eastAsia"/>
          <w:lang w:eastAsia="zh-CN"/>
        </w:rPr>
        <w:t>本项目中业主需发生管理费用的管理工作包括：准备期立项组织、资金申请，项目论证、专家评估、本项目律师费等费用。</w:t>
      </w:r>
    </w:p>
    <w:p>
      <w:pPr>
        <w:bidi w:val="0"/>
        <w:rPr>
          <w:rFonts w:hint="eastAsia"/>
          <w:lang w:eastAsia="zh-CN"/>
        </w:rPr>
      </w:pPr>
      <w:r>
        <w:rPr>
          <w:rFonts w:hint="eastAsia"/>
          <w:lang w:eastAsia="zh-CN"/>
        </w:rPr>
        <w:t>2）</w:t>
      </w:r>
      <w:r>
        <w:rPr>
          <w:rFonts w:hint="eastAsia"/>
          <w:lang w:val="en-US" w:eastAsia="zh-CN"/>
        </w:rPr>
        <w:t>工程设计</w:t>
      </w:r>
      <w:r>
        <w:rPr>
          <w:rFonts w:hint="eastAsia"/>
          <w:lang w:eastAsia="zh-CN"/>
        </w:rPr>
        <w:t>费</w:t>
      </w:r>
    </w:p>
    <w:p>
      <w:pPr>
        <w:bidi w:val="0"/>
        <w:rPr>
          <w:rFonts w:hint="eastAsia"/>
          <w:lang w:eastAsia="zh-CN"/>
        </w:rPr>
      </w:pPr>
      <w:r>
        <w:rPr>
          <w:rFonts w:hint="eastAsia"/>
          <w:lang w:eastAsia="zh-CN"/>
        </w:rPr>
        <w:t>参照《国家计委、建设部关于发布《工程勘察设计收费管理规定》的通知》（计价格[2002]10号），按照合同价取费。</w:t>
      </w:r>
    </w:p>
    <w:p>
      <w:pPr>
        <w:bidi w:val="0"/>
        <w:rPr>
          <w:rFonts w:hint="eastAsia"/>
          <w:lang w:eastAsia="zh-CN"/>
        </w:rPr>
      </w:pPr>
      <w:r>
        <w:rPr>
          <w:rFonts w:hint="eastAsia"/>
          <w:lang w:eastAsia="zh-CN"/>
        </w:rPr>
        <w:t>3）工程监理费</w:t>
      </w:r>
    </w:p>
    <w:p>
      <w:pPr>
        <w:bidi w:val="0"/>
        <w:rPr>
          <w:rFonts w:hint="eastAsia"/>
          <w:lang w:eastAsia="zh-CN"/>
        </w:rPr>
      </w:pPr>
      <w:r>
        <w:rPr>
          <w:rFonts w:hint="eastAsia"/>
          <w:lang w:eastAsia="zh-CN"/>
        </w:rPr>
        <w:t>参照国家发展改革委、建设部关于印发《建设工程监理与相关服务收费管理规定》的通知（发改价格〔2007〕670号）计算。</w:t>
      </w:r>
    </w:p>
    <w:p>
      <w:pPr>
        <w:bidi w:val="0"/>
        <w:rPr>
          <w:rFonts w:hint="eastAsia"/>
          <w:lang w:eastAsia="zh-CN"/>
        </w:rPr>
      </w:pPr>
      <w:r>
        <w:rPr>
          <w:rFonts w:hint="eastAsia"/>
          <w:lang w:eastAsia="zh-CN"/>
        </w:rPr>
        <w:t>4）工程招标代理费</w:t>
      </w:r>
    </w:p>
    <w:p>
      <w:pPr>
        <w:bidi w:val="0"/>
        <w:rPr>
          <w:rFonts w:hint="eastAsia"/>
          <w:lang w:eastAsia="zh-CN"/>
        </w:rPr>
      </w:pPr>
      <w:r>
        <w:rPr>
          <w:rFonts w:hint="eastAsia"/>
          <w:lang w:eastAsia="zh-CN"/>
        </w:rPr>
        <w:t>含服务招标和工程招标两部分，参照发改办价格[2017] 7号计算。</w:t>
      </w:r>
    </w:p>
    <w:p>
      <w:pPr>
        <w:bidi w:val="0"/>
        <w:rPr>
          <w:rFonts w:hint="eastAsia"/>
          <w:lang w:eastAsia="zh-CN"/>
        </w:rPr>
      </w:pPr>
      <w:r>
        <w:rPr>
          <w:rFonts w:hint="eastAsia"/>
          <w:lang w:eastAsia="zh-CN"/>
        </w:rPr>
        <w:t>5）安全生产费</w:t>
      </w:r>
    </w:p>
    <w:p>
      <w:pPr>
        <w:bidi w:val="0"/>
        <w:rPr>
          <w:rFonts w:hint="eastAsia"/>
          <w:lang w:eastAsia="zh-CN"/>
        </w:rPr>
      </w:pPr>
      <w:r>
        <w:rPr>
          <w:rFonts w:hint="eastAsia"/>
          <w:lang w:val="en-US" w:eastAsia="zh-CN"/>
        </w:rPr>
        <w:t>参照（财资〔2022〕136 号）</w:t>
      </w:r>
      <w:r>
        <w:rPr>
          <w:rFonts w:hint="eastAsia"/>
          <w:lang w:eastAsia="zh-CN"/>
        </w:rPr>
        <w:t>计算，取集成费的</w:t>
      </w:r>
      <w:r>
        <w:rPr>
          <w:rFonts w:hint="eastAsia"/>
          <w:lang w:val="en-US" w:eastAsia="zh-CN"/>
        </w:rPr>
        <w:t>2</w:t>
      </w:r>
      <w:r>
        <w:rPr>
          <w:rFonts w:hint="eastAsia"/>
          <w:lang w:eastAsia="zh-CN"/>
        </w:rPr>
        <w:t>%。</w:t>
      </w:r>
    </w:p>
    <w:p>
      <w:pPr>
        <w:bidi w:val="0"/>
        <w:rPr>
          <w:rFonts w:hint="eastAsia"/>
          <w:lang w:eastAsia="zh-CN"/>
        </w:rPr>
      </w:pPr>
      <w:r>
        <w:rPr>
          <w:rFonts w:hint="eastAsia"/>
          <w:lang w:eastAsia="zh-CN"/>
        </w:rPr>
        <w:t>（3）预备费</w:t>
      </w:r>
    </w:p>
    <w:p>
      <w:pPr>
        <w:bidi w:val="0"/>
        <w:rPr>
          <w:rFonts w:hint="eastAsia"/>
          <w:lang w:eastAsia="zh-CN"/>
        </w:rPr>
      </w:pPr>
      <w:r>
        <w:rPr>
          <w:rFonts w:hint="eastAsia"/>
          <w:lang w:eastAsia="zh-CN"/>
        </w:rPr>
        <w:t>暂不</w:t>
      </w:r>
      <w:r>
        <w:rPr>
          <w:rFonts w:hint="eastAsia"/>
          <w:lang w:val="en-US" w:eastAsia="zh-CN"/>
        </w:rPr>
        <w:t>计列</w:t>
      </w:r>
      <w:r>
        <w:rPr>
          <w:rFonts w:hint="eastAsia"/>
          <w:lang w:eastAsia="zh-CN"/>
        </w:rPr>
        <w:t>预备费。</w:t>
      </w:r>
    </w:p>
    <w:p>
      <w:pPr>
        <w:pStyle w:val="5"/>
        <w:rPr>
          <w:rFonts w:hint="default"/>
          <w:color w:val="auto"/>
          <w:lang w:val="en-GB"/>
        </w:rPr>
      </w:pPr>
      <w:bookmarkStart w:id="340" w:name="_Toc29642"/>
      <w:bookmarkStart w:id="341" w:name="_Toc14518"/>
      <w:bookmarkStart w:id="342" w:name="_Toc11054"/>
      <w:r>
        <w:rPr>
          <w:color w:val="auto"/>
          <w:lang w:val="en-GB"/>
        </w:rPr>
        <w:t>初步设计概算</w:t>
      </w:r>
      <w:bookmarkEnd w:id="340"/>
      <w:bookmarkEnd w:id="341"/>
      <w:bookmarkEnd w:id="342"/>
    </w:p>
    <w:p>
      <w:pPr>
        <w:bidi w:val="0"/>
      </w:pPr>
      <w:r>
        <w:rPr>
          <w:rFonts w:hint="eastAsia"/>
        </w:rPr>
        <w:t>本项目投资</w:t>
      </w:r>
      <w:r>
        <w:rPr>
          <w:rFonts w:hint="eastAsia"/>
          <w:lang w:val="en-US" w:eastAsia="zh-CN"/>
        </w:rPr>
        <w:t>概算</w:t>
      </w:r>
      <w:r>
        <w:rPr>
          <w:rFonts w:hint="eastAsia"/>
        </w:rPr>
        <w:t>总额为</w:t>
      </w:r>
      <w:r>
        <w:rPr>
          <w:rFonts w:hint="eastAsia"/>
          <w:lang w:val="en-US" w:eastAsia="zh-CN"/>
        </w:rPr>
        <w:t>642.64</w:t>
      </w:r>
      <w:r>
        <w:rPr>
          <w:rFonts w:hint="eastAsia"/>
        </w:rPr>
        <w:t>万元，其中</w:t>
      </w:r>
      <w:r>
        <w:rPr>
          <w:rFonts w:hint="eastAsia"/>
          <w:lang w:val="en-US" w:eastAsia="zh-CN"/>
        </w:rPr>
        <w:t>运维升级建设费</w:t>
      </w:r>
      <w:r>
        <w:rPr>
          <w:rFonts w:hint="eastAsia"/>
        </w:rPr>
        <w:t>为</w:t>
      </w:r>
      <w:r>
        <w:rPr>
          <w:rFonts w:hint="eastAsia"/>
          <w:lang w:val="en-US" w:eastAsia="zh-CN"/>
        </w:rPr>
        <w:t>376.05</w:t>
      </w:r>
      <w:r>
        <w:rPr>
          <w:rFonts w:hint="eastAsia"/>
        </w:rPr>
        <w:t>万元，</w:t>
      </w:r>
      <w:r>
        <w:rPr>
          <w:rFonts w:hint="eastAsia"/>
          <w:lang w:val="en-US" w:eastAsia="zh-CN"/>
        </w:rPr>
        <w:t>运维升级建设</w:t>
      </w:r>
      <w:r>
        <w:rPr>
          <w:rFonts w:hint="eastAsia"/>
        </w:rPr>
        <w:t>其他费为</w:t>
      </w:r>
      <w:r>
        <w:rPr>
          <w:rFonts w:hint="eastAsia"/>
          <w:lang w:val="en-US" w:eastAsia="zh-CN"/>
        </w:rPr>
        <w:t>43.61</w:t>
      </w:r>
      <w:r>
        <w:rPr>
          <w:rFonts w:hint="eastAsia"/>
        </w:rPr>
        <w:t>万元</w:t>
      </w:r>
      <w:r>
        <w:rPr>
          <w:rFonts w:hint="eastAsia"/>
          <w:lang w:eastAsia="zh-CN"/>
        </w:rPr>
        <w:t>，</w:t>
      </w:r>
      <w:r>
        <w:rPr>
          <w:rFonts w:hint="eastAsia"/>
          <w:lang w:val="en-US" w:eastAsia="zh-CN"/>
        </w:rPr>
        <w:t>运维费222.99万元</w:t>
      </w:r>
      <w:r>
        <w:rPr>
          <w:rFonts w:hint="eastAsia"/>
        </w:rPr>
        <w:t>。</w:t>
      </w:r>
    </w:p>
    <w:p>
      <w:pPr>
        <w:bidi w:val="0"/>
        <w:rPr>
          <w:rFonts w:hint="eastAsia"/>
        </w:rPr>
      </w:pPr>
      <w:r>
        <w:rPr>
          <w:rFonts w:hint="eastAsia"/>
        </w:rPr>
        <w:t>具体投资</w:t>
      </w:r>
      <w:r>
        <w:rPr>
          <w:rFonts w:hint="eastAsia"/>
          <w:lang w:val="en-US" w:eastAsia="zh-CN"/>
        </w:rPr>
        <w:t>概算</w:t>
      </w:r>
      <w:r>
        <w:rPr>
          <w:rFonts w:hint="eastAsia"/>
        </w:rPr>
        <w:t>见下表：</w:t>
      </w:r>
    </w:p>
    <w:p>
      <w:pPr>
        <w:rPr>
          <w:rFonts w:hint="eastAsia"/>
        </w:rPr>
      </w:pPr>
      <w:r>
        <w:rPr>
          <w:rFonts w:hint="eastAsia" w:asciiTheme="minorEastAsia" w:hAnsiTheme="minorEastAsia" w:eastAsiaTheme="minorEastAsia" w:cstheme="minorEastAsia"/>
          <w:spacing w:val="12"/>
          <w:szCs w:val="24"/>
        </w:rPr>
        <w:br w:type="page"/>
      </w:r>
    </w:p>
    <w:p>
      <w:pPr>
        <w:pStyle w:val="45"/>
        <w:bidi w:val="0"/>
        <w:rPr>
          <w:rFonts w:hint="default"/>
          <w:lang w:val="en-US"/>
        </w:rPr>
      </w:pPr>
      <w:r>
        <w:rPr>
          <w:rFonts w:hint="eastAsia"/>
        </w:rPr>
        <w:t>投资</w:t>
      </w:r>
      <w:r>
        <w:rPr>
          <w:rFonts w:hint="eastAsia"/>
          <w:lang w:val="en-US" w:eastAsia="zh-CN"/>
        </w:rPr>
        <w:t>概算表</w:t>
      </w:r>
    </w:p>
    <w:tbl>
      <w:tblP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679"/>
        <w:gridCol w:w="1995"/>
        <w:gridCol w:w="2285"/>
        <w:gridCol w:w="3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blHeader/>
        </w:trPr>
        <w:tc>
          <w:tcPr>
            <w:tcW w:w="400"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序号</w:t>
            </w:r>
          </w:p>
        </w:tc>
        <w:tc>
          <w:tcPr>
            <w:tcW w:w="117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 xml:space="preserve"> 建设内容 </w:t>
            </w:r>
          </w:p>
        </w:tc>
        <w:tc>
          <w:tcPr>
            <w:tcW w:w="134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费用估算（万元）</w:t>
            </w:r>
          </w:p>
        </w:tc>
        <w:tc>
          <w:tcPr>
            <w:tcW w:w="207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 xml:space="preserve"> 说明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454" w:hRule="atLeast"/>
        </w:trPr>
        <w:tc>
          <w:tcPr>
            <w:tcW w:w="400"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bdr w:val="none" w:color="auto" w:sz="0" w:space="0"/>
                <w:lang w:val="en-US" w:eastAsia="zh-CN" w:bidi="ar"/>
              </w:rPr>
              <w:t>一</w:t>
            </w:r>
          </w:p>
        </w:tc>
        <w:tc>
          <w:tcPr>
            <w:tcW w:w="117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bdr w:val="none" w:color="auto" w:sz="0" w:space="0"/>
                <w:lang w:val="en-US" w:eastAsia="zh-CN" w:bidi="ar"/>
              </w:rPr>
              <w:t xml:space="preserve"> 运维升级建设费 </w:t>
            </w:r>
          </w:p>
        </w:tc>
        <w:tc>
          <w:tcPr>
            <w:tcW w:w="134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bdr w:val="none" w:color="auto" w:sz="0" w:space="0"/>
                <w:lang w:val="en-US" w:eastAsia="zh-CN" w:bidi="ar"/>
              </w:rPr>
              <w:t xml:space="preserve">348.19 </w:t>
            </w:r>
          </w:p>
        </w:tc>
        <w:tc>
          <w:tcPr>
            <w:tcW w:w="207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0"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1.1</w:t>
            </w:r>
          </w:p>
        </w:tc>
        <w:tc>
          <w:tcPr>
            <w:tcW w:w="117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前端感知设备</w:t>
            </w:r>
          </w:p>
        </w:tc>
        <w:tc>
          <w:tcPr>
            <w:tcW w:w="134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 xml:space="preserve">146.74 </w:t>
            </w:r>
          </w:p>
        </w:tc>
        <w:tc>
          <w:tcPr>
            <w:tcW w:w="207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400"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1.2</w:t>
            </w:r>
          </w:p>
        </w:tc>
        <w:tc>
          <w:tcPr>
            <w:tcW w:w="117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配套设施</w:t>
            </w:r>
          </w:p>
        </w:tc>
        <w:tc>
          <w:tcPr>
            <w:tcW w:w="134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 xml:space="preserve">88.95 </w:t>
            </w:r>
          </w:p>
        </w:tc>
        <w:tc>
          <w:tcPr>
            <w:tcW w:w="207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400"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1.3</w:t>
            </w:r>
          </w:p>
        </w:tc>
        <w:tc>
          <w:tcPr>
            <w:tcW w:w="117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存储设备</w:t>
            </w:r>
          </w:p>
        </w:tc>
        <w:tc>
          <w:tcPr>
            <w:tcW w:w="134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 xml:space="preserve">82.08 </w:t>
            </w:r>
          </w:p>
        </w:tc>
        <w:tc>
          <w:tcPr>
            <w:tcW w:w="207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0"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1.4</w:t>
            </w:r>
          </w:p>
        </w:tc>
        <w:tc>
          <w:tcPr>
            <w:tcW w:w="117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终端设备</w:t>
            </w:r>
          </w:p>
        </w:tc>
        <w:tc>
          <w:tcPr>
            <w:tcW w:w="134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 xml:space="preserve">16.21 </w:t>
            </w:r>
          </w:p>
        </w:tc>
        <w:tc>
          <w:tcPr>
            <w:tcW w:w="207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0"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w:t>
            </w:r>
          </w:p>
        </w:tc>
        <w:tc>
          <w:tcPr>
            <w:tcW w:w="117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水质检测配件</w:t>
            </w:r>
          </w:p>
        </w:tc>
        <w:tc>
          <w:tcPr>
            <w:tcW w:w="134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 xml:space="preserve">14.21 </w:t>
            </w:r>
          </w:p>
        </w:tc>
        <w:tc>
          <w:tcPr>
            <w:tcW w:w="207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0"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bdr w:val="none" w:color="auto" w:sz="0" w:space="0"/>
                <w:lang w:val="en-US" w:eastAsia="zh-CN" w:bidi="ar"/>
              </w:rPr>
              <w:t>二</w:t>
            </w:r>
          </w:p>
        </w:tc>
        <w:tc>
          <w:tcPr>
            <w:tcW w:w="117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bdr w:val="none" w:color="auto" w:sz="0" w:space="0"/>
                <w:lang w:val="en-US" w:eastAsia="zh-CN" w:bidi="ar"/>
              </w:rPr>
              <w:t xml:space="preserve"> 运维升级建设其他费 </w:t>
            </w:r>
          </w:p>
        </w:tc>
        <w:tc>
          <w:tcPr>
            <w:tcW w:w="134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bdr w:val="none" w:color="auto" w:sz="0" w:space="0"/>
                <w:lang w:val="en-US" w:eastAsia="zh-CN" w:bidi="ar"/>
              </w:rPr>
              <w:t xml:space="preserve">41.73 </w:t>
            </w:r>
          </w:p>
        </w:tc>
        <w:tc>
          <w:tcPr>
            <w:tcW w:w="207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0"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117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 xml:space="preserve"> 建设单位管理费 </w:t>
            </w:r>
          </w:p>
        </w:tc>
        <w:tc>
          <w:tcPr>
            <w:tcW w:w="134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 xml:space="preserve">6.96 </w:t>
            </w:r>
          </w:p>
        </w:tc>
        <w:tc>
          <w:tcPr>
            <w:tcW w:w="207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财建﹝2016﹞504号文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0"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w:t>
            </w:r>
          </w:p>
        </w:tc>
        <w:tc>
          <w:tcPr>
            <w:tcW w:w="1177"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 xml:space="preserve"> 设计费 </w:t>
            </w:r>
          </w:p>
        </w:tc>
        <w:tc>
          <w:tcPr>
            <w:tcW w:w="134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 xml:space="preserve">22.40 </w:t>
            </w:r>
          </w:p>
        </w:tc>
        <w:tc>
          <w:tcPr>
            <w:tcW w:w="207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按合同计列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400"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w:t>
            </w:r>
          </w:p>
        </w:tc>
        <w:tc>
          <w:tcPr>
            <w:tcW w:w="117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 xml:space="preserve"> 工程监理费 </w:t>
            </w:r>
          </w:p>
        </w:tc>
        <w:tc>
          <w:tcPr>
            <w:tcW w:w="134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 xml:space="preserve">12.37 </w:t>
            </w:r>
          </w:p>
        </w:tc>
        <w:tc>
          <w:tcPr>
            <w:tcW w:w="207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　发改价格[2007]670号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400"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spacing w:val="11"/>
                <w:kern w:val="0"/>
                <w:sz w:val="21"/>
                <w:szCs w:val="21"/>
                <w:u w:val="none"/>
                <w:bdr w:val="none" w:color="auto" w:sz="0" w:space="0"/>
                <w:lang w:val="en-US" w:eastAsia="zh-CN" w:bidi="ar"/>
              </w:rPr>
              <w:t>三</w:t>
            </w:r>
          </w:p>
        </w:tc>
        <w:tc>
          <w:tcPr>
            <w:tcW w:w="117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bdr w:val="none" w:color="auto" w:sz="0" w:space="0"/>
                <w:lang w:val="en-US" w:eastAsia="zh-CN" w:bidi="ar"/>
              </w:rPr>
              <w:t xml:space="preserve"> 运维费 </w:t>
            </w:r>
          </w:p>
        </w:tc>
        <w:tc>
          <w:tcPr>
            <w:tcW w:w="134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bdr w:val="none" w:color="auto" w:sz="0" w:space="0"/>
                <w:lang w:val="en-US" w:eastAsia="zh-CN" w:bidi="ar"/>
              </w:rPr>
              <w:t xml:space="preserve">222.99 </w:t>
            </w:r>
          </w:p>
        </w:tc>
        <w:tc>
          <w:tcPr>
            <w:tcW w:w="207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新建运维、链路费用、电费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400"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bdr w:val="none" w:color="auto" w:sz="0" w:space="0"/>
                <w:lang w:val="en-US" w:eastAsia="zh-CN" w:bidi="ar"/>
              </w:rPr>
              <w:t>四</w:t>
            </w:r>
          </w:p>
        </w:tc>
        <w:tc>
          <w:tcPr>
            <w:tcW w:w="117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bdr w:val="none" w:color="auto" w:sz="0" w:space="0"/>
                <w:lang w:val="en-US" w:eastAsia="zh-CN" w:bidi="ar"/>
              </w:rPr>
              <w:t xml:space="preserve"> 总投资 </w:t>
            </w:r>
          </w:p>
        </w:tc>
        <w:tc>
          <w:tcPr>
            <w:tcW w:w="134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bdr w:val="none" w:color="auto" w:sz="0" w:space="0"/>
                <w:lang w:val="en-US" w:eastAsia="zh-CN" w:bidi="ar"/>
              </w:rPr>
              <w:t xml:space="preserve">612.91 </w:t>
            </w:r>
          </w:p>
        </w:tc>
        <w:tc>
          <w:tcPr>
            <w:tcW w:w="207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一+二+三</w:t>
            </w:r>
          </w:p>
        </w:tc>
      </w:tr>
    </w:tbl>
    <w:p>
      <w:pPr>
        <w:pStyle w:val="5"/>
        <w:rPr>
          <w:rFonts w:hint="default" w:cs="Times New Roman"/>
          <w:color w:val="auto"/>
          <w:lang w:val="en-US" w:eastAsia="zh-CN"/>
        </w:rPr>
      </w:pPr>
      <w:bookmarkStart w:id="343" w:name="_Toc19499"/>
      <w:r>
        <w:rPr>
          <w:rFonts w:hint="eastAsia" w:cs="Times New Roman"/>
          <w:color w:val="auto"/>
          <w:lang w:val="en-US" w:eastAsia="zh-CN"/>
        </w:rPr>
        <w:t>项目运行维护费用</w:t>
      </w:r>
      <w:bookmarkEnd w:id="343"/>
    </w:p>
    <w:p>
      <w:pPr>
        <w:bidi w:val="0"/>
        <w:rPr>
          <w:rFonts w:hint="eastAsia" w:cs="Times New Roman"/>
          <w:b w:val="0"/>
          <w:bCs/>
          <w:color w:val="auto"/>
          <w:lang w:val="en-US" w:eastAsia="zh-CN"/>
        </w:rPr>
      </w:pPr>
      <w:r>
        <w:rPr>
          <w:rFonts w:hint="eastAsia"/>
        </w:rPr>
        <w:t>本项目投资</w:t>
      </w:r>
      <w:r>
        <w:rPr>
          <w:rFonts w:hint="eastAsia"/>
          <w:lang w:val="en-US" w:eastAsia="zh-CN"/>
        </w:rPr>
        <w:t>概算</w:t>
      </w:r>
      <w:r>
        <w:rPr>
          <w:rFonts w:hint="eastAsia"/>
        </w:rPr>
        <w:t>总额为</w:t>
      </w:r>
      <w:r>
        <w:rPr>
          <w:rFonts w:hint="eastAsia"/>
          <w:lang w:val="en-US" w:eastAsia="zh-CN"/>
        </w:rPr>
        <w:t>612.91</w:t>
      </w:r>
      <w:r>
        <w:rPr>
          <w:rFonts w:hint="eastAsia"/>
        </w:rPr>
        <w:t>万元，其中</w:t>
      </w:r>
      <w:r>
        <w:rPr>
          <w:rFonts w:hint="eastAsia"/>
          <w:lang w:val="en-US" w:eastAsia="zh-CN"/>
        </w:rPr>
        <w:t>运维升级建设费</w:t>
      </w:r>
      <w:r>
        <w:rPr>
          <w:rFonts w:hint="eastAsia"/>
        </w:rPr>
        <w:t>为</w:t>
      </w:r>
      <w:r>
        <w:rPr>
          <w:rFonts w:hint="eastAsia"/>
          <w:lang w:val="en-US" w:eastAsia="zh-CN"/>
        </w:rPr>
        <w:t>348.19</w:t>
      </w:r>
      <w:r>
        <w:rPr>
          <w:rFonts w:hint="eastAsia"/>
        </w:rPr>
        <w:t>万元，</w:t>
      </w:r>
      <w:r>
        <w:rPr>
          <w:rFonts w:hint="eastAsia"/>
          <w:lang w:val="en-US" w:eastAsia="zh-CN"/>
        </w:rPr>
        <w:t>运维升级建设</w:t>
      </w:r>
      <w:r>
        <w:rPr>
          <w:rFonts w:hint="eastAsia"/>
        </w:rPr>
        <w:t>其他费为</w:t>
      </w:r>
      <w:r>
        <w:rPr>
          <w:rFonts w:hint="eastAsia"/>
          <w:lang w:val="en-US" w:eastAsia="zh-CN"/>
        </w:rPr>
        <w:t>41.73</w:t>
      </w:r>
      <w:r>
        <w:rPr>
          <w:rFonts w:hint="eastAsia"/>
        </w:rPr>
        <w:t>万元</w:t>
      </w:r>
      <w:r>
        <w:rPr>
          <w:rFonts w:hint="eastAsia"/>
          <w:lang w:eastAsia="zh-CN"/>
        </w:rPr>
        <w:t>，</w:t>
      </w:r>
      <w:r>
        <w:rPr>
          <w:rFonts w:hint="eastAsia"/>
          <w:lang w:val="en-US" w:eastAsia="zh-CN"/>
        </w:rPr>
        <w:t>运维费222.99万元</w:t>
      </w:r>
      <w:r>
        <w:rPr>
          <w:rFonts w:hint="eastAsia"/>
        </w:rPr>
        <w:t>。</w:t>
      </w:r>
    </w:p>
    <w:p>
      <w:pPr>
        <w:pStyle w:val="6"/>
        <w:bidi w:val="0"/>
        <w:rPr>
          <w:rFonts w:hint="eastAsia"/>
          <w:lang w:val="en-US" w:eastAsia="zh-CN"/>
        </w:rPr>
      </w:pPr>
      <w:bookmarkStart w:id="344" w:name="_Toc32524"/>
      <w:r>
        <w:rPr>
          <w:rFonts w:hint="eastAsia"/>
          <w:lang w:val="en-US" w:eastAsia="zh-CN"/>
        </w:rPr>
        <w:t>新建设备运维费</w:t>
      </w:r>
      <w:bookmarkEnd w:id="344"/>
    </w:p>
    <w:p>
      <w:pPr>
        <w:rPr>
          <w:rFonts w:hint="default"/>
          <w:lang w:val="en-US" w:eastAsia="zh-CN"/>
        </w:rPr>
      </w:pPr>
      <w:r>
        <w:rPr>
          <w:rFonts w:hint="eastAsia" w:cs="Times New Roman"/>
          <w:bCs/>
        </w:rPr>
        <w:t>本项目</w:t>
      </w:r>
      <w:r>
        <w:rPr>
          <w:rFonts w:hint="eastAsia" w:cs="Times New Roman"/>
          <w:bCs/>
          <w:lang w:val="en-US" w:eastAsia="zh-CN"/>
        </w:rPr>
        <w:t>新建设备（前端感知设备、配套设施、存储设备、终端设备、水质检测配件）</w:t>
      </w:r>
      <w:r>
        <w:rPr>
          <w:rFonts w:hint="eastAsia" w:cs="Times New Roman"/>
          <w:bCs/>
        </w:rPr>
        <w:t>考虑</w:t>
      </w:r>
      <w:r>
        <w:rPr>
          <w:rFonts w:hint="eastAsia" w:cs="Times New Roman"/>
          <w:bCs/>
          <w:lang w:val="en-US" w:eastAsia="zh-CN"/>
        </w:rPr>
        <w:t>一</w:t>
      </w:r>
      <w:r>
        <w:rPr>
          <w:rFonts w:hint="eastAsia" w:cs="Times New Roman"/>
          <w:bCs/>
        </w:rPr>
        <w:t>年的质保期</w:t>
      </w:r>
      <w:r>
        <w:rPr>
          <w:rFonts w:hint="eastAsia" w:cs="Times New Roman"/>
          <w:bCs/>
          <w:lang w:eastAsia="zh-CN"/>
        </w:rPr>
        <w:t>，</w:t>
      </w:r>
      <w:r>
        <w:rPr>
          <w:rFonts w:hint="eastAsia" w:cs="Times New Roman"/>
          <w:bCs/>
          <w:lang w:val="en-US" w:eastAsia="zh-CN"/>
        </w:rPr>
        <w:t>一年之后</w:t>
      </w:r>
      <w:r>
        <w:rPr>
          <w:rFonts w:hint="eastAsia"/>
          <w:lang w:val="en-US" w:eastAsia="zh-CN"/>
        </w:rPr>
        <w:t>该部分运维费按本项目设备购置费用的5%计取。本项目考虑两年的运维费用。</w:t>
      </w:r>
    </w:p>
    <w:p>
      <w:pPr>
        <w:pStyle w:val="45"/>
        <w:bidi w:val="0"/>
        <w:rPr>
          <w:rFonts w:hint="eastAsia"/>
          <w:lang w:val="en-US" w:eastAsia="zh-CN"/>
        </w:rPr>
      </w:pPr>
      <w:r>
        <w:rPr>
          <w:rFonts w:hint="eastAsia"/>
          <w:lang w:val="en-US" w:eastAsia="zh-CN"/>
        </w:rPr>
        <w:t>新建设备运维</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05"/>
        <w:gridCol w:w="2316"/>
        <w:gridCol w:w="1728"/>
        <w:gridCol w:w="2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年度</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设备购置费用（万元）</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运维比例</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运维金额（万元）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第1年</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348.17</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第2年</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348.17</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14.71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第3年</w:t>
            </w:r>
          </w:p>
        </w:tc>
        <w:tc>
          <w:tcPr>
            <w:tcW w:w="40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同上</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14.71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小计</w:t>
            </w:r>
          </w:p>
        </w:tc>
        <w:tc>
          <w:tcPr>
            <w:tcW w:w="40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34.82</w:t>
            </w:r>
          </w:p>
        </w:tc>
      </w:tr>
    </w:tbl>
    <w:p>
      <w:pPr>
        <w:pStyle w:val="6"/>
        <w:bidi w:val="0"/>
        <w:rPr>
          <w:rFonts w:hint="eastAsia"/>
          <w:lang w:val="en-US" w:eastAsia="zh-CN"/>
        </w:rPr>
      </w:pPr>
      <w:bookmarkStart w:id="345" w:name="_Toc22670"/>
      <w:r>
        <w:rPr>
          <w:rFonts w:hint="eastAsia"/>
          <w:lang w:val="en-US" w:eastAsia="zh-CN"/>
        </w:rPr>
        <w:t>链路费</w:t>
      </w:r>
      <w:bookmarkEnd w:id="345"/>
    </w:p>
    <w:p>
      <w:pPr>
        <w:rPr>
          <w:rFonts w:hint="eastAsia"/>
          <w:lang w:val="en-US" w:eastAsia="zh-CN"/>
        </w:rPr>
      </w:pPr>
      <w:r>
        <w:rPr>
          <w:rFonts w:hint="eastAsia"/>
          <w:lang w:val="en-US" w:eastAsia="zh-CN"/>
        </w:rPr>
        <w:t>链路费包括包鸾、仁沙、社坛的水文站至水利局的的链路费用、丰都县17个水质视频站至水利局的互联网专线链路费用和260条视频专网数据专线链路费用。本项目考虑三年的链路费用。</w:t>
      </w:r>
    </w:p>
    <w:p>
      <w:pPr>
        <w:pStyle w:val="45"/>
        <w:bidi w:val="0"/>
        <w:rPr>
          <w:rFonts w:hint="eastAsia"/>
          <w:lang w:val="en-US" w:eastAsia="zh-CN"/>
        </w:rPr>
      </w:pPr>
      <w:r>
        <w:rPr>
          <w:rFonts w:hint="eastAsia"/>
          <w:lang w:val="en-US" w:eastAsia="zh-CN"/>
        </w:rPr>
        <w:t>链路费</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8"/>
        <w:gridCol w:w="1722"/>
        <w:gridCol w:w="1726"/>
        <w:gridCol w:w="947"/>
        <w:gridCol w:w="845"/>
        <w:gridCol w:w="737"/>
        <w:gridCol w:w="849"/>
        <w:gridCol w:w="9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blHeader/>
        </w:trPr>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年度</w:t>
            </w:r>
          </w:p>
        </w:tc>
        <w:tc>
          <w:tcPr>
            <w:tcW w:w="456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链路费用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blHeader/>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链路类型</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链路要求</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链路带宽</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数量（条）</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单价（元/条）</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时间（月）</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第1年</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水文站至丰都水利局互联网专线</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固定IP、上下行带宽对称</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cs="宋体"/>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00</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视频站至丰都水利局互联网专线</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固定IP、上下行带宽对称</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10M</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0</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前端监控点数据专线1</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固定IP、上下行带宽对称</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20M</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cs="宋体"/>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0</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前端监控点数据专线2</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固定IP、上下行带宽对称</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40M</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r>
              <w:rPr>
                <w:rFonts w:hint="eastAsia" w:cs="宋体"/>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0</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前端监控点数据专线3</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固定IP、上下行带宽对称</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60M</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r>
              <w:rPr>
                <w:rFonts w:hint="eastAsia" w:cs="宋体"/>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0</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前端监控点数据专线4</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固定IP、上下行带宽对称</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80M</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r>
              <w:rPr>
                <w:rFonts w:hint="eastAsia" w:cs="宋体"/>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0</w:t>
            </w:r>
          </w:p>
        </w:tc>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第2年</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4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43.74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第3年</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4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43.74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小计</w:t>
            </w:r>
          </w:p>
        </w:tc>
        <w:tc>
          <w:tcPr>
            <w:tcW w:w="10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14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131.22 </w:t>
            </w:r>
          </w:p>
        </w:tc>
      </w:tr>
    </w:tbl>
    <w:p>
      <w:pPr>
        <w:pStyle w:val="2"/>
        <w:rPr>
          <w:rFonts w:hint="default"/>
          <w:lang w:val="en-US" w:eastAsia="zh-CN"/>
        </w:rPr>
      </w:pPr>
    </w:p>
    <w:p>
      <w:pPr>
        <w:rPr>
          <w:rFonts w:hint="eastAsia"/>
          <w:lang w:val="en-US" w:eastAsia="zh-CN"/>
        </w:rPr>
      </w:pPr>
      <w:r>
        <w:rPr>
          <w:rFonts w:hint="eastAsia"/>
          <w:lang w:val="en-US" w:eastAsia="zh-CN"/>
        </w:rPr>
        <w:br w:type="page"/>
      </w:r>
    </w:p>
    <w:p>
      <w:pPr>
        <w:pStyle w:val="6"/>
        <w:bidi w:val="0"/>
        <w:rPr>
          <w:rFonts w:hint="eastAsia"/>
          <w:lang w:val="en-US" w:eastAsia="zh-CN"/>
        </w:rPr>
      </w:pPr>
      <w:bookmarkStart w:id="346" w:name="_Toc6795"/>
      <w:r>
        <w:rPr>
          <w:rFonts w:hint="eastAsia"/>
          <w:lang w:val="en-US" w:eastAsia="zh-CN"/>
        </w:rPr>
        <w:t>电费</w:t>
      </w:r>
      <w:bookmarkEnd w:id="346"/>
    </w:p>
    <w:p>
      <w:pPr>
        <w:rPr>
          <w:rFonts w:hint="default" w:eastAsia="宋体"/>
          <w:lang w:val="en-US" w:eastAsia="zh-CN"/>
        </w:rPr>
      </w:pPr>
      <w:r>
        <w:rPr>
          <w:rFonts w:hint="eastAsia"/>
          <w:lang w:val="en-US" w:eastAsia="zh-CN"/>
        </w:rPr>
        <w:t>本项目包含前后端设备三年的电费（商业用电）。根据6.8.4配套电源章节，可知新建设备功率为25620W。具体费用如下：</w:t>
      </w:r>
    </w:p>
    <w:p>
      <w:pPr>
        <w:pStyle w:val="45"/>
        <w:bidi w:val="0"/>
        <w:rPr>
          <w:rFonts w:hint="default"/>
          <w:lang w:val="en-US" w:eastAsia="zh-CN"/>
        </w:rPr>
      </w:pPr>
      <w:r>
        <w:rPr>
          <w:rFonts w:hint="eastAsia"/>
          <w:lang w:val="en-US" w:eastAsia="zh-CN"/>
        </w:rPr>
        <w:t>电费</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27"/>
        <w:gridCol w:w="1227"/>
        <w:gridCol w:w="1699"/>
        <w:gridCol w:w="1384"/>
        <w:gridCol w:w="1232"/>
        <w:gridCol w:w="16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年度</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设备运行</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功率/kw(24小时运行)</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时间（天）</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电费单价(元/度）</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第1年</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前后端设备</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614.88</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365</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0.8458</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18.98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第2年</w:t>
            </w:r>
          </w:p>
        </w:tc>
        <w:tc>
          <w:tcPr>
            <w:tcW w:w="32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同前一年费用</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18.98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第3年</w:t>
            </w:r>
          </w:p>
        </w:tc>
        <w:tc>
          <w:tcPr>
            <w:tcW w:w="32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同前一年费用</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18.98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3271" w:type="pct"/>
            <w:gridSpan w:val="4"/>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56.95</w:t>
            </w:r>
          </w:p>
        </w:tc>
      </w:tr>
    </w:tbl>
    <w:p>
      <w:pPr>
        <w:rPr>
          <w:rFonts w:hint="eastAsia"/>
          <w:lang w:val="en-US" w:eastAsia="zh-CN"/>
        </w:rPr>
      </w:pPr>
    </w:p>
    <w:p>
      <w:pPr>
        <w:pStyle w:val="4"/>
        <w:spacing w:before="156" w:after="156"/>
        <w:rPr>
          <w:rFonts w:hint="default"/>
          <w:color w:val="auto"/>
          <w:lang w:val="en-GB"/>
        </w:rPr>
      </w:pPr>
      <w:bookmarkStart w:id="347" w:name="_Toc14908"/>
      <w:r>
        <w:rPr>
          <w:color w:val="auto"/>
          <w:lang w:val="en-GB"/>
        </w:rPr>
        <w:t>项目建设与运行管理</w:t>
      </w:r>
      <w:bookmarkEnd w:id="336"/>
      <w:bookmarkEnd w:id="337"/>
      <w:bookmarkEnd w:id="347"/>
    </w:p>
    <w:p>
      <w:pPr>
        <w:pStyle w:val="5"/>
        <w:spacing w:before="198" w:after="198"/>
        <w:rPr>
          <w:rFonts w:hint="default"/>
          <w:lang w:val="en-GB"/>
        </w:rPr>
      </w:pPr>
      <w:bookmarkStart w:id="348" w:name="_Toc14361"/>
      <w:bookmarkStart w:id="349" w:name="_Toc30368"/>
      <w:bookmarkStart w:id="350" w:name="_Toc18490"/>
      <w:bookmarkStart w:id="351" w:name="_Toc7693"/>
      <w:r>
        <w:rPr>
          <w:lang w:val="en-GB"/>
        </w:rPr>
        <w:t>领导和管理机构</w:t>
      </w:r>
      <w:bookmarkEnd w:id="348"/>
      <w:bookmarkEnd w:id="349"/>
    </w:p>
    <w:p>
      <w:pPr>
        <w:tabs>
          <w:tab w:val="left" w:pos="0"/>
        </w:tabs>
        <w:ind w:firstLine="480"/>
      </w:pPr>
      <w:r>
        <w:rPr>
          <w:rFonts w:hint="eastAsia"/>
        </w:rPr>
        <w:t>项目领导和管理机构：</w:t>
      </w:r>
      <w:r>
        <w:rPr>
          <w:rFonts w:hint="eastAsia"/>
          <w:lang w:val="en-US" w:eastAsia="zh-CN"/>
        </w:rPr>
        <w:t>重庆市</w:t>
      </w:r>
      <w:r>
        <w:rPr>
          <w:rFonts w:hint="eastAsia" w:cs="宋体"/>
          <w:b w:val="0"/>
          <w:bCs/>
          <w:lang w:val="en-US" w:eastAsia="zh-CN"/>
        </w:rPr>
        <w:t>丰都县河库综合事务中心</w:t>
      </w:r>
    </w:p>
    <w:p>
      <w:pPr>
        <w:tabs>
          <w:tab w:val="left" w:pos="0"/>
        </w:tabs>
        <w:ind w:firstLine="480"/>
      </w:pPr>
      <w:r>
        <w:rPr>
          <w:rFonts w:hint="eastAsia"/>
        </w:rPr>
        <w:t>为加强对</w:t>
      </w:r>
      <w:r>
        <w:rPr>
          <w:rFonts w:hint="eastAsia"/>
          <w:color w:val="auto"/>
        </w:rPr>
        <w:t>丰都县镇街移民安置区综合应急能力提升</w:t>
      </w:r>
      <w:r>
        <w:rPr>
          <w:rFonts w:hint="eastAsia"/>
        </w:rPr>
        <w:t>建设的统一领导，全面规划、部署、协调、推进信息化工程建设工作，确保工程建设质量和投资效益。</w:t>
      </w:r>
      <w:r>
        <w:rPr>
          <w:rFonts w:hint="eastAsia" w:cs="宋体"/>
          <w:b w:val="0"/>
          <w:bCs/>
          <w:lang w:val="en-US" w:eastAsia="zh-CN"/>
        </w:rPr>
        <w:t>丰都县河库综合事务中心</w:t>
      </w:r>
      <w:r>
        <w:rPr>
          <w:rFonts w:hint="eastAsia"/>
        </w:rPr>
        <w:t>对整个项目总负责，其主要职责是：</w:t>
      </w:r>
    </w:p>
    <w:p>
      <w:pPr>
        <w:numPr>
          <w:ilvl w:val="0"/>
          <w:numId w:val="51"/>
        </w:num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领导和协调各有关部门与项目实施人员之间的关系；</w:t>
      </w:r>
    </w:p>
    <w:p>
      <w:pPr>
        <w:numPr>
          <w:ilvl w:val="0"/>
          <w:numId w:val="51"/>
        </w:num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对整个建设过程的进度、计划、质量等活动进行宏观监督；</w:t>
      </w:r>
    </w:p>
    <w:p>
      <w:pPr>
        <w:numPr>
          <w:ilvl w:val="0"/>
          <w:numId w:val="51"/>
        </w:num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定期听取各有关部门汇报工作情况。</w:t>
      </w:r>
    </w:p>
    <w:p>
      <w:pPr>
        <w:pStyle w:val="5"/>
        <w:spacing w:before="198" w:after="198"/>
        <w:rPr>
          <w:rFonts w:hint="default"/>
          <w:lang w:val="en-GB"/>
        </w:rPr>
      </w:pPr>
      <w:bookmarkStart w:id="352" w:name="_Toc7684"/>
      <w:bookmarkStart w:id="353" w:name="_Toc18877"/>
      <w:r>
        <w:rPr>
          <w:lang w:val="en-GB"/>
        </w:rPr>
        <w:t>项目实施机构</w:t>
      </w:r>
      <w:bookmarkEnd w:id="352"/>
      <w:bookmarkEnd w:id="353"/>
    </w:p>
    <w:p>
      <w:pPr>
        <w:tabs>
          <w:tab w:val="left" w:pos="0"/>
        </w:tabs>
        <w:ind w:firstLine="480"/>
      </w:pPr>
      <w:r>
        <w:rPr>
          <w:rFonts w:hint="eastAsia"/>
          <w:lang w:val="en-US" w:eastAsia="zh-CN"/>
        </w:rPr>
        <w:t>重庆市</w:t>
      </w:r>
      <w:r>
        <w:rPr>
          <w:rFonts w:hint="eastAsia" w:cs="宋体"/>
          <w:b w:val="0"/>
          <w:bCs/>
          <w:lang w:val="en-US" w:eastAsia="zh-CN"/>
        </w:rPr>
        <w:t>丰都县河库综合事务中心</w:t>
      </w:r>
      <w:r>
        <w:rPr>
          <w:rFonts w:hint="eastAsia"/>
        </w:rPr>
        <w:t>本项目的实施机构。</w:t>
      </w:r>
    </w:p>
    <w:p>
      <w:pPr>
        <w:ind w:firstLine="480"/>
        <w:rPr>
          <w:lang w:val="en-GB"/>
        </w:rPr>
      </w:pPr>
      <w:r>
        <w:rPr>
          <w:rFonts w:hint="eastAsia"/>
          <w:lang w:val="en-US" w:eastAsia="zh-CN"/>
        </w:rPr>
        <w:t>重庆市</w:t>
      </w:r>
      <w:r>
        <w:rPr>
          <w:rFonts w:hint="eastAsia" w:cs="宋体"/>
          <w:b w:val="0"/>
          <w:bCs/>
          <w:lang w:val="en-US" w:eastAsia="zh-CN"/>
        </w:rPr>
        <w:t>丰都县河库综合事务中心</w:t>
      </w:r>
      <w:r>
        <w:rPr>
          <w:rFonts w:hint="eastAsia"/>
        </w:rPr>
        <w:t>的工作范围计划包括：完成项目各种审批手续；完成设计、施工、安装、材料设备采购的招投标工作及合同谈判，并对外签订合同；核查设计、工程预算及施工组织方案等；承担工程建设投资、质量、工期控制及合同管理，协调参建单位之间的关系；组织竣工验收，编制工程决算报告；归集整理项目档案资料等。</w:t>
      </w:r>
    </w:p>
    <w:bookmarkEnd w:id="350"/>
    <w:bookmarkEnd w:id="351"/>
    <w:p>
      <w:pPr>
        <w:pStyle w:val="5"/>
        <w:rPr>
          <w:rFonts w:hint="default"/>
          <w:color w:val="auto"/>
          <w:lang w:val="en-GB"/>
        </w:rPr>
      </w:pPr>
      <w:bookmarkStart w:id="354" w:name="_Toc19086"/>
      <w:bookmarkStart w:id="355" w:name="_Toc31875"/>
      <w:bookmarkStart w:id="356" w:name="_Toc26485"/>
      <w:bookmarkStart w:id="357" w:name="_Toc6158"/>
      <w:bookmarkStart w:id="358" w:name="_Toc20692"/>
      <w:r>
        <w:rPr>
          <w:color w:val="auto"/>
          <w:lang w:val="en-GB"/>
        </w:rPr>
        <w:t>项目招标方案</w:t>
      </w:r>
      <w:bookmarkEnd w:id="354"/>
      <w:bookmarkEnd w:id="355"/>
      <w:bookmarkEnd w:id="356"/>
    </w:p>
    <w:p>
      <w:pPr>
        <w:pStyle w:val="6"/>
        <w:keepNext w:val="0"/>
        <w:rPr>
          <w:rFonts w:hint="eastAsia" w:cs="Times New Roman"/>
          <w:color w:val="auto"/>
          <w:lang w:val="en-US" w:eastAsia="zh-CN"/>
        </w:rPr>
      </w:pPr>
      <w:bookmarkStart w:id="359" w:name="_Toc31060"/>
      <w:r>
        <w:rPr>
          <w:rFonts w:hint="eastAsia" w:cs="Times New Roman"/>
          <w:color w:val="auto"/>
          <w:lang w:val="en-US" w:eastAsia="zh-CN"/>
        </w:rPr>
        <w:t>招标范围</w:t>
      </w:r>
      <w:bookmarkEnd w:id="359"/>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在本项目实施过程中，项目建设单位应严格按照《中华人民共和国招标投标法》、《中华人民共和国政府采购法》等有关规定，遵循公开、公平、公正和诚实守信的原则确定招标范围、招标组织形式和招标方式，报请相关部门核准后严格遵照执行。</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ascii="Times New Roman" w:hAnsi="Times New Roman"/>
          <w:sz w:val="24"/>
        </w:rPr>
      </w:pPr>
      <w:r>
        <w:rPr>
          <w:rFonts w:hint="eastAsia" w:cs="Times New Roman"/>
          <w:b w:val="0"/>
          <w:bCs w:val="0"/>
          <w:color w:val="auto"/>
          <w:lang w:eastAsia="zh-CN"/>
        </w:rPr>
        <w:t>本项目招标的主要内容包括：项目设计、监理、</w:t>
      </w:r>
      <w:r>
        <w:rPr>
          <w:rFonts w:hint="eastAsia" w:cs="Times New Roman"/>
          <w:b w:val="0"/>
          <w:bCs w:val="0"/>
          <w:color w:val="auto"/>
          <w:lang w:val="en-US" w:eastAsia="zh-CN"/>
        </w:rPr>
        <w:t>审计</w:t>
      </w:r>
      <w:r>
        <w:rPr>
          <w:rFonts w:hint="eastAsia" w:cs="Times New Roman"/>
          <w:b w:val="0"/>
          <w:bCs w:val="0"/>
          <w:color w:val="auto"/>
          <w:lang w:eastAsia="zh-CN"/>
        </w:rPr>
        <w:t>，及硬件采购、系统集成等，</w:t>
      </w:r>
      <w:r>
        <w:rPr>
          <w:rFonts w:hint="eastAsia" w:cs="Times New Roman"/>
          <w:b w:val="0"/>
          <w:bCs w:val="0"/>
          <w:color w:val="auto"/>
          <w:lang w:val="en-US" w:eastAsia="zh-CN"/>
        </w:rPr>
        <w:t>具体</w:t>
      </w:r>
      <w:r>
        <w:rPr>
          <w:rFonts w:ascii="Times New Roman" w:hAnsi="Times New Roman"/>
          <w:sz w:val="24"/>
        </w:rPr>
        <w:t>内容包括：</w:t>
      </w:r>
    </w:p>
    <w:p>
      <w:pPr>
        <w:spacing w:line="360" w:lineRule="auto"/>
        <w:ind w:firstLine="482"/>
        <w:rPr>
          <w:rFonts w:ascii="Times New Roman" w:hAnsi="Times New Roman"/>
          <w:sz w:val="24"/>
        </w:rPr>
      </w:pPr>
      <w:r>
        <w:rPr>
          <w:rFonts w:ascii="Times New Roman" w:hAnsi="Times New Roman"/>
          <w:sz w:val="24"/>
        </w:rPr>
        <w:t>（1）工程施工，建设单位委托具有相应资质的施工单位，在规定的技术、质量、工期、成本、安全的基础上，实施工程建设。</w:t>
      </w:r>
    </w:p>
    <w:p>
      <w:pPr>
        <w:spacing w:line="360" w:lineRule="auto"/>
        <w:ind w:firstLine="482"/>
        <w:rPr>
          <w:rFonts w:hint="eastAsia" w:ascii="Times New Roman" w:hAnsi="Times New Roman"/>
          <w:sz w:val="24"/>
        </w:rPr>
      </w:pPr>
      <w:r>
        <w:rPr>
          <w:rFonts w:ascii="Times New Roman" w:hAnsi="Times New Roman"/>
          <w:sz w:val="24"/>
        </w:rPr>
        <w:t>（2）系统集成，建设单位委托具有相应资质的系统集成公司，负责实施项目的软件、硬件、操作系统、数据库、网络等多种技术的集成</w:t>
      </w:r>
      <w:r>
        <w:rPr>
          <w:rFonts w:hint="eastAsia" w:ascii="Times New Roman" w:hAnsi="Times New Roman"/>
          <w:sz w:val="24"/>
        </w:rPr>
        <w:t>。</w:t>
      </w:r>
    </w:p>
    <w:p>
      <w:pPr>
        <w:bidi w:val="0"/>
        <w:rPr>
          <w:rFonts w:hint="default" w:eastAsia="宋体"/>
          <w:lang w:val="en-US" w:eastAsia="zh-CN"/>
        </w:rPr>
      </w:pPr>
      <w:r>
        <w:rPr>
          <w:rFonts w:ascii="Times New Roman" w:hAnsi="Times New Roman"/>
          <w:sz w:val="24"/>
        </w:rPr>
        <w:t>（</w:t>
      </w:r>
      <w:r>
        <w:rPr>
          <w:rFonts w:hint="eastAsia" w:ascii="Times New Roman" w:hAnsi="Times New Roman"/>
          <w:sz w:val="24"/>
          <w:lang w:val="en-US" w:eastAsia="zh-CN"/>
        </w:rPr>
        <w:t>3</w:t>
      </w:r>
      <w:r>
        <w:rPr>
          <w:rFonts w:ascii="Times New Roman" w:hAnsi="Times New Roman"/>
          <w:sz w:val="24"/>
        </w:rPr>
        <w:t>）</w:t>
      </w:r>
      <w:r>
        <w:rPr>
          <w:rFonts w:hint="eastAsia" w:ascii="Times New Roman" w:hAnsi="Times New Roman"/>
          <w:sz w:val="24"/>
          <w:lang w:val="en-US" w:eastAsia="zh-CN"/>
        </w:rPr>
        <w:t>硬件</w:t>
      </w:r>
      <w:r>
        <w:rPr>
          <w:rFonts w:ascii="Times New Roman" w:hAnsi="Times New Roman"/>
          <w:sz w:val="24"/>
        </w:rPr>
        <w:t>采购，主要包括本项目</w:t>
      </w:r>
      <w:r>
        <w:rPr>
          <w:rFonts w:hint="eastAsia" w:ascii="Times New Roman" w:hAnsi="Times New Roman"/>
          <w:sz w:val="24"/>
          <w:lang w:val="en-US" w:eastAsia="zh-CN"/>
        </w:rPr>
        <w:t>所有的硬件设备</w:t>
      </w:r>
      <w:r>
        <w:rPr>
          <w:rFonts w:ascii="Times New Roman" w:hAnsi="Times New Roman"/>
          <w:sz w:val="24"/>
        </w:rPr>
        <w:t>。</w:t>
      </w:r>
    </w:p>
    <w:p>
      <w:pPr>
        <w:pStyle w:val="6"/>
        <w:keepNext w:val="0"/>
        <w:rPr>
          <w:rFonts w:hint="eastAsia" w:cs="Times New Roman"/>
          <w:color w:val="auto"/>
          <w:lang w:val="en-US" w:eastAsia="zh-CN"/>
        </w:rPr>
      </w:pPr>
      <w:bookmarkStart w:id="360" w:name="_Toc12824"/>
      <w:r>
        <w:rPr>
          <w:rFonts w:hint="eastAsia" w:cs="Times New Roman"/>
          <w:color w:val="auto"/>
          <w:lang w:val="en-US" w:eastAsia="zh-CN"/>
        </w:rPr>
        <w:t>招标方式</w:t>
      </w:r>
      <w:bookmarkEnd w:id="360"/>
    </w:p>
    <w:p>
      <w:pPr>
        <w:bidi w:val="0"/>
        <w:rPr>
          <w:rFonts w:hint="eastAsia"/>
        </w:rPr>
      </w:pPr>
      <w:r>
        <w:rPr>
          <w:rFonts w:hint="eastAsia"/>
        </w:rPr>
        <w:t>根据《中华人民共和国招标投标法》、《中华人民共和国政府采购法》、《评标委员会和评标方法暂行规定》和国家及地方采购有关文件精神，按照系统建设相应要求，对本项目招标范围内的内容进行国内公开招标，接受合格的国内投标人提交密封报价。若有涉及国家安全及特殊保密要求的部分，采用邀请招标方式进行。</w:t>
      </w:r>
    </w:p>
    <w:p>
      <w:pPr>
        <w:bidi w:val="0"/>
        <w:rPr>
          <w:rFonts w:hint="eastAsia"/>
        </w:rPr>
      </w:pPr>
      <w:r>
        <w:rPr>
          <w:rFonts w:hint="eastAsia"/>
        </w:rPr>
        <w:t>所有招投标工作将事先公布条件和要求，吸引更多符合条件、熟悉本项目建设业务的投标人参加竞争，并按规定程序选择中标对象。本次工程招标方案如下表所示：</w:t>
      </w:r>
    </w:p>
    <w:p>
      <w:pPr>
        <w:pStyle w:val="46"/>
        <w:bidi w:val="0"/>
        <w:rPr>
          <w:rFonts w:hint="eastAsia"/>
        </w:rPr>
      </w:pPr>
      <w:r>
        <w:rPr>
          <w:rFonts w:hint="eastAsia"/>
        </w:rPr>
        <w:t>招投标范围和方式表</w:t>
      </w:r>
    </w:p>
    <w:tbl>
      <w:tblPr>
        <w:tblStyle w:val="28"/>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91"/>
        <w:gridCol w:w="1134"/>
        <w:gridCol w:w="567"/>
        <w:gridCol w:w="639"/>
        <w:gridCol w:w="637"/>
        <w:gridCol w:w="637"/>
        <w:gridCol w:w="637"/>
        <w:gridCol w:w="637"/>
        <w:gridCol w:w="637"/>
        <w:gridCol w:w="717"/>
        <w:gridCol w:w="876"/>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1525" w:type="dxa"/>
            <w:gridSpan w:val="2"/>
            <w:vMerge w:val="restart"/>
            <w:vAlign w:val="center"/>
          </w:tcPr>
          <w:p>
            <w:pPr>
              <w:spacing w:line="240" w:lineRule="auto"/>
              <w:ind w:firstLine="0" w:firstLineChars="0"/>
              <w:jc w:val="center"/>
              <w:rPr>
                <w:rFonts w:cs="Arial"/>
                <w:b/>
                <w:bCs/>
                <w:sz w:val="21"/>
                <w:szCs w:val="21"/>
              </w:rPr>
            </w:pPr>
          </w:p>
        </w:tc>
        <w:tc>
          <w:tcPr>
            <w:tcW w:w="1206" w:type="dxa"/>
            <w:gridSpan w:val="2"/>
            <w:vAlign w:val="center"/>
          </w:tcPr>
          <w:p>
            <w:pPr>
              <w:widowControl/>
              <w:spacing w:line="240" w:lineRule="auto"/>
              <w:ind w:firstLine="0" w:firstLineChars="0"/>
              <w:jc w:val="center"/>
              <w:rPr>
                <w:rFonts w:cs="Arial"/>
                <w:b/>
                <w:bCs/>
                <w:sz w:val="21"/>
                <w:szCs w:val="21"/>
              </w:rPr>
            </w:pPr>
            <w:r>
              <w:rPr>
                <w:rFonts w:cs="Arial"/>
                <w:b/>
                <w:bCs/>
                <w:sz w:val="21"/>
                <w:szCs w:val="21"/>
              </w:rPr>
              <w:t>招标范围</w:t>
            </w:r>
          </w:p>
        </w:tc>
        <w:tc>
          <w:tcPr>
            <w:tcW w:w="1274" w:type="dxa"/>
            <w:gridSpan w:val="2"/>
            <w:vAlign w:val="center"/>
          </w:tcPr>
          <w:p>
            <w:pPr>
              <w:widowControl/>
              <w:spacing w:line="240" w:lineRule="auto"/>
              <w:ind w:firstLine="0" w:firstLineChars="0"/>
              <w:jc w:val="center"/>
              <w:rPr>
                <w:rFonts w:cs="Arial"/>
                <w:b/>
                <w:bCs/>
                <w:sz w:val="21"/>
                <w:szCs w:val="21"/>
              </w:rPr>
            </w:pPr>
            <w:r>
              <w:rPr>
                <w:rFonts w:cs="Arial"/>
                <w:b/>
                <w:bCs/>
                <w:sz w:val="21"/>
                <w:szCs w:val="21"/>
              </w:rPr>
              <w:t>招标组织形式</w:t>
            </w:r>
          </w:p>
        </w:tc>
        <w:tc>
          <w:tcPr>
            <w:tcW w:w="1274" w:type="dxa"/>
            <w:gridSpan w:val="2"/>
            <w:vAlign w:val="center"/>
          </w:tcPr>
          <w:p>
            <w:pPr>
              <w:widowControl/>
              <w:spacing w:line="240" w:lineRule="auto"/>
              <w:ind w:firstLine="0" w:firstLineChars="0"/>
              <w:jc w:val="center"/>
              <w:rPr>
                <w:rFonts w:cs="Arial"/>
                <w:b/>
                <w:bCs/>
                <w:sz w:val="21"/>
                <w:szCs w:val="21"/>
              </w:rPr>
            </w:pPr>
            <w:r>
              <w:rPr>
                <w:rFonts w:cs="Arial"/>
                <w:b/>
                <w:bCs/>
                <w:sz w:val="21"/>
                <w:szCs w:val="21"/>
              </w:rPr>
              <w:t>招标方式</w:t>
            </w:r>
          </w:p>
        </w:tc>
        <w:tc>
          <w:tcPr>
            <w:tcW w:w="3083" w:type="dxa"/>
            <w:gridSpan w:val="4"/>
            <w:vAlign w:val="center"/>
          </w:tcPr>
          <w:p>
            <w:pPr>
              <w:widowControl/>
              <w:spacing w:line="240" w:lineRule="auto"/>
              <w:ind w:firstLine="0" w:firstLineChars="0"/>
              <w:jc w:val="center"/>
              <w:rPr>
                <w:rFonts w:cs="Arial"/>
                <w:b/>
                <w:bCs/>
                <w:sz w:val="21"/>
                <w:szCs w:val="21"/>
              </w:rPr>
            </w:pPr>
            <w:r>
              <w:rPr>
                <w:rFonts w:cs="Arial"/>
                <w:b/>
                <w:bCs/>
                <w:sz w:val="21"/>
                <w:szCs w:val="21"/>
              </w:rPr>
              <w:t>其他采购方式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1525" w:type="dxa"/>
            <w:gridSpan w:val="2"/>
            <w:vMerge w:val="continue"/>
            <w:vAlign w:val="center"/>
          </w:tcPr>
          <w:p>
            <w:pPr>
              <w:widowControl/>
              <w:spacing w:line="240" w:lineRule="auto"/>
              <w:ind w:firstLine="0" w:firstLineChars="0"/>
              <w:jc w:val="center"/>
              <w:rPr>
                <w:rFonts w:cs="Arial"/>
                <w:b/>
                <w:bCs/>
                <w:sz w:val="21"/>
                <w:szCs w:val="21"/>
              </w:rPr>
            </w:pPr>
          </w:p>
        </w:tc>
        <w:tc>
          <w:tcPr>
            <w:tcW w:w="567" w:type="dxa"/>
            <w:vAlign w:val="center"/>
          </w:tcPr>
          <w:p>
            <w:pPr>
              <w:widowControl/>
              <w:spacing w:line="240" w:lineRule="auto"/>
              <w:ind w:firstLine="0" w:firstLineChars="0"/>
              <w:jc w:val="center"/>
              <w:rPr>
                <w:rFonts w:cs="Arial"/>
                <w:sz w:val="21"/>
                <w:szCs w:val="21"/>
              </w:rPr>
            </w:pPr>
            <w:r>
              <w:rPr>
                <w:rFonts w:cs="Arial"/>
                <w:sz w:val="21"/>
                <w:szCs w:val="21"/>
              </w:rPr>
              <w:t>全部招标</w:t>
            </w:r>
          </w:p>
        </w:tc>
        <w:tc>
          <w:tcPr>
            <w:tcW w:w="639" w:type="dxa"/>
            <w:vAlign w:val="center"/>
          </w:tcPr>
          <w:p>
            <w:pPr>
              <w:widowControl/>
              <w:spacing w:line="240" w:lineRule="auto"/>
              <w:ind w:firstLine="0" w:firstLineChars="0"/>
              <w:jc w:val="center"/>
              <w:rPr>
                <w:rFonts w:cs="Arial"/>
                <w:bCs/>
                <w:sz w:val="21"/>
                <w:szCs w:val="21"/>
              </w:rPr>
            </w:pPr>
            <w:r>
              <w:rPr>
                <w:rFonts w:cs="Arial"/>
                <w:bCs/>
                <w:sz w:val="21"/>
                <w:szCs w:val="21"/>
              </w:rPr>
              <w:t>部分招标</w:t>
            </w:r>
          </w:p>
        </w:tc>
        <w:tc>
          <w:tcPr>
            <w:tcW w:w="637" w:type="dxa"/>
            <w:vAlign w:val="center"/>
          </w:tcPr>
          <w:p>
            <w:pPr>
              <w:widowControl/>
              <w:spacing w:line="240" w:lineRule="auto"/>
              <w:ind w:firstLine="0" w:firstLineChars="0"/>
              <w:jc w:val="center"/>
              <w:rPr>
                <w:rFonts w:cs="Arial"/>
                <w:sz w:val="21"/>
                <w:szCs w:val="21"/>
              </w:rPr>
            </w:pPr>
            <w:r>
              <w:rPr>
                <w:rFonts w:cs="Arial"/>
                <w:sz w:val="21"/>
                <w:szCs w:val="21"/>
              </w:rPr>
              <w:t>自行招标</w:t>
            </w:r>
          </w:p>
        </w:tc>
        <w:tc>
          <w:tcPr>
            <w:tcW w:w="637" w:type="dxa"/>
            <w:vAlign w:val="center"/>
          </w:tcPr>
          <w:p>
            <w:pPr>
              <w:widowControl/>
              <w:spacing w:line="240" w:lineRule="auto"/>
              <w:ind w:firstLine="0" w:firstLineChars="0"/>
              <w:jc w:val="center"/>
              <w:rPr>
                <w:rFonts w:cs="Arial"/>
                <w:sz w:val="21"/>
                <w:szCs w:val="21"/>
              </w:rPr>
            </w:pPr>
            <w:r>
              <w:rPr>
                <w:rFonts w:cs="Arial"/>
                <w:sz w:val="21"/>
                <w:szCs w:val="21"/>
              </w:rPr>
              <w:t>委托招标</w:t>
            </w:r>
          </w:p>
        </w:tc>
        <w:tc>
          <w:tcPr>
            <w:tcW w:w="637" w:type="dxa"/>
            <w:vAlign w:val="center"/>
          </w:tcPr>
          <w:p>
            <w:pPr>
              <w:widowControl/>
              <w:spacing w:line="240" w:lineRule="auto"/>
              <w:ind w:firstLine="0" w:firstLineChars="0"/>
              <w:jc w:val="center"/>
              <w:rPr>
                <w:rFonts w:cs="Arial"/>
                <w:sz w:val="21"/>
                <w:szCs w:val="21"/>
              </w:rPr>
            </w:pPr>
            <w:r>
              <w:rPr>
                <w:rFonts w:cs="Arial"/>
                <w:bCs/>
                <w:sz w:val="21"/>
                <w:szCs w:val="21"/>
              </w:rPr>
              <w:t>公开招标</w:t>
            </w:r>
          </w:p>
        </w:tc>
        <w:tc>
          <w:tcPr>
            <w:tcW w:w="637" w:type="dxa"/>
            <w:vAlign w:val="center"/>
          </w:tcPr>
          <w:p>
            <w:pPr>
              <w:widowControl/>
              <w:spacing w:line="240" w:lineRule="auto"/>
              <w:ind w:firstLine="0" w:firstLineChars="0"/>
              <w:jc w:val="center"/>
              <w:rPr>
                <w:rFonts w:cs="Arial"/>
                <w:sz w:val="21"/>
                <w:szCs w:val="21"/>
              </w:rPr>
            </w:pPr>
            <w:r>
              <w:rPr>
                <w:rFonts w:cs="Arial"/>
                <w:bCs/>
                <w:sz w:val="21"/>
                <w:szCs w:val="21"/>
              </w:rPr>
              <w:t>邀请招标</w:t>
            </w:r>
          </w:p>
        </w:tc>
        <w:tc>
          <w:tcPr>
            <w:tcW w:w="637" w:type="dxa"/>
            <w:vAlign w:val="center"/>
          </w:tcPr>
          <w:p>
            <w:pPr>
              <w:widowControl/>
              <w:spacing w:line="240" w:lineRule="auto"/>
              <w:ind w:firstLine="0" w:firstLineChars="0"/>
              <w:jc w:val="center"/>
              <w:rPr>
                <w:rFonts w:cs="Arial"/>
                <w:sz w:val="21"/>
                <w:szCs w:val="21"/>
              </w:rPr>
            </w:pPr>
            <w:r>
              <w:rPr>
                <w:rFonts w:cs="Arial"/>
                <w:bCs/>
                <w:sz w:val="21"/>
                <w:szCs w:val="21"/>
              </w:rPr>
              <w:t>询价采购</w:t>
            </w:r>
          </w:p>
        </w:tc>
        <w:tc>
          <w:tcPr>
            <w:tcW w:w="717" w:type="dxa"/>
            <w:vAlign w:val="center"/>
          </w:tcPr>
          <w:p>
            <w:pPr>
              <w:widowControl/>
              <w:spacing w:line="240" w:lineRule="auto"/>
              <w:ind w:firstLine="0" w:firstLineChars="0"/>
              <w:jc w:val="center"/>
              <w:rPr>
                <w:rFonts w:cs="Arial"/>
                <w:sz w:val="21"/>
                <w:szCs w:val="21"/>
              </w:rPr>
            </w:pPr>
            <w:r>
              <w:rPr>
                <w:rFonts w:cs="Arial"/>
                <w:bCs/>
                <w:sz w:val="21"/>
                <w:szCs w:val="21"/>
              </w:rPr>
              <w:t>竞争性谈判</w:t>
            </w:r>
          </w:p>
        </w:tc>
        <w:tc>
          <w:tcPr>
            <w:tcW w:w="876" w:type="dxa"/>
            <w:vAlign w:val="center"/>
          </w:tcPr>
          <w:p>
            <w:pPr>
              <w:widowControl/>
              <w:spacing w:line="240" w:lineRule="auto"/>
              <w:ind w:firstLine="0" w:firstLineChars="0"/>
              <w:jc w:val="center"/>
              <w:rPr>
                <w:rFonts w:cs="Arial"/>
                <w:sz w:val="21"/>
                <w:szCs w:val="21"/>
              </w:rPr>
            </w:pPr>
            <w:r>
              <w:rPr>
                <w:rFonts w:cs="Arial"/>
                <w:bCs/>
                <w:sz w:val="21"/>
                <w:szCs w:val="21"/>
              </w:rPr>
              <w:t>单一来源采购</w:t>
            </w:r>
          </w:p>
        </w:tc>
        <w:tc>
          <w:tcPr>
            <w:tcW w:w="853" w:type="dxa"/>
            <w:vAlign w:val="center"/>
          </w:tcPr>
          <w:p>
            <w:pPr>
              <w:widowControl/>
              <w:spacing w:line="240" w:lineRule="auto"/>
              <w:ind w:firstLine="0" w:firstLineChars="0"/>
              <w:jc w:val="center"/>
              <w:rPr>
                <w:rFonts w:cs="Arial"/>
                <w:sz w:val="21"/>
                <w:szCs w:val="21"/>
              </w:rPr>
            </w:pPr>
            <w:r>
              <w:rPr>
                <w:rFonts w:hint="eastAsia" w:cs="Arial"/>
                <w:bCs/>
                <w:sz w:val="21"/>
                <w:szCs w:val="21"/>
              </w:rPr>
              <w:t>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91" w:type="dxa"/>
            <w:vAlign w:val="center"/>
          </w:tcPr>
          <w:p>
            <w:pPr>
              <w:widowControl/>
              <w:spacing w:line="240" w:lineRule="auto"/>
              <w:ind w:firstLine="0" w:firstLineChars="0"/>
              <w:jc w:val="center"/>
              <w:rPr>
                <w:rFonts w:cs="Arial"/>
                <w:b/>
                <w:bCs/>
                <w:sz w:val="21"/>
                <w:szCs w:val="21"/>
              </w:rPr>
            </w:pPr>
            <w:r>
              <w:rPr>
                <w:rFonts w:hint="eastAsia" w:cs="Arial"/>
                <w:b/>
                <w:bCs/>
                <w:sz w:val="21"/>
                <w:szCs w:val="21"/>
              </w:rPr>
              <w:t>设备采购</w:t>
            </w:r>
          </w:p>
        </w:tc>
        <w:tc>
          <w:tcPr>
            <w:tcW w:w="1134" w:type="dxa"/>
            <w:vAlign w:val="center"/>
          </w:tcPr>
          <w:p>
            <w:pPr>
              <w:widowControl/>
              <w:spacing w:line="240" w:lineRule="auto"/>
              <w:ind w:firstLine="0" w:firstLineChars="0"/>
              <w:jc w:val="center"/>
              <w:rPr>
                <w:rFonts w:cs="Arial"/>
                <w:bCs/>
                <w:sz w:val="21"/>
                <w:szCs w:val="21"/>
              </w:rPr>
            </w:pPr>
            <w:r>
              <w:rPr>
                <w:rFonts w:hint="eastAsia" w:cs="Arial"/>
                <w:bCs/>
                <w:sz w:val="21"/>
                <w:szCs w:val="21"/>
              </w:rPr>
              <w:t>硬件设备</w:t>
            </w:r>
          </w:p>
        </w:tc>
        <w:tc>
          <w:tcPr>
            <w:tcW w:w="567" w:type="dxa"/>
            <w:vAlign w:val="center"/>
          </w:tcPr>
          <w:p>
            <w:pPr>
              <w:widowControl/>
              <w:spacing w:line="240" w:lineRule="auto"/>
              <w:ind w:firstLine="0" w:firstLineChars="0"/>
              <w:jc w:val="center"/>
              <w:textAlignment w:val="center"/>
              <w:rPr>
                <w:color w:val="000000"/>
                <w:sz w:val="21"/>
                <w:szCs w:val="21"/>
              </w:rPr>
            </w:pPr>
            <w:r>
              <w:rPr>
                <w:rFonts w:hint="eastAsia"/>
                <w:color w:val="000000"/>
                <w:sz w:val="21"/>
                <w:szCs w:val="21"/>
              </w:rPr>
              <w:t>√</w:t>
            </w:r>
          </w:p>
        </w:tc>
        <w:tc>
          <w:tcPr>
            <w:tcW w:w="639" w:type="dxa"/>
            <w:vAlign w:val="center"/>
          </w:tcPr>
          <w:p>
            <w:pPr>
              <w:widowControl/>
              <w:spacing w:line="240" w:lineRule="auto"/>
              <w:ind w:firstLine="0" w:firstLineChars="0"/>
              <w:jc w:val="center"/>
              <w:rPr>
                <w:rFonts w:cs="Arial"/>
                <w:sz w:val="21"/>
                <w:szCs w:val="21"/>
              </w:rPr>
            </w:pPr>
          </w:p>
        </w:tc>
        <w:tc>
          <w:tcPr>
            <w:tcW w:w="637" w:type="dxa"/>
            <w:vAlign w:val="center"/>
          </w:tcPr>
          <w:p>
            <w:pPr>
              <w:widowControl/>
              <w:spacing w:line="240" w:lineRule="auto"/>
              <w:ind w:firstLine="0" w:firstLineChars="0"/>
              <w:jc w:val="center"/>
              <w:rPr>
                <w:rFonts w:cs="Arial"/>
                <w:sz w:val="21"/>
                <w:szCs w:val="21"/>
              </w:rPr>
            </w:pPr>
          </w:p>
        </w:tc>
        <w:tc>
          <w:tcPr>
            <w:tcW w:w="637" w:type="dxa"/>
            <w:vAlign w:val="center"/>
          </w:tcPr>
          <w:p>
            <w:pPr>
              <w:widowControl/>
              <w:spacing w:line="240" w:lineRule="auto"/>
              <w:ind w:firstLine="0" w:firstLineChars="0"/>
              <w:jc w:val="center"/>
              <w:textAlignment w:val="center"/>
              <w:rPr>
                <w:color w:val="000000"/>
                <w:sz w:val="21"/>
                <w:szCs w:val="21"/>
              </w:rPr>
            </w:pPr>
            <w:r>
              <w:rPr>
                <w:rFonts w:hint="eastAsia"/>
                <w:color w:val="000000"/>
                <w:sz w:val="21"/>
                <w:szCs w:val="21"/>
              </w:rPr>
              <w:t>√</w:t>
            </w:r>
          </w:p>
        </w:tc>
        <w:tc>
          <w:tcPr>
            <w:tcW w:w="637" w:type="dxa"/>
            <w:vAlign w:val="center"/>
          </w:tcPr>
          <w:p>
            <w:pPr>
              <w:widowControl/>
              <w:spacing w:line="240" w:lineRule="auto"/>
              <w:ind w:firstLine="0" w:firstLineChars="0"/>
              <w:jc w:val="center"/>
              <w:rPr>
                <w:rFonts w:cs="Arial"/>
                <w:sz w:val="21"/>
                <w:szCs w:val="21"/>
              </w:rPr>
            </w:pPr>
            <w:r>
              <w:rPr>
                <w:rFonts w:hint="eastAsia"/>
                <w:color w:val="000000"/>
                <w:sz w:val="21"/>
                <w:szCs w:val="21"/>
              </w:rPr>
              <w:t>√</w:t>
            </w:r>
          </w:p>
        </w:tc>
        <w:tc>
          <w:tcPr>
            <w:tcW w:w="637" w:type="dxa"/>
            <w:vAlign w:val="center"/>
          </w:tcPr>
          <w:p>
            <w:pPr>
              <w:widowControl/>
              <w:spacing w:line="240" w:lineRule="auto"/>
              <w:ind w:firstLine="0" w:firstLineChars="0"/>
              <w:jc w:val="center"/>
              <w:rPr>
                <w:rFonts w:cs="Arial"/>
                <w:sz w:val="21"/>
                <w:szCs w:val="21"/>
              </w:rPr>
            </w:pPr>
          </w:p>
        </w:tc>
        <w:tc>
          <w:tcPr>
            <w:tcW w:w="637" w:type="dxa"/>
            <w:vAlign w:val="center"/>
          </w:tcPr>
          <w:p>
            <w:pPr>
              <w:widowControl/>
              <w:spacing w:line="240" w:lineRule="auto"/>
              <w:ind w:firstLine="0" w:firstLineChars="0"/>
              <w:jc w:val="center"/>
              <w:rPr>
                <w:rFonts w:cs="Arial"/>
                <w:sz w:val="21"/>
                <w:szCs w:val="21"/>
              </w:rPr>
            </w:pPr>
          </w:p>
        </w:tc>
        <w:tc>
          <w:tcPr>
            <w:tcW w:w="717" w:type="dxa"/>
            <w:vAlign w:val="center"/>
          </w:tcPr>
          <w:p>
            <w:pPr>
              <w:widowControl/>
              <w:spacing w:line="240" w:lineRule="auto"/>
              <w:ind w:firstLine="0" w:firstLineChars="0"/>
              <w:jc w:val="center"/>
              <w:rPr>
                <w:rFonts w:cs="Arial"/>
                <w:sz w:val="21"/>
                <w:szCs w:val="21"/>
              </w:rPr>
            </w:pPr>
          </w:p>
        </w:tc>
        <w:tc>
          <w:tcPr>
            <w:tcW w:w="876" w:type="dxa"/>
            <w:vAlign w:val="center"/>
          </w:tcPr>
          <w:p>
            <w:pPr>
              <w:widowControl/>
              <w:spacing w:line="240" w:lineRule="auto"/>
              <w:ind w:firstLine="0" w:firstLineChars="0"/>
              <w:jc w:val="center"/>
              <w:rPr>
                <w:rFonts w:cs="Arial"/>
                <w:sz w:val="21"/>
                <w:szCs w:val="21"/>
              </w:rPr>
            </w:pPr>
          </w:p>
        </w:tc>
        <w:tc>
          <w:tcPr>
            <w:tcW w:w="853" w:type="dxa"/>
            <w:vAlign w:val="center"/>
          </w:tcPr>
          <w:p>
            <w:pPr>
              <w:widowControl/>
              <w:spacing w:line="240" w:lineRule="auto"/>
              <w:ind w:firstLine="0" w:firstLineChars="0"/>
              <w:jc w:val="center"/>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91" w:type="dxa"/>
            <w:vMerge w:val="restart"/>
            <w:vAlign w:val="center"/>
          </w:tcPr>
          <w:p>
            <w:pPr>
              <w:widowControl/>
              <w:spacing w:line="240" w:lineRule="auto"/>
              <w:ind w:firstLine="0" w:firstLineChars="0"/>
              <w:jc w:val="center"/>
              <w:rPr>
                <w:rFonts w:cs="Arial"/>
                <w:b/>
                <w:bCs/>
                <w:sz w:val="21"/>
                <w:szCs w:val="21"/>
              </w:rPr>
            </w:pPr>
            <w:r>
              <w:rPr>
                <w:rFonts w:hint="eastAsia" w:cs="Arial"/>
                <w:b/>
                <w:bCs/>
                <w:sz w:val="21"/>
                <w:szCs w:val="21"/>
              </w:rPr>
              <w:t>服务</w:t>
            </w:r>
          </w:p>
        </w:tc>
        <w:tc>
          <w:tcPr>
            <w:tcW w:w="1134" w:type="dxa"/>
            <w:vAlign w:val="center"/>
          </w:tcPr>
          <w:p>
            <w:pPr>
              <w:widowControl/>
              <w:spacing w:line="240" w:lineRule="auto"/>
              <w:ind w:firstLine="0" w:firstLineChars="0"/>
              <w:jc w:val="center"/>
              <w:rPr>
                <w:rFonts w:cs="Arial"/>
                <w:bCs/>
                <w:sz w:val="21"/>
                <w:szCs w:val="21"/>
              </w:rPr>
            </w:pPr>
            <w:r>
              <w:rPr>
                <w:rFonts w:hint="eastAsia" w:cs="Arial"/>
                <w:bCs/>
                <w:sz w:val="21"/>
                <w:szCs w:val="21"/>
              </w:rPr>
              <w:t>系统集成</w:t>
            </w:r>
          </w:p>
        </w:tc>
        <w:tc>
          <w:tcPr>
            <w:tcW w:w="567" w:type="dxa"/>
            <w:vAlign w:val="center"/>
          </w:tcPr>
          <w:p>
            <w:pPr>
              <w:widowControl/>
              <w:spacing w:line="240" w:lineRule="auto"/>
              <w:ind w:firstLine="0" w:firstLineChars="0"/>
              <w:jc w:val="center"/>
              <w:textAlignment w:val="center"/>
              <w:rPr>
                <w:color w:val="000000"/>
                <w:sz w:val="21"/>
                <w:szCs w:val="21"/>
              </w:rPr>
            </w:pPr>
            <w:r>
              <w:rPr>
                <w:rFonts w:hint="eastAsia"/>
                <w:color w:val="000000"/>
                <w:sz w:val="21"/>
                <w:szCs w:val="21"/>
              </w:rPr>
              <w:t>√</w:t>
            </w:r>
          </w:p>
        </w:tc>
        <w:tc>
          <w:tcPr>
            <w:tcW w:w="639" w:type="dxa"/>
            <w:vAlign w:val="center"/>
          </w:tcPr>
          <w:p>
            <w:pPr>
              <w:widowControl/>
              <w:spacing w:line="240" w:lineRule="auto"/>
              <w:ind w:firstLine="0" w:firstLineChars="0"/>
              <w:jc w:val="center"/>
              <w:rPr>
                <w:rFonts w:cs="Arial"/>
                <w:sz w:val="21"/>
                <w:szCs w:val="21"/>
              </w:rPr>
            </w:pPr>
          </w:p>
        </w:tc>
        <w:tc>
          <w:tcPr>
            <w:tcW w:w="637" w:type="dxa"/>
            <w:vAlign w:val="center"/>
          </w:tcPr>
          <w:p>
            <w:pPr>
              <w:widowControl/>
              <w:spacing w:line="240" w:lineRule="auto"/>
              <w:ind w:firstLine="0" w:firstLineChars="0"/>
              <w:jc w:val="center"/>
              <w:rPr>
                <w:rFonts w:cs="Arial"/>
                <w:sz w:val="21"/>
                <w:szCs w:val="21"/>
              </w:rPr>
            </w:pPr>
          </w:p>
        </w:tc>
        <w:tc>
          <w:tcPr>
            <w:tcW w:w="637" w:type="dxa"/>
            <w:vAlign w:val="center"/>
          </w:tcPr>
          <w:p>
            <w:pPr>
              <w:widowControl/>
              <w:spacing w:line="240" w:lineRule="auto"/>
              <w:ind w:firstLine="0" w:firstLineChars="0"/>
              <w:jc w:val="center"/>
              <w:textAlignment w:val="center"/>
              <w:rPr>
                <w:color w:val="000000"/>
                <w:sz w:val="21"/>
                <w:szCs w:val="21"/>
              </w:rPr>
            </w:pPr>
            <w:r>
              <w:rPr>
                <w:rFonts w:hint="eastAsia"/>
                <w:color w:val="000000"/>
                <w:sz w:val="21"/>
                <w:szCs w:val="21"/>
              </w:rPr>
              <w:t>√</w:t>
            </w:r>
          </w:p>
        </w:tc>
        <w:tc>
          <w:tcPr>
            <w:tcW w:w="637" w:type="dxa"/>
            <w:vAlign w:val="center"/>
          </w:tcPr>
          <w:p>
            <w:pPr>
              <w:widowControl/>
              <w:spacing w:line="240" w:lineRule="auto"/>
              <w:ind w:firstLine="0" w:firstLineChars="0"/>
              <w:jc w:val="center"/>
              <w:rPr>
                <w:color w:val="000000"/>
                <w:sz w:val="21"/>
                <w:szCs w:val="21"/>
              </w:rPr>
            </w:pPr>
            <w:r>
              <w:rPr>
                <w:rFonts w:hint="eastAsia"/>
                <w:color w:val="000000"/>
                <w:sz w:val="21"/>
                <w:szCs w:val="21"/>
              </w:rPr>
              <w:t>√</w:t>
            </w:r>
          </w:p>
        </w:tc>
        <w:tc>
          <w:tcPr>
            <w:tcW w:w="637" w:type="dxa"/>
            <w:vAlign w:val="center"/>
          </w:tcPr>
          <w:p>
            <w:pPr>
              <w:widowControl/>
              <w:spacing w:line="240" w:lineRule="auto"/>
              <w:ind w:firstLine="0" w:firstLineChars="0"/>
              <w:jc w:val="center"/>
              <w:rPr>
                <w:rFonts w:cs="Arial"/>
                <w:sz w:val="21"/>
                <w:szCs w:val="21"/>
              </w:rPr>
            </w:pPr>
          </w:p>
        </w:tc>
        <w:tc>
          <w:tcPr>
            <w:tcW w:w="637" w:type="dxa"/>
            <w:vAlign w:val="center"/>
          </w:tcPr>
          <w:p>
            <w:pPr>
              <w:widowControl/>
              <w:spacing w:line="240" w:lineRule="auto"/>
              <w:ind w:firstLine="0" w:firstLineChars="0"/>
              <w:jc w:val="center"/>
              <w:rPr>
                <w:rFonts w:cs="Arial"/>
                <w:sz w:val="21"/>
                <w:szCs w:val="21"/>
              </w:rPr>
            </w:pPr>
          </w:p>
        </w:tc>
        <w:tc>
          <w:tcPr>
            <w:tcW w:w="717" w:type="dxa"/>
            <w:vAlign w:val="center"/>
          </w:tcPr>
          <w:p>
            <w:pPr>
              <w:widowControl/>
              <w:spacing w:line="240" w:lineRule="auto"/>
              <w:ind w:firstLine="0" w:firstLineChars="0"/>
              <w:jc w:val="center"/>
              <w:rPr>
                <w:rFonts w:cs="Arial"/>
                <w:sz w:val="21"/>
                <w:szCs w:val="21"/>
              </w:rPr>
            </w:pPr>
          </w:p>
        </w:tc>
        <w:tc>
          <w:tcPr>
            <w:tcW w:w="876" w:type="dxa"/>
            <w:vAlign w:val="center"/>
          </w:tcPr>
          <w:p>
            <w:pPr>
              <w:widowControl/>
              <w:spacing w:line="240" w:lineRule="auto"/>
              <w:ind w:firstLine="0" w:firstLineChars="0"/>
              <w:jc w:val="center"/>
              <w:rPr>
                <w:rFonts w:cs="Arial"/>
                <w:sz w:val="21"/>
                <w:szCs w:val="21"/>
              </w:rPr>
            </w:pPr>
          </w:p>
        </w:tc>
        <w:tc>
          <w:tcPr>
            <w:tcW w:w="853" w:type="dxa"/>
            <w:vAlign w:val="center"/>
          </w:tcPr>
          <w:p>
            <w:pPr>
              <w:widowControl/>
              <w:spacing w:line="240" w:lineRule="auto"/>
              <w:ind w:firstLine="0" w:firstLineChars="0"/>
              <w:jc w:val="center"/>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91" w:type="dxa"/>
            <w:vMerge w:val="continue"/>
            <w:vAlign w:val="center"/>
          </w:tcPr>
          <w:p>
            <w:pPr>
              <w:widowControl/>
              <w:spacing w:line="240" w:lineRule="auto"/>
              <w:ind w:firstLine="0" w:firstLineChars="0"/>
              <w:jc w:val="center"/>
              <w:rPr>
                <w:rFonts w:cs="Arial"/>
                <w:b/>
                <w:bCs/>
                <w:sz w:val="21"/>
                <w:szCs w:val="21"/>
              </w:rPr>
            </w:pPr>
          </w:p>
        </w:tc>
        <w:tc>
          <w:tcPr>
            <w:tcW w:w="1134" w:type="dxa"/>
            <w:vAlign w:val="center"/>
          </w:tcPr>
          <w:p>
            <w:pPr>
              <w:widowControl/>
              <w:spacing w:line="240" w:lineRule="auto"/>
              <w:ind w:firstLine="0" w:firstLineChars="0"/>
              <w:jc w:val="center"/>
              <w:rPr>
                <w:rFonts w:hint="default" w:eastAsia="宋体" w:cs="Arial"/>
                <w:bCs/>
                <w:sz w:val="21"/>
                <w:szCs w:val="21"/>
                <w:lang w:val="en-US" w:eastAsia="zh-CN"/>
              </w:rPr>
            </w:pPr>
            <w:r>
              <w:rPr>
                <w:rFonts w:hint="eastAsia" w:cs="Arial"/>
                <w:bCs/>
                <w:sz w:val="21"/>
                <w:szCs w:val="21"/>
                <w:lang w:val="en-US" w:eastAsia="zh-CN"/>
              </w:rPr>
              <w:t>工程</w:t>
            </w:r>
            <w:r>
              <w:rPr>
                <w:rFonts w:hint="eastAsia" w:cs="Arial"/>
                <w:bCs/>
                <w:sz w:val="21"/>
                <w:szCs w:val="21"/>
              </w:rPr>
              <w:t>监理</w:t>
            </w:r>
          </w:p>
        </w:tc>
        <w:tc>
          <w:tcPr>
            <w:tcW w:w="567" w:type="dxa"/>
            <w:vAlign w:val="center"/>
          </w:tcPr>
          <w:p>
            <w:pPr>
              <w:widowControl/>
              <w:spacing w:line="240" w:lineRule="auto"/>
              <w:ind w:firstLine="0" w:firstLineChars="0"/>
              <w:jc w:val="center"/>
              <w:textAlignment w:val="center"/>
              <w:rPr>
                <w:color w:val="000000"/>
                <w:sz w:val="21"/>
                <w:szCs w:val="21"/>
              </w:rPr>
            </w:pPr>
            <w:r>
              <w:rPr>
                <w:rFonts w:hint="eastAsia"/>
                <w:color w:val="000000"/>
                <w:sz w:val="21"/>
                <w:szCs w:val="21"/>
              </w:rPr>
              <w:t>√</w:t>
            </w:r>
          </w:p>
        </w:tc>
        <w:tc>
          <w:tcPr>
            <w:tcW w:w="639" w:type="dxa"/>
            <w:vAlign w:val="center"/>
          </w:tcPr>
          <w:p>
            <w:pPr>
              <w:widowControl/>
              <w:spacing w:line="240" w:lineRule="auto"/>
              <w:ind w:firstLine="0" w:firstLineChars="0"/>
              <w:jc w:val="center"/>
              <w:rPr>
                <w:rFonts w:cs="Arial"/>
                <w:sz w:val="21"/>
                <w:szCs w:val="21"/>
              </w:rPr>
            </w:pPr>
          </w:p>
        </w:tc>
        <w:tc>
          <w:tcPr>
            <w:tcW w:w="637" w:type="dxa"/>
            <w:vAlign w:val="center"/>
          </w:tcPr>
          <w:p>
            <w:pPr>
              <w:widowControl/>
              <w:spacing w:line="240" w:lineRule="auto"/>
              <w:ind w:firstLine="0" w:firstLineChars="0"/>
              <w:jc w:val="center"/>
              <w:rPr>
                <w:rFonts w:cs="Arial"/>
                <w:sz w:val="21"/>
                <w:szCs w:val="21"/>
              </w:rPr>
            </w:pPr>
          </w:p>
        </w:tc>
        <w:tc>
          <w:tcPr>
            <w:tcW w:w="637" w:type="dxa"/>
            <w:vAlign w:val="center"/>
          </w:tcPr>
          <w:p>
            <w:pPr>
              <w:widowControl/>
              <w:spacing w:line="240" w:lineRule="auto"/>
              <w:ind w:firstLine="0" w:firstLineChars="0"/>
              <w:jc w:val="center"/>
              <w:textAlignment w:val="center"/>
              <w:rPr>
                <w:color w:val="000000"/>
                <w:sz w:val="21"/>
                <w:szCs w:val="21"/>
              </w:rPr>
            </w:pPr>
            <w:r>
              <w:rPr>
                <w:rFonts w:hint="eastAsia"/>
                <w:color w:val="000000"/>
                <w:sz w:val="21"/>
                <w:szCs w:val="21"/>
              </w:rPr>
              <w:t>√</w:t>
            </w:r>
          </w:p>
        </w:tc>
        <w:tc>
          <w:tcPr>
            <w:tcW w:w="637" w:type="dxa"/>
            <w:vAlign w:val="center"/>
          </w:tcPr>
          <w:p>
            <w:pPr>
              <w:widowControl/>
              <w:spacing w:line="240" w:lineRule="auto"/>
              <w:ind w:firstLine="0" w:firstLineChars="0"/>
              <w:jc w:val="center"/>
              <w:rPr>
                <w:color w:val="000000"/>
                <w:sz w:val="21"/>
                <w:szCs w:val="21"/>
              </w:rPr>
            </w:pPr>
            <w:r>
              <w:rPr>
                <w:rFonts w:hint="eastAsia"/>
                <w:color w:val="000000"/>
                <w:sz w:val="21"/>
                <w:szCs w:val="21"/>
              </w:rPr>
              <w:t>√</w:t>
            </w:r>
          </w:p>
        </w:tc>
        <w:tc>
          <w:tcPr>
            <w:tcW w:w="637" w:type="dxa"/>
            <w:vAlign w:val="center"/>
          </w:tcPr>
          <w:p>
            <w:pPr>
              <w:widowControl/>
              <w:spacing w:line="240" w:lineRule="auto"/>
              <w:ind w:firstLine="0" w:firstLineChars="0"/>
              <w:jc w:val="center"/>
              <w:rPr>
                <w:rFonts w:cs="Arial"/>
                <w:sz w:val="21"/>
                <w:szCs w:val="21"/>
              </w:rPr>
            </w:pPr>
          </w:p>
        </w:tc>
        <w:tc>
          <w:tcPr>
            <w:tcW w:w="637" w:type="dxa"/>
            <w:vAlign w:val="center"/>
          </w:tcPr>
          <w:p>
            <w:pPr>
              <w:widowControl/>
              <w:spacing w:line="240" w:lineRule="auto"/>
              <w:ind w:firstLine="0" w:firstLineChars="0"/>
              <w:jc w:val="center"/>
              <w:rPr>
                <w:rFonts w:cs="Arial"/>
                <w:sz w:val="21"/>
                <w:szCs w:val="21"/>
              </w:rPr>
            </w:pPr>
          </w:p>
        </w:tc>
        <w:tc>
          <w:tcPr>
            <w:tcW w:w="717" w:type="dxa"/>
            <w:vAlign w:val="center"/>
          </w:tcPr>
          <w:p>
            <w:pPr>
              <w:widowControl/>
              <w:spacing w:line="240" w:lineRule="auto"/>
              <w:ind w:firstLine="0" w:firstLineChars="0"/>
              <w:jc w:val="center"/>
              <w:rPr>
                <w:rFonts w:cs="Arial"/>
                <w:sz w:val="21"/>
                <w:szCs w:val="21"/>
              </w:rPr>
            </w:pPr>
          </w:p>
        </w:tc>
        <w:tc>
          <w:tcPr>
            <w:tcW w:w="876" w:type="dxa"/>
            <w:vAlign w:val="center"/>
          </w:tcPr>
          <w:p>
            <w:pPr>
              <w:widowControl/>
              <w:spacing w:line="240" w:lineRule="auto"/>
              <w:ind w:firstLine="0" w:firstLineChars="0"/>
              <w:jc w:val="center"/>
              <w:rPr>
                <w:rFonts w:cs="Arial"/>
                <w:sz w:val="21"/>
                <w:szCs w:val="21"/>
              </w:rPr>
            </w:pPr>
          </w:p>
        </w:tc>
        <w:tc>
          <w:tcPr>
            <w:tcW w:w="853" w:type="dxa"/>
            <w:vAlign w:val="center"/>
          </w:tcPr>
          <w:p>
            <w:pPr>
              <w:widowControl/>
              <w:spacing w:line="240" w:lineRule="auto"/>
              <w:ind w:firstLine="0" w:firstLineChars="0"/>
              <w:jc w:val="center"/>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91" w:type="dxa"/>
            <w:vMerge w:val="continue"/>
            <w:vAlign w:val="center"/>
          </w:tcPr>
          <w:p>
            <w:pPr>
              <w:widowControl/>
              <w:spacing w:line="240" w:lineRule="auto"/>
              <w:ind w:firstLine="0" w:firstLineChars="0"/>
              <w:jc w:val="center"/>
              <w:rPr>
                <w:rFonts w:cs="Arial"/>
                <w:b/>
                <w:bCs/>
                <w:sz w:val="21"/>
                <w:szCs w:val="21"/>
              </w:rPr>
            </w:pPr>
          </w:p>
        </w:tc>
        <w:tc>
          <w:tcPr>
            <w:tcW w:w="1134" w:type="dxa"/>
            <w:vAlign w:val="center"/>
          </w:tcPr>
          <w:p>
            <w:pPr>
              <w:widowControl/>
              <w:spacing w:line="240" w:lineRule="auto"/>
              <w:ind w:firstLine="0" w:firstLineChars="0"/>
              <w:jc w:val="center"/>
              <w:rPr>
                <w:rFonts w:hint="default" w:eastAsia="宋体" w:cs="Arial"/>
                <w:bCs/>
                <w:sz w:val="21"/>
                <w:szCs w:val="21"/>
                <w:lang w:val="en-US" w:eastAsia="zh-CN"/>
              </w:rPr>
            </w:pPr>
            <w:r>
              <w:rPr>
                <w:rFonts w:hint="eastAsia" w:cs="Arial"/>
                <w:bCs/>
                <w:sz w:val="21"/>
                <w:szCs w:val="21"/>
                <w:lang w:val="en-US" w:eastAsia="zh-CN"/>
              </w:rPr>
              <w:t>项目设计</w:t>
            </w:r>
          </w:p>
        </w:tc>
        <w:tc>
          <w:tcPr>
            <w:tcW w:w="567" w:type="dxa"/>
            <w:vAlign w:val="center"/>
          </w:tcPr>
          <w:p>
            <w:pPr>
              <w:widowControl/>
              <w:spacing w:line="240" w:lineRule="auto"/>
              <w:ind w:firstLine="0" w:firstLineChars="0"/>
              <w:jc w:val="center"/>
              <w:textAlignment w:val="center"/>
              <w:rPr>
                <w:color w:val="000000"/>
                <w:sz w:val="21"/>
                <w:szCs w:val="21"/>
              </w:rPr>
            </w:pPr>
            <w:r>
              <w:rPr>
                <w:rFonts w:hint="eastAsia"/>
                <w:color w:val="000000"/>
                <w:sz w:val="21"/>
                <w:szCs w:val="21"/>
              </w:rPr>
              <w:t>√</w:t>
            </w:r>
          </w:p>
        </w:tc>
        <w:tc>
          <w:tcPr>
            <w:tcW w:w="639" w:type="dxa"/>
            <w:vAlign w:val="center"/>
          </w:tcPr>
          <w:p>
            <w:pPr>
              <w:widowControl/>
              <w:spacing w:line="240" w:lineRule="auto"/>
              <w:ind w:firstLine="0" w:firstLineChars="0"/>
              <w:jc w:val="center"/>
              <w:rPr>
                <w:rFonts w:cs="Arial"/>
                <w:sz w:val="21"/>
                <w:szCs w:val="21"/>
              </w:rPr>
            </w:pPr>
          </w:p>
        </w:tc>
        <w:tc>
          <w:tcPr>
            <w:tcW w:w="637" w:type="dxa"/>
            <w:vAlign w:val="center"/>
          </w:tcPr>
          <w:p>
            <w:pPr>
              <w:widowControl/>
              <w:spacing w:line="240" w:lineRule="auto"/>
              <w:ind w:firstLine="0" w:firstLineChars="0"/>
              <w:jc w:val="center"/>
              <w:rPr>
                <w:rFonts w:cs="Arial"/>
                <w:sz w:val="21"/>
                <w:szCs w:val="21"/>
              </w:rPr>
            </w:pPr>
          </w:p>
        </w:tc>
        <w:tc>
          <w:tcPr>
            <w:tcW w:w="637" w:type="dxa"/>
            <w:vAlign w:val="center"/>
          </w:tcPr>
          <w:p>
            <w:pPr>
              <w:widowControl/>
              <w:spacing w:line="240" w:lineRule="auto"/>
              <w:ind w:firstLine="0" w:firstLineChars="0"/>
              <w:jc w:val="center"/>
              <w:textAlignment w:val="center"/>
              <w:rPr>
                <w:color w:val="000000"/>
                <w:sz w:val="21"/>
                <w:szCs w:val="21"/>
              </w:rPr>
            </w:pPr>
            <w:r>
              <w:rPr>
                <w:rFonts w:hint="eastAsia"/>
                <w:color w:val="000000"/>
                <w:sz w:val="21"/>
                <w:szCs w:val="21"/>
              </w:rPr>
              <w:t>√</w:t>
            </w:r>
          </w:p>
        </w:tc>
        <w:tc>
          <w:tcPr>
            <w:tcW w:w="637" w:type="dxa"/>
            <w:vAlign w:val="center"/>
          </w:tcPr>
          <w:p>
            <w:pPr>
              <w:widowControl/>
              <w:spacing w:line="240" w:lineRule="auto"/>
              <w:ind w:firstLine="0" w:firstLineChars="0"/>
              <w:jc w:val="center"/>
              <w:rPr>
                <w:color w:val="000000"/>
                <w:sz w:val="21"/>
                <w:szCs w:val="21"/>
              </w:rPr>
            </w:pPr>
            <w:r>
              <w:rPr>
                <w:rFonts w:hint="eastAsia"/>
                <w:color w:val="000000"/>
                <w:sz w:val="21"/>
                <w:szCs w:val="21"/>
              </w:rPr>
              <w:t>√</w:t>
            </w:r>
          </w:p>
        </w:tc>
        <w:tc>
          <w:tcPr>
            <w:tcW w:w="637" w:type="dxa"/>
            <w:vAlign w:val="center"/>
          </w:tcPr>
          <w:p>
            <w:pPr>
              <w:widowControl/>
              <w:spacing w:line="240" w:lineRule="auto"/>
              <w:ind w:firstLine="0" w:firstLineChars="0"/>
              <w:jc w:val="center"/>
              <w:rPr>
                <w:rFonts w:cs="Arial"/>
                <w:sz w:val="21"/>
                <w:szCs w:val="21"/>
              </w:rPr>
            </w:pPr>
          </w:p>
        </w:tc>
        <w:tc>
          <w:tcPr>
            <w:tcW w:w="637" w:type="dxa"/>
            <w:vAlign w:val="center"/>
          </w:tcPr>
          <w:p>
            <w:pPr>
              <w:widowControl/>
              <w:spacing w:line="240" w:lineRule="auto"/>
              <w:ind w:firstLine="0" w:firstLineChars="0"/>
              <w:jc w:val="center"/>
              <w:rPr>
                <w:rFonts w:cs="Arial"/>
                <w:sz w:val="21"/>
                <w:szCs w:val="21"/>
              </w:rPr>
            </w:pPr>
          </w:p>
        </w:tc>
        <w:tc>
          <w:tcPr>
            <w:tcW w:w="717" w:type="dxa"/>
            <w:vAlign w:val="center"/>
          </w:tcPr>
          <w:p>
            <w:pPr>
              <w:widowControl/>
              <w:spacing w:line="240" w:lineRule="auto"/>
              <w:ind w:firstLine="0" w:firstLineChars="0"/>
              <w:jc w:val="center"/>
              <w:rPr>
                <w:rFonts w:cs="Arial"/>
                <w:sz w:val="21"/>
                <w:szCs w:val="21"/>
              </w:rPr>
            </w:pPr>
          </w:p>
        </w:tc>
        <w:tc>
          <w:tcPr>
            <w:tcW w:w="876" w:type="dxa"/>
            <w:vAlign w:val="center"/>
          </w:tcPr>
          <w:p>
            <w:pPr>
              <w:widowControl/>
              <w:spacing w:line="240" w:lineRule="auto"/>
              <w:ind w:firstLine="0" w:firstLineChars="0"/>
              <w:jc w:val="center"/>
              <w:rPr>
                <w:rFonts w:cs="Arial"/>
                <w:sz w:val="21"/>
                <w:szCs w:val="21"/>
              </w:rPr>
            </w:pPr>
          </w:p>
        </w:tc>
        <w:tc>
          <w:tcPr>
            <w:tcW w:w="853" w:type="dxa"/>
            <w:vAlign w:val="center"/>
          </w:tcPr>
          <w:p>
            <w:pPr>
              <w:widowControl/>
              <w:spacing w:line="240" w:lineRule="auto"/>
              <w:ind w:firstLine="0" w:firstLineChars="0"/>
              <w:jc w:val="center"/>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91" w:type="dxa"/>
            <w:vAlign w:val="center"/>
          </w:tcPr>
          <w:p>
            <w:pPr>
              <w:widowControl/>
              <w:spacing w:line="240" w:lineRule="auto"/>
              <w:ind w:firstLine="0" w:firstLineChars="0"/>
              <w:jc w:val="center"/>
              <w:rPr>
                <w:rFonts w:cs="Arial"/>
                <w:b/>
                <w:bCs/>
                <w:sz w:val="21"/>
                <w:szCs w:val="21"/>
              </w:rPr>
            </w:pPr>
          </w:p>
        </w:tc>
        <w:tc>
          <w:tcPr>
            <w:tcW w:w="1134" w:type="dxa"/>
            <w:vAlign w:val="center"/>
          </w:tcPr>
          <w:p>
            <w:pPr>
              <w:widowControl/>
              <w:spacing w:line="240" w:lineRule="auto"/>
              <w:ind w:firstLine="0" w:firstLineChars="0"/>
              <w:jc w:val="center"/>
              <w:rPr>
                <w:rFonts w:hint="default" w:cs="Arial"/>
                <w:bCs/>
                <w:sz w:val="21"/>
                <w:szCs w:val="21"/>
                <w:lang w:val="en-US" w:eastAsia="zh-CN"/>
              </w:rPr>
            </w:pPr>
            <w:r>
              <w:rPr>
                <w:rFonts w:hint="eastAsia" w:cs="Arial"/>
                <w:bCs/>
                <w:sz w:val="21"/>
                <w:szCs w:val="21"/>
                <w:lang w:val="en-US" w:eastAsia="zh-CN"/>
              </w:rPr>
              <w:t>项目审计</w:t>
            </w:r>
          </w:p>
        </w:tc>
        <w:tc>
          <w:tcPr>
            <w:tcW w:w="567" w:type="dxa"/>
            <w:vAlign w:val="center"/>
          </w:tcPr>
          <w:p>
            <w:pPr>
              <w:widowControl/>
              <w:spacing w:line="240" w:lineRule="auto"/>
              <w:ind w:firstLine="0" w:firstLineChars="0"/>
              <w:jc w:val="center"/>
              <w:textAlignment w:val="center"/>
              <w:rPr>
                <w:rFonts w:hint="eastAsia"/>
                <w:color w:val="000000"/>
                <w:sz w:val="21"/>
                <w:szCs w:val="21"/>
              </w:rPr>
            </w:pPr>
            <w:r>
              <w:rPr>
                <w:rFonts w:hint="eastAsia"/>
                <w:color w:val="000000"/>
                <w:sz w:val="21"/>
                <w:szCs w:val="21"/>
              </w:rPr>
              <w:t>√</w:t>
            </w:r>
          </w:p>
        </w:tc>
        <w:tc>
          <w:tcPr>
            <w:tcW w:w="639" w:type="dxa"/>
            <w:vAlign w:val="center"/>
          </w:tcPr>
          <w:p>
            <w:pPr>
              <w:widowControl/>
              <w:spacing w:line="240" w:lineRule="auto"/>
              <w:ind w:firstLine="0" w:firstLineChars="0"/>
              <w:jc w:val="center"/>
              <w:rPr>
                <w:rFonts w:cs="Arial"/>
                <w:sz w:val="21"/>
                <w:szCs w:val="21"/>
              </w:rPr>
            </w:pPr>
          </w:p>
        </w:tc>
        <w:tc>
          <w:tcPr>
            <w:tcW w:w="637" w:type="dxa"/>
            <w:vAlign w:val="center"/>
          </w:tcPr>
          <w:p>
            <w:pPr>
              <w:widowControl/>
              <w:spacing w:line="240" w:lineRule="auto"/>
              <w:ind w:firstLine="0" w:firstLineChars="0"/>
              <w:jc w:val="center"/>
              <w:rPr>
                <w:rFonts w:cs="Arial"/>
                <w:sz w:val="21"/>
                <w:szCs w:val="21"/>
              </w:rPr>
            </w:pPr>
          </w:p>
        </w:tc>
        <w:tc>
          <w:tcPr>
            <w:tcW w:w="637" w:type="dxa"/>
            <w:vAlign w:val="center"/>
          </w:tcPr>
          <w:p>
            <w:pPr>
              <w:widowControl/>
              <w:spacing w:line="240" w:lineRule="auto"/>
              <w:ind w:firstLine="0" w:firstLineChars="0"/>
              <w:jc w:val="center"/>
              <w:textAlignment w:val="center"/>
              <w:rPr>
                <w:rFonts w:hint="eastAsia" w:ascii="宋体" w:hAnsi="宋体" w:eastAsia="宋体" w:cs="宋体"/>
                <w:color w:val="000000"/>
                <w:kern w:val="2"/>
                <w:sz w:val="21"/>
                <w:szCs w:val="21"/>
                <w:lang w:val="en-US" w:eastAsia="zh-CN" w:bidi="ar-SA"/>
              </w:rPr>
            </w:pPr>
            <w:r>
              <w:rPr>
                <w:rFonts w:hint="eastAsia"/>
                <w:color w:val="000000"/>
                <w:sz w:val="21"/>
                <w:szCs w:val="21"/>
              </w:rPr>
              <w:t>√</w:t>
            </w:r>
          </w:p>
        </w:tc>
        <w:tc>
          <w:tcPr>
            <w:tcW w:w="637" w:type="dxa"/>
            <w:vAlign w:val="center"/>
          </w:tcPr>
          <w:p>
            <w:pPr>
              <w:widowControl/>
              <w:spacing w:line="240" w:lineRule="auto"/>
              <w:ind w:firstLine="0" w:firstLineChars="0"/>
              <w:jc w:val="center"/>
              <w:rPr>
                <w:rFonts w:hint="eastAsia" w:ascii="宋体" w:hAnsi="宋体" w:eastAsia="宋体" w:cs="宋体"/>
                <w:color w:val="000000"/>
                <w:kern w:val="2"/>
                <w:sz w:val="21"/>
                <w:szCs w:val="21"/>
                <w:lang w:val="en-US" w:eastAsia="zh-CN" w:bidi="ar-SA"/>
              </w:rPr>
            </w:pPr>
            <w:r>
              <w:rPr>
                <w:rFonts w:hint="eastAsia"/>
                <w:color w:val="000000"/>
                <w:sz w:val="21"/>
                <w:szCs w:val="21"/>
              </w:rPr>
              <w:t>√</w:t>
            </w:r>
          </w:p>
        </w:tc>
        <w:tc>
          <w:tcPr>
            <w:tcW w:w="637" w:type="dxa"/>
            <w:vAlign w:val="center"/>
          </w:tcPr>
          <w:p>
            <w:pPr>
              <w:widowControl/>
              <w:spacing w:line="240" w:lineRule="auto"/>
              <w:ind w:firstLine="0" w:firstLineChars="0"/>
              <w:jc w:val="center"/>
              <w:rPr>
                <w:rFonts w:cs="Arial"/>
                <w:sz w:val="21"/>
                <w:szCs w:val="21"/>
              </w:rPr>
            </w:pPr>
          </w:p>
        </w:tc>
        <w:tc>
          <w:tcPr>
            <w:tcW w:w="637" w:type="dxa"/>
            <w:vAlign w:val="center"/>
          </w:tcPr>
          <w:p>
            <w:pPr>
              <w:widowControl/>
              <w:spacing w:line="240" w:lineRule="auto"/>
              <w:ind w:firstLine="0" w:firstLineChars="0"/>
              <w:jc w:val="center"/>
              <w:rPr>
                <w:rFonts w:cs="Arial"/>
                <w:sz w:val="21"/>
                <w:szCs w:val="21"/>
              </w:rPr>
            </w:pPr>
          </w:p>
        </w:tc>
        <w:tc>
          <w:tcPr>
            <w:tcW w:w="717" w:type="dxa"/>
            <w:vAlign w:val="center"/>
          </w:tcPr>
          <w:p>
            <w:pPr>
              <w:widowControl/>
              <w:spacing w:line="240" w:lineRule="auto"/>
              <w:ind w:firstLine="0" w:firstLineChars="0"/>
              <w:jc w:val="center"/>
              <w:rPr>
                <w:rFonts w:cs="Arial"/>
                <w:sz w:val="21"/>
                <w:szCs w:val="21"/>
              </w:rPr>
            </w:pPr>
          </w:p>
        </w:tc>
        <w:tc>
          <w:tcPr>
            <w:tcW w:w="876" w:type="dxa"/>
            <w:vAlign w:val="center"/>
          </w:tcPr>
          <w:p>
            <w:pPr>
              <w:widowControl/>
              <w:spacing w:line="240" w:lineRule="auto"/>
              <w:ind w:firstLine="0" w:firstLineChars="0"/>
              <w:jc w:val="center"/>
              <w:rPr>
                <w:rFonts w:cs="Arial"/>
                <w:sz w:val="21"/>
                <w:szCs w:val="21"/>
              </w:rPr>
            </w:pPr>
          </w:p>
        </w:tc>
        <w:tc>
          <w:tcPr>
            <w:tcW w:w="853" w:type="dxa"/>
            <w:vAlign w:val="center"/>
          </w:tcPr>
          <w:p>
            <w:pPr>
              <w:widowControl/>
              <w:spacing w:line="240" w:lineRule="auto"/>
              <w:ind w:firstLine="0" w:firstLineChars="0"/>
              <w:jc w:val="center"/>
              <w:rPr>
                <w:rFonts w:cs="Arial"/>
                <w:sz w:val="21"/>
                <w:szCs w:val="21"/>
              </w:rPr>
            </w:pPr>
          </w:p>
        </w:tc>
      </w:tr>
    </w:tbl>
    <w:p>
      <w:pPr>
        <w:pStyle w:val="6"/>
        <w:keepNext w:val="0"/>
        <w:rPr>
          <w:rFonts w:hint="eastAsia" w:cs="Times New Roman"/>
          <w:color w:val="auto"/>
        </w:rPr>
      </w:pPr>
      <w:bookmarkStart w:id="361" w:name="_Toc28250"/>
      <w:r>
        <w:rPr>
          <w:rFonts w:hint="eastAsia" w:cs="Times New Roman"/>
          <w:color w:val="auto"/>
          <w:lang w:val="en-US" w:eastAsia="zh-CN"/>
        </w:rPr>
        <w:t>招标组织形式</w:t>
      </w:r>
      <w:bookmarkEnd w:id="361"/>
    </w:p>
    <w:p>
      <w:pPr>
        <w:bidi w:val="0"/>
        <w:rPr>
          <w:rFonts w:hint="eastAsia"/>
        </w:rPr>
      </w:pPr>
      <w:r>
        <w:rPr>
          <w:rFonts w:hint="eastAsia"/>
          <w:lang w:eastAsia="zh-CN"/>
        </w:rPr>
        <w:t>根据相关规定，项目建设单位应委托具有相应资质的招标代理服务商负责组织工程的招标工作。</w:t>
      </w:r>
    </w:p>
    <w:bookmarkEnd w:id="357"/>
    <w:bookmarkEnd w:id="358"/>
    <w:p>
      <w:pPr>
        <w:pStyle w:val="5"/>
        <w:spacing w:before="156" w:after="156"/>
        <w:rPr>
          <w:rFonts w:hint="default"/>
          <w:color w:val="auto"/>
          <w:lang w:val="en-GB"/>
        </w:rPr>
      </w:pPr>
      <w:bookmarkStart w:id="362" w:name="_Toc12505"/>
      <w:bookmarkStart w:id="363" w:name="_Toc8594"/>
      <w:bookmarkStart w:id="364" w:name="_Toc20669"/>
      <w:r>
        <w:rPr>
          <w:color w:val="auto"/>
          <w:lang w:val="en-GB"/>
        </w:rPr>
        <w:t>项目实施进度</w:t>
      </w:r>
      <w:bookmarkEnd w:id="362"/>
    </w:p>
    <w:p>
      <w:pPr>
        <w:pStyle w:val="6"/>
        <w:rPr>
          <w:rFonts w:hint="default"/>
          <w:color w:val="auto"/>
          <w:lang w:val="en-GB"/>
        </w:rPr>
      </w:pPr>
      <w:bookmarkStart w:id="365" w:name="_Toc26564"/>
      <w:bookmarkStart w:id="366" w:name="_Toc17080"/>
      <w:r>
        <w:rPr>
          <w:color w:val="auto"/>
          <w:lang w:val="en-GB"/>
        </w:rPr>
        <w:t>项目建设期</w:t>
      </w:r>
      <w:bookmarkEnd w:id="365"/>
      <w:bookmarkEnd w:id="366"/>
    </w:p>
    <w:p>
      <w:pPr>
        <w:bidi w:val="0"/>
        <w:rPr>
          <w:rFonts w:hint="eastAsia"/>
        </w:rPr>
      </w:pPr>
      <w:r>
        <w:rPr>
          <w:rFonts w:hint="eastAsia"/>
        </w:rPr>
        <w:t>综合考虑丰都县镇街移民安置区综合应急能力提升项目的实际建设情况、业务需求、项目管理能力和项目风险控制等各种因素，从项目咨询招标结束开始计算，项目建设周期预计为</w:t>
      </w:r>
      <w:r>
        <w:rPr>
          <w:rFonts w:hint="eastAsia"/>
          <w:lang w:val="en-US" w:eastAsia="zh-CN"/>
        </w:rPr>
        <w:t>9</w:t>
      </w:r>
      <w:r>
        <w:rPr>
          <w:rFonts w:hint="eastAsia"/>
        </w:rPr>
        <w:t>个月。</w:t>
      </w:r>
    </w:p>
    <w:p>
      <w:pPr>
        <w:pStyle w:val="6"/>
        <w:bidi w:val="0"/>
        <w:rPr>
          <w:rFonts w:hint="default"/>
          <w:lang w:val="en-GB"/>
        </w:rPr>
      </w:pPr>
      <w:bookmarkStart w:id="367" w:name="_Toc7352"/>
      <w:bookmarkStart w:id="368" w:name="_Toc16471"/>
      <w:bookmarkStart w:id="369" w:name="_Toc882"/>
      <w:r>
        <w:rPr>
          <w:lang w:val="en-GB"/>
        </w:rPr>
        <w:t>实施进度计划</w:t>
      </w:r>
      <w:bookmarkEnd w:id="367"/>
      <w:bookmarkEnd w:id="368"/>
      <w:bookmarkEnd w:id="369"/>
    </w:p>
    <w:p>
      <w:pPr>
        <w:ind w:firstLine="480"/>
      </w:pPr>
      <w:r>
        <w:rPr>
          <w:rFonts w:hint="eastAsia"/>
        </w:rPr>
        <w:t>本项目按照项目准备期、项目招标期、项目实施期、项目验收期进行规划。</w:t>
      </w:r>
    </w:p>
    <w:p>
      <w:pPr>
        <w:ind w:firstLine="480"/>
      </w:pPr>
      <w:r>
        <w:rPr>
          <w:rFonts w:hint="eastAsia"/>
        </w:rPr>
        <w:t>本项目建设周期从202</w:t>
      </w:r>
      <w:r>
        <w:rPr>
          <w:rFonts w:hint="eastAsia"/>
          <w:lang w:val="en-US" w:eastAsia="zh-CN"/>
        </w:rPr>
        <w:t>3</w:t>
      </w:r>
      <w:r>
        <w:rPr>
          <w:rFonts w:hint="eastAsia"/>
        </w:rPr>
        <w:t>年</w:t>
      </w:r>
      <w:r>
        <w:rPr>
          <w:rFonts w:hint="eastAsia"/>
          <w:lang w:val="en-US" w:eastAsia="zh-CN"/>
        </w:rPr>
        <w:t>3</w:t>
      </w:r>
      <w:r>
        <w:rPr>
          <w:rFonts w:hint="eastAsia"/>
        </w:rPr>
        <w:t>月开始，计划202</w:t>
      </w:r>
      <w:r>
        <w:rPr>
          <w:rFonts w:hint="eastAsia"/>
          <w:lang w:val="en-US" w:eastAsia="zh-CN"/>
        </w:rPr>
        <w:t>3</w:t>
      </w:r>
      <w:r>
        <w:rPr>
          <w:rFonts w:hint="eastAsia"/>
        </w:rPr>
        <w:t>年</w:t>
      </w:r>
      <w:r>
        <w:rPr>
          <w:rFonts w:hint="eastAsia"/>
          <w:lang w:val="en-US" w:eastAsia="zh-CN"/>
        </w:rPr>
        <w:t>11</w:t>
      </w:r>
      <w:r>
        <w:rPr>
          <w:rFonts w:hint="eastAsia"/>
        </w:rPr>
        <w:t>月完成，项目建设周期为</w:t>
      </w:r>
      <w:r>
        <w:rPr>
          <w:rFonts w:hint="eastAsia"/>
          <w:lang w:val="en-US" w:eastAsia="zh-CN"/>
        </w:rPr>
        <w:t>9</w:t>
      </w:r>
      <w:r>
        <w:rPr>
          <w:rFonts w:hint="eastAsia"/>
        </w:rPr>
        <w:t>个月。</w:t>
      </w:r>
    </w:p>
    <w:p>
      <w:pPr>
        <w:ind w:firstLine="480"/>
      </w:pPr>
      <w:r>
        <w:rPr>
          <w:rFonts w:hint="eastAsia"/>
        </w:rPr>
        <w:t>(1)项目准备期(202</w:t>
      </w:r>
      <w:r>
        <w:rPr>
          <w:rFonts w:hint="eastAsia"/>
          <w:lang w:val="en-US" w:eastAsia="zh-CN"/>
        </w:rPr>
        <w:t>3</w:t>
      </w:r>
      <w:r>
        <w:rPr>
          <w:rFonts w:hint="eastAsia"/>
        </w:rPr>
        <w:t>年</w:t>
      </w:r>
      <w:r>
        <w:rPr>
          <w:rFonts w:hint="eastAsia"/>
          <w:lang w:val="en-US" w:eastAsia="zh-CN"/>
        </w:rPr>
        <w:t>3</w:t>
      </w:r>
      <w:r>
        <w:rPr>
          <w:rFonts w:hint="eastAsia"/>
        </w:rPr>
        <w:t>月</w:t>
      </w:r>
      <w:r>
        <w:rPr>
          <w:rFonts w:hint="eastAsia"/>
          <w:lang w:val="en-US" w:eastAsia="zh-CN"/>
        </w:rPr>
        <w:t>-5月</w:t>
      </w:r>
      <w:r>
        <w:rPr>
          <w:rFonts w:hint="eastAsia"/>
        </w:rPr>
        <w:t>)，完成项目调研，编制项目调研报告，编制设计文件、预算。</w:t>
      </w:r>
    </w:p>
    <w:p>
      <w:pPr>
        <w:ind w:firstLine="480"/>
      </w:pPr>
      <w:r>
        <w:rPr>
          <w:rFonts w:hint="eastAsia"/>
        </w:rPr>
        <w:t>(2)项目招标期（202</w:t>
      </w:r>
      <w:r>
        <w:rPr>
          <w:rFonts w:hint="eastAsia"/>
          <w:lang w:val="en-US" w:eastAsia="zh-CN"/>
        </w:rPr>
        <w:t>3</w:t>
      </w:r>
      <w:r>
        <w:rPr>
          <w:rFonts w:hint="eastAsia"/>
        </w:rPr>
        <w:t>年</w:t>
      </w:r>
      <w:r>
        <w:rPr>
          <w:rFonts w:hint="eastAsia"/>
          <w:lang w:val="en-US" w:eastAsia="zh-CN"/>
        </w:rPr>
        <w:t>6</w:t>
      </w:r>
      <w:r>
        <w:rPr>
          <w:rFonts w:hint="eastAsia"/>
        </w:rPr>
        <w:t>月）：完成评审工作</w:t>
      </w:r>
      <w:r>
        <w:rPr>
          <w:rFonts w:hint="eastAsia"/>
          <w:lang w:eastAsia="zh-CN"/>
        </w:rPr>
        <w:t>、</w:t>
      </w:r>
      <w:r>
        <w:rPr>
          <w:rFonts w:hint="eastAsia"/>
        </w:rPr>
        <w:t>完成项目招标。</w:t>
      </w:r>
    </w:p>
    <w:p>
      <w:pPr>
        <w:ind w:firstLine="480"/>
      </w:pPr>
      <w:r>
        <w:rPr>
          <w:rFonts w:hint="eastAsia"/>
        </w:rPr>
        <w:t>(3)项目实施期(202</w:t>
      </w:r>
      <w:r>
        <w:rPr>
          <w:rFonts w:hint="eastAsia"/>
          <w:lang w:val="en-US" w:eastAsia="zh-CN"/>
        </w:rPr>
        <w:t>3</w:t>
      </w:r>
      <w:r>
        <w:rPr>
          <w:rFonts w:hint="eastAsia"/>
        </w:rPr>
        <w:t>年</w:t>
      </w:r>
      <w:r>
        <w:rPr>
          <w:rFonts w:hint="eastAsia"/>
          <w:lang w:val="en-US" w:eastAsia="zh-CN"/>
        </w:rPr>
        <w:t>7</w:t>
      </w:r>
      <w:r>
        <w:rPr>
          <w:rFonts w:hint="eastAsia"/>
        </w:rPr>
        <w:t>月-202</w:t>
      </w:r>
      <w:r>
        <w:rPr>
          <w:rFonts w:hint="eastAsia"/>
          <w:lang w:val="en-US" w:eastAsia="zh-CN"/>
        </w:rPr>
        <w:t>3</w:t>
      </w:r>
      <w:r>
        <w:rPr>
          <w:rFonts w:hint="eastAsia"/>
        </w:rPr>
        <w:t>年</w:t>
      </w:r>
      <w:r>
        <w:rPr>
          <w:rFonts w:hint="eastAsia"/>
          <w:lang w:val="en-US" w:eastAsia="zh-CN"/>
        </w:rPr>
        <w:t>10</w:t>
      </w:r>
      <w:r>
        <w:rPr>
          <w:rFonts w:hint="eastAsia"/>
        </w:rPr>
        <w:t>月)，完成产品设计、开发测试、设备部署等项目实施。</w:t>
      </w:r>
    </w:p>
    <w:p>
      <w:pPr>
        <w:keepNext w:val="0"/>
        <w:keepLines w:val="0"/>
        <w:pageBreakBefore w:val="0"/>
        <w:widowControl w:val="0"/>
        <w:numPr>
          <w:ilvl w:val="0"/>
          <w:numId w:val="0"/>
        </w:numPr>
        <w:kinsoku/>
        <w:wordWrap/>
        <w:overflowPunct/>
        <w:topLinePunct w:val="0"/>
        <w:autoSpaceDE/>
        <w:autoSpaceDN/>
        <w:bidi w:val="0"/>
        <w:adjustRightInd/>
        <w:snapToGrid w:val="0"/>
        <w:ind w:leftChars="200"/>
        <w:textAlignment w:val="auto"/>
        <w:rPr>
          <w:rFonts w:hint="eastAsia"/>
        </w:rPr>
      </w:pPr>
      <w:r>
        <w:rPr>
          <w:rFonts w:hint="eastAsia"/>
        </w:rPr>
        <w:t>(4)项目验收期(202</w:t>
      </w:r>
      <w:r>
        <w:rPr>
          <w:rFonts w:hint="eastAsia"/>
          <w:lang w:val="en-US" w:eastAsia="zh-CN"/>
        </w:rPr>
        <w:t>3</w:t>
      </w:r>
      <w:r>
        <w:rPr>
          <w:rFonts w:hint="eastAsia"/>
        </w:rPr>
        <w:t>年</w:t>
      </w:r>
      <w:r>
        <w:rPr>
          <w:rFonts w:hint="eastAsia"/>
          <w:lang w:val="en-US" w:eastAsia="zh-CN"/>
        </w:rPr>
        <w:t>11</w:t>
      </w:r>
      <w:r>
        <w:rPr>
          <w:rFonts w:hint="eastAsia"/>
        </w:rPr>
        <w:t>月)，项目试运行，系统优化调整，完成项目测评，委托专业的咨询机构对本工程进行竣工验收。</w:t>
      </w:r>
    </w:p>
    <w:p>
      <w:pPr>
        <w:pStyle w:val="5"/>
        <w:rPr>
          <w:rFonts w:hint="default"/>
          <w:color w:val="auto"/>
          <w:lang w:val="en-GB"/>
        </w:rPr>
      </w:pPr>
      <w:bookmarkStart w:id="370" w:name="_Toc5874"/>
      <w:r>
        <w:rPr>
          <w:color w:val="auto"/>
          <w:lang w:val="en-GB"/>
        </w:rPr>
        <w:t>项目进度、质量、资金管理</w:t>
      </w:r>
      <w:bookmarkEnd w:id="363"/>
      <w:bookmarkEnd w:id="364"/>
      <w:bookmarkEnd w:id="370"/>
    </w:p>
    <w:p>
      <w:pPr>
        <w:pStyle w:val="6"/>
        <w:keepNext w:val="0"/>
        <w:rPr>
          <w:rFonts w:hint="eastAsia" w:cs="Times New Roman"/>
          <w:color w:val="auto"/>
          <w:lang w:val="en-US" w:eastAsia="zh-CN"/>
        </w:rPr>
      </w:pPr>
      <w:bookmarkStart w:id="371" w:name="_Toc29020"/>
      <w:r>
        <w:rPr>
          <w:rFonts w:hint="eastAsia" w:cs="Times New Roman"/>
          <w:color w:val="auto"/>
          <w:lang w:val="en-US" w:eastAsia="zh-CN"/>
        </w:rPr>
        <w:t>进度管理</w:t>
      </w:r>
      <w:bookmarkEnd w:id="371"/>
    </w:p>
    <w:p>
      <w:pPr>
        <w:bidi w:val="0"/>
        <w:rPr>
          <w:rFonts w:hint="eastAsia"/>
          <w:lang w:eastAsia="zh-CN"/>
        </w:rPr>
      </w:pPr>
      <w:r>
        <w:rPr>
          <w:rFonts w:hint="eastAsia"/>
          <w:lang w:eastAsia="zh-CN"/>
        </w:rPr>
        <w:t>为确保工程建设按目标计划顺利完成，特制定项目进度管理方案，进一步规范工程进度的管理，及时对工程进度进行纠偏，有效控制</w:t>
      </w:r>
      <w:r>
        <w:rPr>
          <w:rFonts w:hint="eastAsia"/>
          <w:lang w:val="en-US" w:eastAsia="zh-CN"/>
        </w:rPr>
        <w:t>项目</w:t>
      </w:r>
      <w:r>
        <w:rPr>
          <w:rFonts w:hint="eastAsia"/>
          <w:lang w:eastAsia="zh-CN"/>
        </w:rPr>
        <w:t>进度。</w:t>
      </w:r>
    </w:p>
    <w:p>
      <w:pPr>
        <w:bidi w:val="0"/>
        <w:rPr>
          <w:rFonts w:hint="eastAsia"/>
          <w:lang w:eastAsia="zh-CN"/>
        </w:rPr>
      </w:pPr>
      <w:r>
        <w:rPr>
          <w:rFonts w:hint="eastAsia"/>
          <w:lang w:eastAsia="zh-CN"/>
        </w:rPr>
        <w:t>项目开工前，实施单位应将编制的施工组织设计、项目施工进度计划、开工申请书报送监理公司审核。监理公司审核项目施工进度计划的合理性和可行性，以及施工组织设计中有关施工进度计划的技术保证措施和项目管理保证措施的有效性。审核通过后，签发开工申请书，并将相关审核资料报项目建设单位备案。</w:t>
      </w:r>
    </w:p>
    <w:p>
      <w:pPr>
        <w:bidi w:val="0"/>
        <w:rPr>
          <w:rFonts w:hint="eastAsia"/>
          <w:lang w:eastAsia="zh-CN"/>
        </w:rPr>
      </w:pPr>
      <w:r>
        <w:rPr>
          <w:rFonts w:hint="eastAsia"/>
          <w:lang w:eastAsia="zh-CN"/>
        </w:rPr>
        <w:t>项目实施阶段，实施单位必须做好各个分项工程施工进度计划与工程总进度计划的衔接，及时跟踪检查施工进度计划的执行情况。在总工期不变的条件下，必要时可以对施工阶段性进度计划进行调整；如果施工阶段进度发生重大偏差，对总工期进度控制造成影响，需对进度偏差、工程费用、工程质量等方面的影响作综合分析，给出书面材料并提出解决办法，附上调整以后的施工组织设计、项目施工进度计划，一并报项目建设单位批准。</w:t>
      </w:r>
    </w:p>
    <w:p>
      <w:pPr>
        <w:bidi w:val="0"/>
        <w:rPr>
          <w:rFonts w:hint="eastAsia"/>
          <w:lang w:eastAsia="zh-CN"/>
        </w:rPr>
      </w:pPr>
      <w:r>
        <w:rPr>
          <w:rFonts w:hint="eastAsia"/>
          <w:lang w:eastAsia="zh-CN"/>
        </w:rPr>
        <w:t>监理单位要对工程进度控制实行动态管理。监理单位应要求工程实施单位按时提供月、周施工实际进度，标明各施工部位的具体完成情况和施工进度完成情况。监理单位应组织召开周进度工作汇报会，对比实际进度与计划进度，发现问题，分析原因，制定纠偏措施，会议纪要需报项目建设单位备案。可实行奖惩制度，对每个进度控制的主要节点进行过程监控。</w:t>
      </w:r>
    </w:p>
    <w:p>
      <w:pPr>
        <w:pStyle w:val="6"/>
        <w:keepNext w:val="0"/>
        <w:rPr>
          <w:rFonts w:hint="default" w:cs="Times New Roman"/>
          <w:color w:val="auto"/>
          <w:lang w:val="en-US" w:eastAsia="zh-CN"/>
        </w:rPr>
      </w:pPr>
      <w:bookmarkStart w:id="372" w:name="_Toc8591"/>
      <w:r>
        <w:rPr>
          <w:rFonts w:hint="eastAsia" w:cs="Times New Roman"/>
          <w:color w:val="auto"/>
          <w:lang w:val="en-US" w:eastAsia="zh-CN"/>
        </w:rPr>
        <w:t>质量管理</w:t>
      </w:r>
      <w:bookmarkEnd w:id="372"/>
    </w:p>
    <w:p>
      <w:pPr>
        <w:bidi w:val="0"/>
        <w:rPr>
          <w:rFonts w:hint="eastAsia"/>
          <w:lang w:eastAsia="zh-CN"/>
        </w:rPr>
      </w:pPr>
      <w:r>
        <w:rPr>
          <w:rFonts w:hint="eastAsia"/>
          <w:lang w:eastAsia="zh-CN"/>
        </w:rPr>
        <w:t>项目建设单位应按项目工程责任制要求，严格执行招标投标、政府采购、工程监理、合同管理等制度，保证工程的建设质量；执行项目管理制度，对项目建设过程中的设计变更、建设进度偏差、概算控制等情况进行严格管理；项目建设单位主管领导总负责工程的进度、质量、资金及运行等管理；项目实行工程监理制，业主单位委托具有相应资质的工程监理单位，对项目建设进行工程监理。</w:t>
      </w:r>
    </w:p>
    <w:p>
      <w:pPr>
        <w:bidi w:val="0"/>
        <w:rPr>
          <w:rFonts w:hint="eastAsia"/>
          <w:lang w:eastAsia="zh-CN"/>
        </w:rPr>
      </w:pPr>
      <w:r>
        <w:rPr>
          <w:rFonts w:hint="eastAsia"/>
          <w:lang w:eastAsia="zh-CN"/>
        </w:rPr>
        <w:t>实施单位是工程质量形成的主体，对工程质量负全面责任，应设立专门主管质量的副总经理，协助最高管理者加强质量管理，并建立质量管理的职能机构，领导、监督各级施工组织加强质量管理。按照国家颁布的建设工程质量检验评定标准中规定应检验的质量控制点，作为工程实施过程中的质量控制点，质量控制点工作需取得监理公司检查确认，相关材料需报项目建设单位备案。</w:t>
      </w:r>
    </w:p>
    <w:p>
      <w:pPr>
        <w:bidi w:val="0"/>
        <w:rPr>
          <w:rFonts w:hint="eastAsia"/>
          <w:lang w:eastAsia="zh-CN"/>
        </w:rPr>
      </w:pPr>
      <w:r>
        <w:rPr>
          <w:rFonts w:hint="eastAsia"/>
          <w:lang w:eastAsia="zh-CN"/>
        </w:rPr>
        <w:t>监理公司应严格按照工程监理制度，对施工单位资质、施工组织设计和质量计划、原材料和设备进行有效监管，组织设计交底会议，对施工单位质量管理体系进行检查，认真执行施工过程中的质量管理工作。</w:t>
      </w:r>
    </w:p>
    <w:p>
      <w:pPr>
        <w:bidi w:val="0"/>
        <w:rPr>
          <w:rFonts w:hint="eastAsia"/>
          <w:lang w:val="en-US" w:eastAsia="zh-CN"/>
        </w:rPr>
      </w:pPr>
      <w:r>
        <w:rPr>
          <w:rFonts w:hint="eastAsia"/>
          <w:lang w:eastAsia="zh-CN"/>
        </w:rPr>
        <w:t>项目开工后对现场施工质量监控、工序控制、施工材料验收、施工现场管理等。施工现场建立质量记录资料制度。质量记录资料包括：施工现场质量管理检查记录资料；工程材料、半成品、构配件、设备等的质量证明资料；施工过程作业活动质量记录资料等。质量记录资料应真实、齐全、完整，相关人员签字字迹清晰，并报项目建设单位备案。</w:t>
      </w:r>
    </w:p>
    <w:p>
      <w:pPr>
        <w:pStyle w:val="6"/>
        <w:keepNext w:val="0"/>
        <w:rPr>
          <w:rFonts w:hint="default" w:cs="Times New Roman"/>
          <w:color w:val="auto"/>
          <w:lang w:val="en-US" w:eastAsia="zh-CN"/>
        </w:rPr>
      </w:pPr>
      <w:bookmarkStart w:id="373" w:name="_Toc6159"/>
      <w:r>
        <w:rPr>
          <w:rFonts w:hint="eastAsia" w:cs="Times New Roman"/>
          <w:color w:val="auto"/>
          <w:lang w:val="en-US" w:eastAsia="zh-CN"/>
        </w:rPr>
        <w:t>资金管理</w:t>
      </w:r>
      <w:bookmarkEnd w:id="373"/>
    </w:p>
    <w:p>
      <w:pPr>
        <w:bidi w:val="0"/>
        <w:rPr>
          <w:rFonts w:hint="eastAsia"/>
          <w:lang w:val="zh-CN" w:eastAsia="zh-CN"/>
        </w:rPr>
      </w:pPr>
      <w:r>
        <w:rPr>
          <w:rFonts w:hint="eastAsia"/>
          <w:lang w:val="zh-CN" w:eastAsia="zh-CN"/>
        </w:rPr>
        <w:t>根据资金使用计划，本着计划管理、专帐管理、专款专用、提高效益原则进行管理，力求在筹集、使用和管理项目资金过程中厉行节俭、降低工程成本，防止损失浪费。</w:t>
      </w:r>
    </w:p>
    <w:p>
      <w:pPr>
        <w:bidi w:val="0"/>
        <w:rPr>
          <w:rFonts w:hint="eastAsia"/>
          <w:lang w:val="zh-CN" w:eastAsia="zh-CN"/>
        </w:rPr>
      </w:pPr>
      <w:r>
        <w:rPr>
          <w:rFonts w:hint="eastAsia"/>
          <w:lang w:val="zh-CN" w:eastAsia="zh-CN"/>
        </w:rPr>
        <w:t>项目实施过程中，业主单位应按月定期编制项目实施进度情况表，资金使用情况表和资金使用申请书，经财务部确认后备案。</w:t>
      </w:r>
    </w:p>
    <w:p>
      <w:pPr>
        <w:bidi w:val="0"/>
        <w:rPr>
          <w:rFonts w:hint="default"/>
          <w:lang w:val="en-US" w:eastAsia="zh-CN"/>
        </w:rPr>
      </w:pPr>
      <w:r>
        <w:rPr>
          <w:rFonts w:hint="eastAsia"/>
          <w:lang w:val="zh-CN" w:eastAsia="zh-CN"/>
        </w:rPr>
        <w:t>项目实施过程中，如有资金计划使用变更，应分析变更原因，采取适当的措施，及时对项目建设进行纠偏，有效控制控制建设成本。</w:t>
      </w:r>
    </w:p>
    <w:p>
      <w:pPr>
        <w:pStyle w:val="5"/>
        <w:spacing w:before="156" w:after="156"/>
        <w:rPr>
          <w:rFonts w:hint="default"/>
          <w:color w:val="auto"/>
          <w:lang w:val="en-GB"/>
        </w:rPr>
      </w:pPr>
      <w:bookmarkStart w:id="374" w:name="_Toc3830"/>
      <w:bookmarkStart w:id="375" w:name="_Toc30806"/>
      <w:bookmarkStart w:id="376" w:name="_Toc16919"/>
      <w:bookmarkStart w:id="377" w:name="_Toc19534"/>
      <w:bookmarkStart w:id="378" w:name="_Toc13639"/>
      <w:bookmarkStart w:id="379" w:name="_Toc2035"/>
      <w:bookmarkStart w:id="380" w:name="_Toc4359"/>
      <w:r>
        <w:rPr>
          <w:color w:val="auto"/>
          <w:lang w:val="en-GB"/>
        </w:rPr>
        <w:t>人员配置与培训</w:t>
      </w:r>
      <w:bookmarkEnd w:id="374"/>
    </w:p>
    <w:p>
      <w:pPr>
        <w:pStyle w:val="6"/>
        <w:bidi w:val="0"/>
        <w:rPr>
          <w:rFonts w:hint="default"/>
          <w:lang w:val="en-GB"/>
        </w:rPr>
      </w:pPr>
      <w:bookmarkStart w:id="381" w:name="_Toc18630"/>
      <w:bookmarkStart w:id="382" w:name="_Toc2587"/>
      <w:bookmarkStart w:id="383" w:name="_Toc7127"/>
      <w:bookmarkStart w:id="384" w:name="_Toc3066"/>
      <w:bookmarkStart w:id="385" w:name="_Toc250"/>
      <w:bookmarkStart w:id="386" w:name="_Toc12404"/>
      <w:r>
        <w:rPr>
          <w:lang w:val="en-GB"/>
        </w:rPr>
        <w:t>人员配置计划</w:t>
      </w:r>
      <w:bookmarkEnd w:id="381"/>
      <w:bookmarkEnd w:id="382"/>
      <w:bookmarkEnd w:id="383"/>
      <w:bookmarkEnd w:id="384"/>
    </w:p>
    <w:p>
      <w:pPr>
        <w:ind w:firstLine="480"/>
      </w:pPr>
      <w:r>
        <w:rPr>
          <w:rFonts w:hint="eastAsia"/>
        </w:rPr>
        <w:t>人员编制计划是作为计算相关费用及生活设施规模的依据，不作为增员指标。本项目建设完成后，建议配置</w:t>
      </w:r>
      <w:r>
        <w:rPr>
          <w:rFonts w:hint="eastAsia"/>
          <w:lang w:val="en-US" w:eastAsia="zh-CN"/>
        </w:rPr>
        <w:t>1-</w:t>
      </w:r>
      <w:r>
        <w:rPr>
          <w:rFonts w:hint="eastAsia"/>
        </w:rPr>
        <w:t>2名专职运行管理人员进行日常管理。</w:t>
      </w:r>
    </w:p>
    <w:p>
      <w:pPr>
        <w:pStyle w:val="6"/>
        <w:bidi w:val="0"/>
        <w:rPr>
          <w:rFonts w:hint="default"/>
          <w:lang w:val="en-GB"/>
        </w:rPr>
      </w:pPr>
      <w:bookmarkStart w:id="387" w:name="_Toc150"/>
      <w:bookmarkStart w:id="388" w:name="_Toc9354"/>
      <w:bookmarkStart w:id="389" w:name="_Toc13223"/>
      <w:bookmarkStart w:id="390" w:name="_Toc23793"/>
      <w:r>
        <w:rPr>
          <w:lang w:val="en-GB"/>
        </w:rPr>
        <w:t>人员培训方案</w:t>
      </w:r>
      <w:bookmarkEnd w:id="387"/>
      <w:bookmarkEnd w:id="388"/>
      <w:bookmarkEnd w:id="389"/>
      <w:bookmarkEnd w:id="390"/>
    </w:p>
    <w:p>
      <w:pPr>
        <w:ind w:firstLine="480"/>
      </w:pPr>
      <w:r>
        <w:rPr>
          <w:rFonts w:hint="eastAsia"/>
        </w:rPr>
        <w:t>建设一支既熟悉信息化业务又掌握信息技术的人才队伍，是推动本项目建设持续健康发展的重要力量。根据本项目队伍建设的状况，针对各级领导干部、业务人员和技术人员的素质状况和工作需求，制定相应的培训目标、计划、培训内容和要求，分类、分批实施。</w:t>
      </w:r>
    </w:p>
    <w:p>
      <w:pPr>
        <w:ind w:firstLine="480"/>
      </w:pPr>
      <w:r>
        <w:rPr>
          <w:rFonts w:hint="eastAsia"/>
        </w:rPr>
        <w:t>（1）领导干部培训</w:t>
      </w:r>
    </w:p>
    <w:p>
      <w:pPr>
        <w:ind w:firstLine="480"/>
      </w:pPr>
      <w:r>
        <w:rPr>
          <w:rFonts w:hint="eastAsia"/>
        </w:rPr>
        <w:t>推进本项目建设和应用，领导是关键。针对目前本项目一些同志特别是领导干部通过培训，使各级领导干部能够转变思想观念和工作方式，善于运用现代信息技术，努力提高运用信息技术进行决策、组织、管理、指挥的能力。</w:t>
      </w:r>
    </w:p>
    <w:p>
      <w:pPr>
        <w:ind w:firstLine="480"/>
      </w:pPr>
      <w:r>
        <w:rPr>
          <w:rFonts w:hint="eastAsia"/>
        </w:rPr>
        <w:t>（2）业务人员培训</w:t>
      </w:r>
    </w:p>
    <w:p>
      <w:pPr>
        <w:ind w:firstLine="480"/>
      </w:pPr>
      <w:r>
        <w:rPr>
          <w:rFonts w:hint="eastAsia"/>
        </w:rPr>
        <w:t>本项目平台技术的价值在于应用，要通过加强计算机基本操作技能、信息技术基础知识和有关应用软件操作技能的培训，提高广大业务人员的综合素质。</w:t>
      </w:r>
    </w:p>
    <w:p>
      <w:pPr>
        <w:ind w:firstLine="480"/>
      </w:pPr>
      <w:r>
        <w:rPr>
          <w:rFonts w:hint="eastAsia"/>
        </w:rPr>
        <w:t>（3）技术人员培训</w:t>
      </w:r>
    </w:p>
    <w:p>
      <w:pPr>
        <w:ind w:firstLine="480"/>
      </w:pPr>
      <w:r>
        <w:rPr>
          <w:rFonts w:hint="eastAsia"/>
        </w:rPr>
        <w:t>采用引进专业人员和培训现有技术人员相结合的方式建立技术支持队伍。</w:t>
      </w:r>
    </w:p>
    <w:p>
      <w:pPr>
        <w:ind w:firstLine="480"/>
      </w:pPr>
      <w:r>
        <w:rPr>
          <w:rFonts w:hint="eastAsia"/>
        </w:rPr>
        <w:t>与硬件设备有关的技术培训。对相关人员在网络设备、安全设备、服务器、技术防范管理系统及其他设备的功能、性能、安装及运行管理使用上进行专门的培训。</w:t>
      </w:r>
    </w:p>
    <w:p>
      <w:pPr>
        <w:ind w:firstLine="480"/>
        <w:rPr>
          <w:lang w:val="en-GB"/>
        </w:rPr>
      </w:pPr>
      <w:r>
        <w:rPr>
          <w:rFonts w:hint="eastAsia"/>
        </w:rPr>
        <w:t>与软件管理有关的技术培训。对相关人员在服务器系统的运行和管理、网络安全管理、应用系统的运行和管理等方面进行专门的培训。</w:t>
      </w:r>
    </w:p>
    <w:p>
      <w:pPr>
        <w:pStyle w:val="5"/>
        <w:spacing w:before="198" w:after="198"/>
        <w:rPr>
          <w:rFonts w:hint="default"/>
          <w:lang w:val="en-GB"/>
        </w:rPr>
      </w:pPr>
      <w:bookmarkStart w:id="391" w:name="_Toc13387"/>
      <w:bookmarkStart w:id="392" w:name="_Toc2674"/>
      <w:r>
        <w:rPr>
          <w:lang w:val="en-GB"/>
        </w:rPr>
        <w:t>运行维护机构</w:t>
      </w:r>
      <w:bookmarkEnd w:id="391"/>
      <w:bookmarkEnd w:id="392"/>
    </w:p>
    <w:p>
      <w:pPr>
        <w:tabs>
          <w:tab w:val="left" w:pos="0"/>
        </w:tabs>
        <w:ind w:firstLine="480"/>
        <w:rPr>
          <w:rFonts w:asciiTheme="minorEastAsia" w:hAnsiTheme="minorEastAsia" w:eastAsiaTheme="minorEastAsia" w:cstheme="minorEastAsia"/>
          <w:bCs/>
        </w:rPr>
      </w:pPr>
      <w:r>
        <w:rPr>
          <w:rFonts w:hint="eastAsia" w:asciiTheme="minorEastAsia" w:hAnsiTheme="minorEastAsia" w:eastAsiaTheme="minorEastAsia" w:cstheme="minorEastAsia"/>
        </w:rPr>
        <w:t>系统维护工作是技术性很强的管理工作。本项目投入运行后，设置专门的系统维护管理人员，专门负责整个系统的维护管理，其中包括网络维护人员、硬件设备维护人员、应用管理维护人员。具体如下文所述：</w:t>
      </w:r>
    </w:p>
    <w:p>
      <w:pPr>
        <w:tabs>
          <w:tab w:val="left" w:pos="0"/>
        </w:tabs>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1、网络安全组</w:t>
      </w:r>
    </w:p>
    <w:p>
      <w:pPr>
        <w:tabs>
          <w:tab w:val="left" w:pos="0"/>
        </w:tabs>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网络安全组负责网络的维护工作，保障网络的畅通；负责管理信息化安全体系的管理维护、保障网络的安全。</w:t>
      </w:r>
    </w:p>
    <w:p>
      <w:pPr>
        <w:tabs>
          <w:tab w:val="left" w:pos="0"/>
        </w:tabs>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2、硬件设备组</w:t>
      </w:r>
    </w:p>
    <w:p>
      <w:pPr>
        <w:tabs>
          <w:tab w:val="left" w:pos="0"/>
        </w:tabs>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硬件设备组负责服务器、存储、安全等核心硬件设备的管理维护，保障设备正常运转，负责核心数据的存储、备份、管理。</w:t>
      </w:r>
    </w:p>
    <w:p>
      <w:pPr>
        <w:tabs>
          <w:tab w:val="left" w:pos="0"/>
        </w:tabs>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3、应用管理组</w:t>
      </w:r>
    </w:p>
    <w:p>
      <w:pPr>
        <w:tabs>
          <w:tab w:val="left" w:pos="0"/>
        </w:tabs>
        <w:ind w:firstLine="480"/>
        <w:rPr>
          <w:rFonts w:hint="default"/>
          <w:color w:val="auto"/>
          <w:lang w:val="en-GB"/>
        </w:rPr>
      </w:pPr>
      <w:r>
        <w:rPr>
          <w:rFonts w:hint="eastAsia" w:asciiTheme="minorEastAsia" w:hAnsiTheme="minorEastAsia" w:eastAsiaTheme="minorEastAsia" w:cstheme="minorEastAsia"/>
        </w:rPr>
        <w:t>应用管理组负责应用系统、数据库、中间件的运行维护，保障系统的良好、稳定的运行。</w:t>
      </w:r>
    </w:p>
    <w:bookmarkEnd w:id="375"/>
    <w:bookmarkEnd w:id="376"/>
    <w:bookmarkEnd w:id="377"/>
    <w:bookmarkEnd w:id="378"/>
    <w:bookmarkEnd w:id="379"/>
    <w:bookmarkEnd w:id="380"/>
    <w:bookmarkEnd w:id="385"/>
    <w:bookmarkEnd w:id="386"/>
    <w:p>
      <w:pPr>
        <w:pStyle w:val="5"/>
        <w:keepNext w:val="0"/>
        <w:rPr>
          <w:color w:val="auto"/>
        </w:rPr>
      </w:pPr>
      <w:bookmarkStart w:id="393" w:name="_Toc10673"/>
      <w:bookmarkStart w:id="394" w:name="_Toc31564"/>
      <w:bookmarkStart w:id="395" w:name="_Toc30575"/>
      <w:bookmarkStart w:id="396" w:name="_Toc31871"/>
      <w:bookmarkStart w:id="397" w:name="_Toc274"/>
      <w:r>
        <w:rPr>
          <w:color w:val="auto"/>
        </w:rPr>
        <w:t>环保、消防、职业安全卫生和节能措施的设计</w:t>
      </w:r>
      <w:bookmarkEnd w:id="393"/>
      <w:bookmarkEnd w:id="394"/>
      <w:bookmarkEnd w:id="395"/>
    </w:p>
    <w:p>
      <w:pPr>
        <w:pStyle w:val="6"/>
        <w:keepNext w:val="0"/>
        <w:rPr>
          <w:rFonts w:hint="eastAsia"/>
          <w:color w:val="auto"/>
        </w:rPr>
      </w:pPr>
      <w:bookmarkStart w:id="398" w:name="_Toc3053"/>
      <w:bookmarkStart w:id="399" w:name="_Toc28013"/>
      <w:bookmarkStart w:id="400" w:name="_Toc28994"/>
      <w:bookmarkStart w:id="401" w:name="_Toc16219"/>
      <w:bookmarkStart w:id="402" w:name="_Toc30280"/>
      <w:r>
        <w:rPr>
          <w:rFonts w:hint="eastAsia"/>
          <w:color w:val="auto"/>
          <w:lang w:val="en-US" w:eastAsia="zh-CN"/>
        </w:rPr>
        <w:t>环境影响分析</w:t>
      </w:r>
      <w:bookmarkEnd w:id="398"/>
    </w:p>
    <w:p>
      <w:pPr>
        <w:bidi w:val="0"/>
        <w:rPr>
          <w:rFonts w:hint="eastAsia"/>
          <w:lang w:eastAsia="zh-CN"/>
        </w:rPr>
      </w:pPr>
      <w:r>
        <w:rPr>
          <w:rFonts w:hint="eastAsia"/>
          <w:lang w:eastAsia="zh-CN"/>
        </w:rPr>
        <w:t>本项目建设任务属于无污染工程，设备电磁辐射值在国家规范允许范围内，不会对造成污染。系统建设和运行过程中没有有毒、有害废水和气体排出，主要排放物为生活污水。</w:t>
      </w:r>
    </w:p>
    <w:p>
      <w:pPr>
        <w:bidi w:val="0"/>
        <w:rPr>
          <w:rFonts w:hint="eastAsia"/>
          <w:lang w:eastAsia="zh-CN"/>
        </w:rPr>
      </w:pPr>
      <w:r>
        <w:rPr>
          <w:rFonts w:hint="eastAsia"/>
          <w:lang w:eastAsia="zh-CN"/>
        </w:rPr>
        <w:t>严格按照国家颁发的有关法规和要求进行文明施工，设置在室外的风机采用高效低噪声设备，以降低室外噪声。计算机硬件的安装和使用将会对办公环境产生一定影响。影响环境的因素主要有：</w:t>
      </w:r>
    </w:p>
    <w:p>
      <w:pPr>
        <w:bidi w:val="0"/>
        <w:rPr>
          <w:rFonts w:hint="eastAsia"/>
          <w:lang w:eastAsia="zh-CN"/>
        </w:rPr>
      </w:pPr>
      <w:r>
        <w:rPr>
          <w:rFonts w:hint="eastAsia"/>
          <w:lang w:eastAsia="zh-CN"/>
        </w:rPr>
        <w:t>（1）动力设备等配套设备产生的噪音；</w:t>
      </w:r>
    </w:p>
    <w:p>
      <w:pPr>
        <w:bidi w:val="0"/>
        <w:rPr>
          <w:rFonts w:hint="eastAsia"/>
          <w:lang w:eastAsia="zh-CN"/>
        </w:rPr>
      </w:pPr>
      <w:r>
        <w:rPr>
          <w:rFonts w:hint="eastAsia"/>
          <w:lang w:eastAsia="zh-CN"/>
        </w:rPr>
        <w:t>（2）电磁辐射；</w:t>
      </w:r>
    </w:p>
    <w:p>
      <w:pPr>
        <w:bidi w:val="0"/>
        <w:rPr>
          <w:rFonts w:hint="eastAsia"/>
          <w:lang w:eastAsia="zh-CN"/>
        </w:rPr>
      </w:pPr>
      <w:r>
        <w:rPr>
          <w:rFonts w:hint="eastAsia"/>
          <w:lang w:eastAsia="zh-CN"/>
        </w:rPr>
        <w:t>（3）空调系统等配套设备产生的少量污水；</w:t>
      </w:r>
    </w:p>
    <w:p>
      <w:pPr>
        <w:bidi w:val="0"/>
        <w:rPr>
          <w:rFonts w:hint="eastAsia"/>
        </w:rPr>
      </w:pPr>
      <w:r>
        <w:rPr>
          <w:rFonts w:hint="eastAsia"/>
          <w:lang w:eastAsia="zh-CN"/>
        </w:rPr>
        <w:t>（4）温度升高。</w:t>
      </w:r>
    </w:p>
    <w:p>
      <w:pPr>
        <w:pStyle w:val="6"/>
        <w:keepNext w:val="0"/>
        <w:rPr>
          <w:rFonts w:hint="eastAsia"/>
          <w:color w:val="auto"/>
        </w:rPr>
      </w:pPr>
      <w:bookmarkStart w:id="403" w:name="_Toc18498"/>
      <w:r>
        <w:rPr>
          <w:rFonts w:hint="eastAsia"/>
          <w:color w:val="auto"/>
          <w:lang w:val="en-US" w:eastAsia="zh-CN"/>
        </w:rPr>
        <w:t>环保</w:t>
      </w:r>
      <w:r>
        <w:rPr>
          <w:rFonts w:hint="eastAsia"/>
          <w:color w:val="auto"/>
        </w:rPr>
        <w:t>措施及方案</w:t>
      </w:r>
      <w:bookmarkEnd w:id="399"/>
      <w:bookmarkEnd w:id="400"/>
      <w:bookmarkEnd w:id="401"/>
      <w:bookmarkEnd w:id="402"/>
      <w:bookmarkEnd w:id="403"/>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针对上述影响环境的因素，必须考虑使用符合国家环保要求的设备和技术，保护系统使用人员的身体健康。具体的环保措施为：</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（1）计算机、网络及相关硬件设备要满足TCO99和FCC-B低电磁辐射标准认证，设备外壳采用绿色阻燃可回收环保材料；</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（2）计算机屏幕采用液晶显示屏幕，保护工作人员视力，满足人体工程学、生态学方面的要求。同时室内必须安装必要的空调、空气加湿/去湿设备，保证空气的流通；</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（3）室内设备的噪音应当低于50分贝；选用低噪声的空调机、冷冻机、冷却塔、水泵等设备。空调送风口设消音器和消声弯头，管道出入口接软接头；易产生振动的设备，采取减震措施；</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（4）项目产生的少量生活污水，经化粪池处理，达到排放标准后，统一排入市区污水管。</w:t>
      </w:r>
    </w:p>
    <w:p>
      <w:pPr>
        <w:pStyle w:val="6"/>
        <w:keepNext w:val="0"/>
        <w:rPr>
          <w:rFonts w:hint="eastAsia"/>
          <w:color w:val="auto"/>
        </w:rPr>
      </w:pPr>
      <w:bookmarkStart w:id="404" w:name="_Toc31504"/>
      <w:bookmarkStart w:id="405" w:name="_Toc25288"/>
      <w:bookmarkStart w:id="406" w:name="_Toc15948"/>
      <w:bookmarkStart w:id="407" w:name="_Toc32642"/>
      <w:bookmarkStart w:id="408" w:name="_Toc16709"/>
      <w:r>
        <w:rPr>
          <w:rFonts w:hint="eastAsia"/>
          <w:color w:val="auto"/>
        </w:rPr>
        <w:t>消防措施</w:t>
      </w:r>
      <w:bookmarkEnd w:id="404"/>
      <w:bookmarkEnd w:id="405"/>
      <w:bookmarkEnd w:id="406"/>
      <w:bookmarkEnd w:id="407"/>
      <w:bookmarkEnd w:id="408"/>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本项目在设备选购、建筑装修等方面，将严格执行国家和</w:t>
      </w:r>
      <w:r>
        <w:rPr>
          <w:rFonts w:hint="eastAsia" w:cs="Times New Roman"/>
          <w:b w:val="0"/>
          <w:bCs w:val="0"/>
          <w:color w:val="auto"/>
          <w:lang w:val="en-US" w:eastAsia="zh-CN"/>
        </w:rPr>
        <w:t>地方</w:t>
      </w:r>
      <w:r>
        <w:rPr>
          <w:rFonts w:hint="eastAsia" w:cs="Times New Roman"/>
          <w:b w:val="0"/>
          <w:bCs w:val="0"/>
          <w:color w:val="auto"/>
          <w:lang w:eastAsia="zh-CN"/>
        </w:rPr>
        <w:t>有关消防的规范和规定：</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（1）严格按照国家和</w:t>
      </w:r>
      <w:r>
        <w:rPr>
          <w:rFonts w:hint="eastAsia" w:cs="Times New Roman"/>
          <w:b w:val="0"/>
          <w:bCs w:val="0"/>
          <w:color w:val="auto"/>
          <w:lang w:val="en-US" w:eastAsia="zh-CN"/>
        </w:rPr>
        <w:t>地方</w:t>
      </w:r>
      <w:r>
        <w:rPr>
          <w:rFonts w:hint="eastAsia" w:cs="Times New Roman"/>
          <w:b w:val="0"/>
          <w:bCs w:val="0"/>
          <w:color w:val="auto"/>
          <w:lang w:eastAsia="zh-CN"/>
        </w:rPr>
        <w:t>规定，选购符合国家规定标准或使用许可的设备（如空调、不间断供电电源等）。</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（2）建筑物按防火规定，设置防火门、疏散通道、消防电梯、安全出入口等，建筑内部装修选用不燃性和难燃性材料。</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（3）建筑物内外，严格按照国家和</w:t>
      </w:r>
      <w:r>
        <w:rPr>
          <w:rFonts w:hint="eastAsia" w:cs="Times New Roman"/>
          <w:b w:val="0"/>
          <w:bCs w:val="0"/>
          <w:color w:val="auto"/>
          <w:lang w:val="en-US" w:eastAsia="zh-CN"/>
        </w:rPr>
        <w:t>地方</w:t>
      </w:r>
      <w:r>
        <w:rPr>
          <w:rFonts w:hint="eastAsia" w:cs="Times New Roman"/>
          <w:b w:val="0"/>
          <w:bCs w:val="0"/>
          <w:color w:val="auto"/>
          <w:lang w:eastAsia="zh-CN"/>
        </w:rPr>
        <w:t>消防规定设置消防设施、通道和各种指示标志。</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（4）设有火灾自动报警系统和紧急广播系统，各工作间设有温感或烟感探测装置。</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bCs/>
          <w:color w:val="auto"/>
        </w:rPr>
      </w:pPr>
      <w:r>
        <w:rPr>
          <w:rFonts w:hint="eastAsia" w:cs="Times New Roman"/>
          <w:b w:val="0"/>
          <w:bCs w:val="0"/>
          <w:color w:val="auto"/>
          <w:lang w:eastAsia="zh-CN"/>
        </w:rPr>
        <w:t>（5）根据需要，在建筑内分别设有气体、水和火探管消防系统，各区域另配置适量的手提式灭火器。</w:t>
      </w:r>
    </w:p>
    <w:p>
      <w:pPr>
        <w:pStyle w:val="6"/>
        <w:keepNext w:val="0"/>
        <w:rPr>
          <w:rFonts w:hint="eastAsia"/>
          <w:color w:val="auto"/>
        </w:rPr>
      </w:pPr>
      <w:bookmarkStart w:id="409" w:name="_Toc6271"/>
      <w:bookmarkStart w:id="410" w:name="_Toc22850"/>
      <w:bookmarkStart w:id="411" w:name="_Toc8699"/>
      <w:bookmarkStart w:id="412" w:name="_Toc1860"/>
      <w:bookmarkStart w:id="413" w:name="_Toc14829"/>
      <w:r>
        <w:rPr>
          <w:rFonts w:hint="eastAsia"/>
          <w:color w:val="auto"/>
        </w:rPr>
        <w:t>职业安全和卫生措施</w:t>
      </w:r>
      <w:bookmarkEnd w:id="409"/>
      <w:bookmarkEnd w:id="410"/>
      <w:bookmarkEnd w:id="411"/>
      <w:bookmarkEnd w:id="412"/>
      <w:bookmarkEnd w:id="413"/>
    </w:p>
    <w:p>
      <w:pPr>
        <w:pStyle w:val="7"/>
        <w:tabs>
          <w:tab w:val="left" w:pos="864"/>
          <w:tab w:val="clear" w:pos="0"/>
        </w:tabs>
        <w:spacing w:before="156" w:after="156"/>
        <w:rPr>
          <w:rFonts w:hint="eastAsia"/>
          <w:color w:val="000000"/>
        </w:rPr>
      </w:pPr>
      <w:bookmarkStart w:id="414" w:name="_Toc515192604"/>
      <w:bookmarkStart w:id="415" w:name="_Toc24513"/>
      <w:r>
        <w:rPr>
          <w:rFonts w:hint="eastAsia"/>
          <w:color w:val="000000"/>
        </w:rPr>
        <w:t>安全生产管理要求</w:t>
      </w:r>
      <w:bookmarkEnd w:id="414"/>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w:t>
      </w:r>
      <w:r>
        <w:rPr>
          <w:rFonts w:hint="eastAsia" w:cs="Times New Roman"/>
          <w:b w:val="0"/>
          <w:bCs w:val="0"/>
          <w:color w:val="auto"/>
          <w:lang w:val="en-US" w:eastAsia="zh-CN"/>
        </w:rPr>
        <w:t>1</w:t>
      </w:r>
      <w:r>
        <w:rPr>
          <w:rFonts w:hint="eastAsia" w:cs="Times New Roman"/>
          <w:b w:val="0"/>
          <w:bCs w:val="0"/>
          <w:color w:val="auto"/>
          <w:lang w:eastAsia="zh-CN"/>
        </w:rPr>
        <w:t>）建设单位、勘察单位、设计单位、施工单位、工程监理单位及其他与建设工程安全生产有关的单位，必须遵守《安全生产法》、《建设工程安全生产管理条例》等安全生产法律、法规的规定，保证建设工程安全生产，依法承担建设工程安全生产责任。</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w:t>
      </w:r>
      <w:r>
        <w:rPr>
          <w:rFonts w:hint="eastAsia" w:cs="Times New Roman"/>
          <w:b w:val="0"/>
          <w:bCs w:val="0"/>
          <w:color w:val="auto"/>
          <w:lang w:val="en-US" w:eastAsia="zh-CN"/>
        </w:rPr>
        <w:t>2</w:t>
      </w:r>
      <w:r>
        <w:rPr>
          <w:rFonts w:hint="eastAsia" w:cs="Times New Roman"/>
          <w:b w:val="0"/>
          <w:bCs w:val="0"/>
          <w:color w:val="auto"/>
          <w:lang w:eastAsia="zh-CN"/>
        </w:rPr>
        <w:t>）施工单位应当设立安全生产管理机构，配备专职安全生产管理人员。专职安全生产管理人员负责对安全生产进行现场监督检查。</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w:t>
      </w:r>
      <w:r>
        <w:rPr>
          <w:rFonts w:hint="eastAsia" w:cs="Times New Roman"/>
          <w:b w:val="0"/>
          <w:bCs w:val="0"/>
          <w:color w:val="auto"/>
          <w:lang w:val="en-US" w:eastAsia="zh-CN"/>
        </w:rPr>
        <w:t>3</w:t>
      </w:r>
      <w:r>
        <w:rPr>
          <w:rFonts w:hint="eastAsia" w:cs="Times New Roman"/>
          <w:b w:val="0"/>
          <w:bCs w:val="0"/>
          <w:color w:val="auto"/>
          <w:lang w:eastAsia="zh-CN"/>
        </w:rPr>
        <w:t>）施工单位对列入建设工程概算的安全作业环境及安全施工措施所需费用，应当用于施工安全防护用具及设施的采购和更新、安全施工措施的落实、安全生产条件的改善，不得挪作他用。</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w:t>
      </w:r>
      <w:r>
        <w:rPr>
          <w:rFonts w:hint="eastAsia" w:cs="Times New Roman"/>
          <w:b w:val="0"/>
          <w:bCs w:val="0"/>
          <w:color w:val="auto"/>
          <w:lang w:val="en-US" w:eastAsia="zh-CN"/>
        </w:rPr>
        <w:t>4</w:t>
      </w:r>
      <w:r>
        <w:rPr>
          <w:rFonts w:hint="eastAsia" w:cs="Times New Roman"/>
          <w:b w:val="0"/>
          <w:bCs w:val="0"/>
          <w:color w:val="auto"/>
          <w:lang w:eastAsia="zh-CN"/>
        </w:rPr>
        <w:t>）建设工程开工前必须实行逐级交底的制度。</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w:t>
      </w:r>
      <w:r>
        <w:rPr>
          <w:rFonts w:hint="eastAsia" w:cs="Times New Roman"/>
          <w:b w:val="0"/>
          <w:bCs w:val="0"/>
          <w:color w:val="auto"/>
          <w:lang w:val="en-US" w:eastAsia="zh-CN"/>
        </w:rPr>
        <w:t>5</w:t>
      </w:r>
      <w:r>
        <w:rPr>
          <w:rFonts w:hint="eastAsia" w:cs="Times New Roman"/>
          <w:b w:val="0"/>
          <w:bCs w:val="0"/>
          <w:color w:val="auto"/>
          <w:lang w:eastAsia="zh-CN"/>
        </w:rPr>
        <w:t>）施工单位应严格执行国家和行业工程建设标准。</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w:t>
      </w:r>
      <w:r>
        <w:rPr>
          <w:rFonts w:hint="eastAsia" w:cs="Times New Roman"/>
          <w:b w:val="0"/>
          <w:bCs w:val="0"/>
          <w:color w:val="auto"/>
          <w:lang w:val="en-US" w:eastAsia="zh-CN"/>
        </w:rPr>
        <w:t>6</w:t>
      </w:r>
      <w:r>
        <w:rPr>
          <w:rFonts w:hint="eastAsia" w:cs="Times New Roman"/>
          <w:b w:val="0"/>
          <w:bCs w:val="0"/>
          <w:color w:val="auto"/>
          <w:lang w:eastAsia="zh-CN"/>
        </w:rPr>
        <w:t>）施工单位应当根据不同施工阶段和周围环境及季节、气候的变化，在施工现场采取相应的安全施工措施。</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w:t>
      </w:r>
      <w:r>
        <w:rPr>
          <w:rFonts w:hint="eastAsia" w:cs="Times New Roman"/>
          <w:b w:val="0"/>
          <w:bCs w:val="0"/>
          <w:color w:val="auto"/>
          <w:lang w:val="en-US" w:eastAsia="zh-CN"/>
        </w:rPr>
        <w:t>7</w:t>
      </w:r>
      <w:r>
        <w:rPr>
          <w:rFonts w:hint="eastAsia" w:cs="Times New Roman"/>
          <w:b w:val="0"/>
          <w:bCs w:val="0"/>
          <w:color w:val="auto"/>
          <w:lang w:eastAsia="zh-CN"/>
        </w:rPr>
        <w:t>）建设项目竣工投产前，其安全设施必须经安全部门验收合格。</w:t>
      </w:r>
    </w:p>
    <w:p>
      <w:pPr>
        <w:pStyle w:val="7"/>
        <w:tabs>
          <w:tab w:val="left" w:pos="864"/>
          <w:tab w:val="clear" w:pos="0"/>
        </w:tabs>
        <w:spacing w:before="156" w:after="156"/>
        <w:rPr>
          <w:color w:val="000000"/>
        </w:rPr>
      </w:pPr>
      <w:bookmarkStart w:id="416" w:name="_Toc515192605"/>
      <w:r>
        <w:rPr>
          <w:rFonts w:hint="eastAsia"/>
          <w:color w:val="000000"/>
        </w:rPr>
        <w:t>施工现场安全</w:t>
      </w:r>
      <w:bookmarkEnd w:id="416"/>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w:t>
      </w:r>
      <w:r>
        <w:rPr>
          <w:rFonts w:hint="eastAsia" w:cs="Times New Roman"/>
          <w:b w:val="0"/>
          <w:bCs w:val="0"/>
          <w:color w:val="auto"/>
          <w:lang w:val="en-US" w:eastAsia="zh-CN"/>
        </w:rPr>
        <w:t>1</w:t>
      </w:r>
      <w:r>
        <w:rPr>
          <w:rFonts w:hint="eastAsia" w:cs="Times New Roman"/>
          <w:b w:val="0"/>
          <w:bCs w:val="0"/>
          <w:color w:val="auto"/>
          <w:lang w:eastAsia="zh-CN"/>
        </w:rPr>
        <w:t>）现场施工人员应进行三级安全教育，经考试合格后方可上岗，特种作业人员必须持证上岗。对施工人员进行有针对性的安全技术交底。将安全施工的理念灌输到每个施工人员的心中，提高安全施工的意识，从主观和客观两方面防患于未然，杜绝安全事故的发生。</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w:t>
      </w:r>
      <w:r>
        <w:rPr>
          <w:rFonts w:hint="eastAsia" w:cs="Times New Roman"/>
          <w:b w:val="0"/>
          <w:bCs w:val="0"/>
          <w:color w:val="auto"/>
          <w:lang w:val="en-US" w:eastAsia="zh-CN"/>
        </w:rPr>
        <w:t>2</w:t>
      </w:r>
      <w:r>
        <w:rPr>
          <w:rFonts w:hint="eastAsia" w:cs="Times New Roman"/>
          <w:b w:val="0"/>
          <w:bCs w:val="0"/>
          <w:color w:val="auto"/>
          <w:lang w:eastAsia="zh-CN"/>
        </w:rPr>
        <w:t>）严格按照批准的施工方案</w:t>
      </w:r>
      <w:r>
        <w:rPr>
          <w:rFonts w:hint="eastAsia" w:cs="Times New Roman"/>
          <w:b w:val="0"/>
          <w:bCs w:val="0"/>
          <w:color w:val="auto"/>
          <w:lang w:val="en-US" w:eastAsia="zh-CN"/>
        </w:rPr>
        <w:t>和施工标准规范</w:t>
      </w:r>
      <w:r>
        <w:rPr>
          <w:rFonts w:hint="eastAsia" w:cs="Times New Roman"/>
          <w:b w:val="0"/>
          <w:bCs w:val="0"/>
          <w:color w:val="auto"/>
          <w:lang w:eastAsia="zh-CN"/>
        </w:rPr>
        <w:t>进行施工。</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w:t>
      </w:r>
      <w:r>
        <w:rPr>
          <w:rFonts w:hint="eastAsia" w:cs="Times New Roman"/>
          <w:b w:val="0"/>
          <w:bCs w:val="0"/>
          <w:color w:val="auto"/>
          <w:lang w:val="en-US" w:eastAsia="zh-CN"/>
        </w:rPr>
        <w:t>3</w:t>
      </w:r>
      <w:r>
        <w:rPr>
          <w:rFonts w:hint="eastAsia" w:cs="Times New Roman"/>
          <w:b w:val="0"/>
          <w:bCs w:val="0"/>
          <w:color w:val="auto"/>
          <w:lang w:eastAsia="zh-CN"/>
        </w:rPr>
        <w:t>）在</w:t>
      </w:r>
      <w:r>
        <w:rPr>
          <w:rFonts w:hint="eastAsia" w:cs="Times New Roman"/>
          <w:b w:val="0"/>
          <w:bCs w:val="0"/>
          <w:color w:val="auto"/>
          <w:lang w:val="en-US" w:eastAsia="zh-CN"/>
        </w:rPr>
        <w:t>信息</w:t>
      </w:r>
      <w:r>
        <w:rPr>
          <w:rFonts w:hint="eastAsia" w:cs="Times New Roman"/>
          <w:b w:val="0"/>
          <w:bCs w:val="0"/>
          <w:color w:val="auto"/>
          <w:lang w:eastAsia="zh-CN"/>
        </w:rPr>
        <w:t>机房作业时，应遵守</w:t>
      </w:r>
      <w:r>
        <w:rPr>
          <w:rFonts w:hint="eastAsia" w:cs="Times New Roman"/>
          <w:b w:val="0"/>
          <w:bCs w:val="0"/>
          <w:color w:val="auto"/>
          <w:lang w:val="en-US" w:eastAsia="zh-CN"/>
        </w:rPr>
        <w:t>信息</w:t>
      </w:r>
      <w:r>
        <w:rPr>
          <w:rFonts w:hint="eastAsia" w:cs="Times New Roman"/>
          <w:b w:val="0"/>
          <w:bCs w:val="0"/>
          <w:color w:val="auto"/>
          <w:lang w:eastAsia="zh-CN"/>
        </w:rPr>
        <w:t>机房的管理制度，严禁在机房内饮水、吸烟。需动用运行设备、缆线时须经建设方许可，严格按照施工组织方案实施，本班施工结束后应检查动用设备运行情况，并及时清理现场。</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w:t>
      </w:r>
      <w:r>
        <w:rPr>
          <w:rFonts w:hint="eastAsia" w:cs="Times New Roman"/>
          <w:b w:val="0"/>
          <w:bCs w:val="0"/>
          <w:color w:val="auto"/>
          <w:lang w:val="en-US" w:eastAsia="zh-CN"/>
        </w:rPr>
        <w:t>4</w:t>
      </w:r>
      <w:r>
        <w:rPr>
          <w:rFonts w:hint="eastAsia" w:cs="Times New Roman"/>
          <w:b w:val="0"/>
          <w:bCs w:val="0"/>
          <w:color w:val="auto"/>
          <w:lang w:eastAsia="zh-CN"/>
        </w:rPr>
        <w:t>）特殊作业人员必须佩带合格的劳保用品，外场作业施工人员必须佩戴安全帽，必须将扣带扣在下颚，行走时摔跤，安全帽从头部脱落。</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w:t>
      </w:r>
      <w:r>
        <w:rPr>
          <w:rFonts w:hint="eastAsia" w:cs="Times New Roman"/>
          <w:b w:val="0"/>
          <w:bCs w:val="0"/>
          <w:color w:val="auto"/>
          <w:lang w:val="en-US" w:eastAsia="zh-CN"/>
        </w:rPr>
        <w:t>5</w:t>
      </w:r>
      <w:r>
        <w:rPr>
          <w:rFonts w:hint="eastAsia" w:cs="Times New Roman"/>
          <w:b w:val="0"/>
          <w:bCs w:val="0"/>
          <w:color w:val="auto"/>
          <w:lang w:eastAsia="zh-CN"/>
        </w:rPr>
        <w:t>）现场施工用电制定专人负责，保证用电设备、用电环境的安全。</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w:t>
      </w:r>
      <w:r>
        <w:rPr>
          <w:rFonts w:hint="eastAsia" w:cs="Times New Roman"/>
          <w:b w:val="0"/>
          <w:bCs w:val="0"/>
          <w:color w:val="auto"/>
          <w:lang w:val="en-US" w:eastAsia="zh-CN"/>
        </w:rPr>
        <w:t>6</w:t>
      </w:r>
      <w:r>
        <w:rPr>
          <w:rFonts w:hint="eastAsia" w:cs="Times New Roman"/>
          <w:b w:val="0"/>
          <w:bCs w:val="0"/>
          <w:color w:val="auto"/>
          <w:lang w:eastAsia="zh-CN"/>
        </w:rPr>
        <w:t>）现场常配藿香正气液、创口贴、纱布等</w:t>
      </w:r>
      <w:r>
        <w:rPr>
          <w:rFonts w:hint="eastAsia" w:cs="Times New Roman"/>
          <w:b w:val="0"/>
          <w:bCs w:val="0"/>
          <w:color w:val="auto"/>
          <w:lang w:val="en-US" w:eastAsia="zh-CN"/>
        </w:rPr>
        <w:t>用</w:t>
      </w:r>
      <w:r>
        <w:rPr>
          <w:rFonts w:hint="eastAsia" w:cs="Times New Roman"/>
          <w:b w:val="0"/>
          <w:bCs w:val="0"/>
          <w:color w:val="auto"/>
          <w:lang w:eastAsia="zh-CN"/>
        </w:rPr>
        <w:t>品。</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w:t>
      </w:r>
      <w:r>
        <w:rPr>
          <w:rFonts w:hint="eastAsia" w:cs="Times New Roman"/>
          <w:b w:val="0"/>
          <w:bCs w:val="0"/>
          <w:color w:val="auto"/>
          <w:lang w:val="en-US" w:eastAsia="zh-CN"/>
        </w:rPr>
        <w:t>7</w:t>
      </w:r>
      <w:r>
        <w:rPr>
          <w:rFonts w:hint="eastAsia" w:cs="Times New Roman"/>
          <w:b w:val="0"/>
          <w:bCs w:val="0"/>
          <w:color w:val="auto"/>
          <w:lang w:eastAsia="zh-CN"/>
        </w:rPr>
        <w:t>）严禁施工人员在作业面丢弃物件，防止高空坠物的出现。</w:t>
      </w:r>
    </w:p>
    <w:p>
      <w:pPr>
        <w:pStyle w:val="7"/>
        <w:tabs>
          <w:tab w:val="left" w:pos="864"/>
          <w:tab w:val="clear" w:pos="0"/>
        </w:tabs>
        <w:spacing w:before="156" w:after="156"/>
        <w:rPr>
          <w:color w:val="000000"/>
        </w:rPr>
      </w:pPr>
      <w:bookmarkStart w:id="417" w:name="_Toc515192606"/>
      <w:r>
        <w:rPr>
          <w:rFonts w:hint="eastAsia"/>
          <w:color w:val="000000"/>
        </w:rPr>
        <w:t>施工交通安全</w:t>
      </w:r>
      <w:bookmarkEnd w:id="417"/>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施工单位应按《道路交通安全法》的有关规定，加强机动车辆的使用和行车安全管理，杜绝因违章引发的交通事故。</w:t>
      </w:r>
    </w:p>
    <w:p>
      <w:pPr>
        <w:pStyle w:val="7"/>
        <w:tabs>
          <w:tab w:val="left" w:pos="864"/>
          <w:tab w:val="clear" w:pos="0"/>
        </w:tabs>
        <w:spacing w:before="156" w:after="156"/>
        <w:rPr>
          <w:color w:val="000000"/>
        </w:rPr>
      </w:pPr>
      <w:bookmarkStart w:id="418" w:name="_Toc515192607"/>
      <w:r>
        <w:rPr>
          <w:rFonts w:hint="eastAsia"/>
          <w:color w:val="000000"/>
        </w:rPr>
        <w:t>消防安全及施工用电安全要求</w:t>
      </w:r>
      <w:bookmarkEnd w:id="418"/>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（1）机房内施工不得使用明火。在封闭和特殊要求的施工场所严禁吸烟。</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2）施工现场用的各种电气设备，必须按规定采取可靠的接地保护，并应由电工专业人员负责电源线的存放和连接。用电工具使用前要检查，保证绝缘良好，所有用电设备在拆、修或移动时必须断电后进行；用电工具的电源线采用绝缘护套导线，避免交叉和缠绕。</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（3）电工持证上岗，并按规定穿绝缘鞋、戴绝缘手套、使用绝缘工具，严禁带电接线、带负荷插拔插头。</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（4）如需从外部引入临时用电，严禁直接搭接在电源线上，必须使用开关。</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（5）在城区、城镇附近施工，交叉跨越民用电力线较多，施工时需特别小心，注意能停电作业的，宜临时联系停电，杜绝触电事故发生。</w:t>
      </w:r>
    </w:p>
    <w:p>
      <w:pPr>
        <w:pStyle w:val="6"/>
        <w:keepNext w:val="0"/>
        <w:rPr>
          <w:rFonts w:hint="eastAsia"/>
          <w:color w:val="auto"/>
        </w:rPr>
      </w:pPr>
      <w:bookmarkStart w:id="419" w:name="_Toc7121"/>
      <w:r>
        <w:rPr>
          <w:rFonts w:hint="eastAsia"/>
          <w:color w:val="auto"/>
        </w:rPr>
        <w:t>节能措施</w:t>
      </w:r>
      <w:bookmarkEnd w:id="415"/>
      <w:bookmarkEnd w:id="419"/>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项目在设备采购时，优先选用节能型电器产品，通过科学管理手段和措施，实现供配电设备的经济运行，以保证供、配电系统的能效指标，采取相应的节能措施。</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根据用电性质、用电容量，选择合理供电电压和供电方式。</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优化用电设备的工作状态，合理分配与平衡负荷，使用点均衡化，提高项目负荷率。</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用电设备均选用国家推荐的节能型机电设备，减少能源消耗。电气线路采用静电容器补偿无功负荷，配电室内安装低压电容器补偿屏，使生产装置在最大负荷时补偿后功率因数提高到0.95以上，减少无功功率损耗。</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根据使用场所和周围环境要求及不同电光源的发光特点，优化照明设计，选择合理照明方式。在保证照明质量的前提下，优化选用光效高，显示性好的光源及配光合理、安全、高效的节能型灯具。</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通风空调系统节能措施，根据不同使用功能与需求，选择适当设计参数（使用空间、人员疏密、空调时段、室内温度、湿度要求、换气次数等），划分不同的空气调节区和选用配套的设计系统。</w:t>
      </w:r>
    </w:p>
    <w:p>
      <w:pPr>
        <w:pStyle w:val="43"/>
        <w:keepNext w:val="0"/>
        <w:keepLines w:val="0"/>
        <w:pageBreakBefore w:val="0"/>
        <w:widowControl w:val="0"/>
        <w:kinsoku/>
        <w:wordWrap/>
        <w:overflowPunct/>
        <w:topLinePunct w:val="0"/>
        <w:autoSpaceDE/>
        <w:autoSpaceDN/>
        <w:bidi w:val="0"/>
        <w:adjustRightInd w:val="0"/>
        <w:snapToGrid w:val="0"/>
        <w:ind w:firstLine="524"/>
        <w:textAlignment w:val="auto"/>
        <w:rPr>
          <w:rFonts w:hint="eastAsia" w:cs="Times New Roman"/>
          <w:b w:val="0"/>
          <w:bCs w:val="0"/>
          <w:color w:val="auto"/>
          <w:lang w:eastAsia="zh-CN"/>
        </w:rPr>
      </w:pPr>
      <w:r>
        <w:rPr>
          <w:rFonts w:hint="eastAsia" w:cs="Times New Roman"/>
          <w:b w:val="0"/>
          <w:bCs w:val="0"/>
          <w:color w:val="auto"/>
          <w:lang w:eastAsia="zh-CN"/>
        </w:rPr>
        <w:t>动力供应设施尽量靠近负荷中心，减少了动力能源的损耗。</w:t>
      </w:r>
    </w:p>
    <w:bookmarkEnd w:id="396"/>
    <w:bookmarkEnd w:id="397"/>
    <w:p>
      <w:pPr>
        <w:pStyle w:val="4"/>
        <w:spacing w:before="156" w:after="156"/>
        <w:rPr>
          <w:rFonts w:hint="default"/>
          <w:color w:val="auto"/>
          <w:lang w:val="en-GB"/>
        </w:rPr>
      </w:pPr>
      <w:bookmarkStart w:id="420" w:name="_Toc28094"/>
      <w:bookmarkStart w:id="421" w:name="_Toc4817"/>
      <w:r>
        <w:rPr>
          <w:rFonts w:hint="eastAsia"/>
          <w:color w:val="auto"/>
          <w:lang w:val="en-GB"/>
        </w:rPr>
        <w:t>项目验收与绩效评价</w:t>
      </w:r>
      <w:bookmarkEnd w:id="420"/>
    </w:p>
    <w:p>
      <w:pPr>
        <w:pStyle w:val="5"/>
        <w:tabs>
          <w:tab w:val="left" w:pos="420"/>
          <w:tab w:val="left" w:pos="718"/>
        </w:tabs>
        <w:spacing w:before="196" w:after="196"/>
        <w:ind w:left="575" w:hanging="575"/>
        <w:rPr>
          <w:rFonts w:hint="eastAsia"/>
          <w:color w:val="auto"/>
        </w:rPr>
      </w:pPr>
      <w:bookmarkStart w:id="422" w:name="_Toc20336"/>
      <w:bookmarkStart w:id="423" w:name="_Toc16284"/>
      <w:r>
        <w:rPr>
          <w:rFonts w:hint="eastAsia"/>
          <w:color w:val="auto"/>
          <w:lang w:val="en-US" w:eastAsia="zh-CN"/>
        </w:rPr>
        <w:t>项目验收方案</w:t>
      </w:r>
      <w:bookmarkEnd w:id="422"/>
      <w:bookmarkEnd w:id="423"/>
    </w:p>
    <w:p>
      <w:pPr>
        <w:pStyle w:val="6"/>
        <w:tabs>
          <w:tab w:val="left" w:pos="420"/>
          <w:tab w:val="left" w:pos="718"/>
        </w:tabs>
        <w:spacing w:before="196" w:after="196"/>
        <w:ind w:left="575" w:hanging="575"/>
        <w:rPr>
          <w:rFonts w:hint="eastAsia"/>
          <w:color w:val="auto"/>
        </w:rPr>
      </w:pPr>
      <w:bookmarkStart w:id="424" w:name="_Toc23183"/>
      <w:bookmarkStart w:id="425" w:name="_Toc10176"/>
      <w:r>
        <w:rPr>
          <w:rFonts w:hint="eastAsia"/>
          <w:color w:val="auto"/>
          <w:lang w:val="en-US" w:eastAsia="zh-CN"/>
        </w:rPr>
        <w:t>项目验收的前提条件</w:t>
      </w:r>
      <w:bookmarkEnd w:id="424"/>
      <w:bookmarkEnd w:id="425"/>
    </w:p>
    <w:p>
      <w:pPr>
        <w:pStyle w:val="43"/>
        <w:rPr>
          <w:rFonts w:hint="eastAsia"/>
          <w:color w:val="auto"/>
        </w:rPr>
      </w:pPr>
      <w:r>
        <w:rPr>
          <w:rFonts w:hint="eastAsia"/>
          <w:color w:val="auto"/>
        </w:rPr>
        <w:t>（一）所有建设项目按照合同要求全部建成，并符合项目的建设目标；</w:t>
      </w:r>
    </w:p>
    <w:p>
      <w:pPr>
        <w:pStyle w:val="43"/>
        <w:rPr>
          <w:rFonts w:hint="eastAsia"/>
          <w:color w:val="auto"/>
        </w:rPr>
      </w:pPr>
      <w:r>
        <w:rPr>
          <w:rFonts w:hint="eastAsia"/>
          <w:color w:val="auto"/>
        </w:rPr>
        <w:t>（二）项目的功能、性能等指标达到项目设计的要求；</w:t>
      </w:r>
    </w:p>
    <w:p>
      <w:pPr>
        <w:pStyle w:val="43"/>
        <w:rPr>
          <w:rFonts w:hint="eastAsia"/>
          <w:color w:val="auto"/>
        </w:rPr>
      </w:pPr>
      <w:r>
        <w:rPr>
          <w:rFonts w:hint="eastAsia"/>
          <w:color w:val="auto"/>
        </w:rPr>
        <w:t>（三）已通过软件确认测试评审；</w:t>
      </w:r>
    </w:p>
    <w:p>
      <w:pPr>
        <w:pStyle w:val="43"/>
        <w:rPr>
          <w:rFonts w:hint="eastAsia"/>
          <w:color w:val="auto"/>
        </w:rPr>
      </w:pPr>
      <w:r>
        <w:rPr>
          <w:rFonts w:hint="eastAsia"/>
          <w:color w:val="auto"/>
        </w:rPr>
        <w:t>（四）已通过软件系统测试评审；</w:t>
      </w:r>
    </w:p>
    <w:p>
      <w:pPr>
        <w:pStyle w:val="43"/>
        <w:rPr>
          <w:rFonts w:hint="eastAsia"/>
          <w:color w:val="auto"/>
        </w:rPr>
      </w:pPr>
      <w:r>
        <w:rPr>
          <w:rFonts w:hint="eastAsia"/>
          <w:color w:val="auto"/>
        </w:rPr>
        <w:t>（五）软件已置于配置管理之下；</w:t>
      </w:r>
    </w:p>
    <w:p>
      <w:pPr>
        <w:pStyle w:val="43"/>
        <w:rPr>
          <w:rFonts w:hint="eastAsia"/>
          <w:color w:val="auto"/>
        </w:rPr>
      </w:pPr>
      <w:r>
        <w:rPr>
          <w:rFonts w:hint="eastAsia"/>
          <w:color w:val="auto"/>
        </w:rPr>
        <w:t>（六）各种设备经加电试运行，状态正常；</w:t>
      </w:r>
    </w:p>
    <w:p>
      <w:pPr>
        <w:pStyle w:val="43"/>
        <w:rPr>
          <w:rFonts w:hint="eastAsia"/>
          <w:color w:val="auto"/>
        </w:rPr>
      </w:pPr>
      <w:r>
        <w:rPr>
          <w:rFonts w:hint="eastAsia"/>
          <w:color w:val="auto"/>
        </w:rPr>
        <w:t>（七）外购的操作系统、数据库、中间件、应用软件和开发工具符合知识产权相关政策法规的要求；</w:t>
      </w:r>
    </w:p>
    <w:p>
      <w:pPr>
        <w:pStyle w:val="43"/>
        <w:rPr>
          <w:rFonts w:hint="eastAsia"/>
          <w:color w:val="auto"/>
        </w:rPr>
      </w:pPr>
      <w:r>
        <w:rPr>
          <w:rFonts w:hint="eastAsia"/>
          <w:color w:val="auto"/>
        </w:rPr>
        <w:t>（八）系统建设和数据处理符合信息安全的要求，涉密信息系统需提供保密主管部门出具的验收合格证书；</w:t>
      </w:r>
    </w:p>
    <w:p>
      <w:pPr>
        <w:pStyle w:val="43"/>
        <w:rPr>
          <w:rFonts w:hint="eastAsia"/>
          <w:color w:val="auto"/>
          <w:lang w:eastAsia="zh-CN"/>
        </w:rPr>
      </w:pPr>
      <w:r>
        <w:rPr>
          <w:rFonts w:hint="eastAsia"/>
          <w:color w:val="auto"/>
        </w:rPr>
        <w:t>（九）项目已试运行3个月</w:t>
      </w:r>
      <w:r>
        <w:rPr>
          <w:rFonts w:hint="eastAsia"/>
          <w:color w:val="auto"/>
          <w:lang w:eastAsia="zh-CN"/>
        </w:rPr>
        <w:t>；</w:t>
      </w:r>
    </w:p>
    <w:p>
      <w:pPr>
        <w:pStyle w:val="43"/>
        <w:rPr>
          <w:rFonts w:hint="eastAsia"/>
          <w:color w:val="auto"/>
        </w:rPr>
      </w:pPr>
      <w:r>
        <w:rPr>
          <w:rFonts w:hint="eastAsia"/>
          <w:color w:val="auto"/>
        </w:rPr>
        <w:t>（十）各种技术文档和验收资料</w:t>
      </w:r>
      <w:r>
        <w:rPr>
          <w:rFonts w:hint="eastAsia"/>
          <w:color w:val="auto"/>
          <w:lang w:val="en-US" w:eastAsia="zh-CN"/>
        </w:rPr>
        <w:t>齐全</w:t>
      </w:r>
      <w:r>
        <w:rPr>
          <w:rFonts w:hint="eastAsia"/>
          <w:color w:val="auto"/>
        </w:rPr>
        <w:t>，符合合同的内容；</w:t>
      </w:r>
    </w:p>
    <w:p>
      <w:pPr>
        <w:pStyle w:val="43"/>
        <w:rPr>
          <w:rFonts w:hint="eastAsia"/>
          <w:color w:val="auto"/>
        </w:rPr>
      </w:pPr>
      <w:r>
        <w:rPr>
          <w:rFonts w:hint="eastAsia"/>
          <w:color w:val="auto"/>
        </w:rPr>
        <w:t>（十一）经过监理方同意；</w:t>
      </w:r>
    </w:p>
    <w:p>
      <w:pPr>
        <w:pStyle w:val="43"/>
        <w:rPr>
          <w:rFonts w:hint="eastAsia"/>
          <w:color w:val="auto"/>
        </w:rPr>
      </w:pPr>
      <w:r>
        <w:rPr>
          <w:rFonts w:hint="eastAsia"/>
          <w:color w:val="auto"/>
        </w:rPr>
        <w:t>（十二）经过相关主管部门和项目业主同意；</w:t>
      </w:r>
    </w:p>
    <w:p>
      <w:pPr>
        <w:pStyle w:val="43"/>
        <w:rPr>
          <w:rFonts w:hint="eastAsia"/>
          <w:color w:val="auto"/>
        </w:rPr>
      </w:pPr>
      <w:r>
        <w:rPr>
          <w:rFonts w:hint="eastAsia"/>
          <w:color w:val="auto"/>
        </w:rPr>
        <w:t>（十</w:t>
      </w:r>
      <w:r>
        <w:rPr>
          <w:rFonts w:hint="eastAsia"/>
          <w:color w:val="auto"/>
          <w:lang w:val="en-US" w:eastAsia="zh-CN"/>
        </w:rPr>
        <w:t>三</w:t>
      </w:r>
      <w:r>
        <w:rPr>
          <w:rFonts w:hint="eastAsia"/>
          <w:color w:val="auto"/>
        </w:rPr>
        <w:t>）合同或合同附件规定的其他验收条件。</w:t>
      </w:r>
    </w:p>
    <w:p>
      <w:pPr>
        <w:pStyle w:val="6"/>
        <w:tabs>
          <w:tab w:val="left" w:pos="420"/>
          <w:tab w:val="left" w:pos="718"/>
        </w:tabs>
        <w:spacing w:before="196" w:after="196"/>
        <w:ind w:left="575" w:hanging="575"/>
        <w:rPr>
          <w:rFonts w:hint="eastAsia"/>
          <w:color w:val="auto"/>
        </w:rPr>
      </w:pPr>
      <w:bookmarkStart w:id="426" w:name="_Toc16035"/>
      <w:bookmarkStart w:id="427" w:name="_Toc30725"/>
      <w:r>
        <w:rPr>
          <w:rFonts w:hint="eastAsia"/>
          <w:color w:val="auto"/>
          <w:lang w:val="en-US" w:eastAsia="zh-CN"/>
        </w:rPr>
        <w:t>项目验收方法</w:t>
      </w:r>
      <w:bookmarkEnd w:id="426"/>
      <w:bookmarkEnd w:id="427"/>
    </w:p>
    <w:p>
      <w:pPr>
        <w:pStyle w:val="43"/>
        <w:rPr>
          <w:rFonts w:hint="eastAsia"/>
          <w:color w:val="auto"/>
        </w:rPr>
      </w:pPr>
      <w:r>
        <w:rPr>
          <w:rFonts w:hint="eastAsia"/>
          <w:color w:val="auto"/>
        </w:rPr>
        <w:t>项目验收，是项目开发建设中有组织的主动性行为，它是对项目建设高度负责的体现，也是项目建设成功的重要保证。切实做好项目建设中的验收工作至关重要，应当采取有效措施，实实在在做好。为保证项目验收质量，针对不同的验收内容，在实施验收操作中，可以采取以下不同的方法：</w:t>
      </w:r>
    </w:p>
    <w:p>
      <w:pPr>
        <w:pStyle w:val="43"/>
        <w:rPr>
          <w:rFonts w:hint="eastAsia" w:ascii="宋体" w:hAnsi="宋体" w:eastAsia="宋体"/>
          <w:b/>
          <w:bCs/>
          <w:color w:val="auto"/>
          <w:lang w:val="en-US" w:eastAsia="zh-CN"/>
        </w:rPr>
      </w:pPr>
      <w:r>
        <w:rPr>
          <w:rFonts w:hint="eastAsia" w:ascii="宋体" w:hAnsi="宋体" w:eastAsia="宋体"/>
          <w:b/>
          <w:bCs/>
          <w:color w:val="auto"/>
          <w:lang w:val="en-US" w:eastAsia="zh-CN"/>
        </w:rPr>
        <w:t>（一）登记法</w:t>
      </w:r>
    </w:p>
    <w:p>
      <w:pPr>
        <w:pStyle w:val="43"/>
        <w:rPr>
          <w:rFonts w:hint="eastAsia"/>
          <w:color w:val="auto"/>
        </w:rPr>
      </w:pPr>
      <w:r>
        <w:rPr>
          <w:rFonts w:hint="eastAsia"/>
          <w:color w:val="auto"/>
        </w:rPr>
        <w:t>对项目中所涉及的所有硬件、软件和应用程序一一登记，特别是硬件使用手册、系统软件使用手册、应用程序各种技术文档等一定要登记造册，不可遗漏，并妥善保管。对项目建设中根据实际进展情况双方同意后修订的合同条款、协调开发建设中的问题进行登记。</w:t>
      </w:r>
    </w:p>
    <w:p>
      <w:pPr>
        <w:pStyle w:val="43"/>
        <w:rPr>
          <w:rFonts w:hint="eastAsia" w:ascii="宋体" w:hAnsi="宋体" w:eastAsia="宋体"/>
          <w:b/>
          <w:bCs/>
          <w:color w:val="auto"/>
          <w:lang w:val="en-US" w:eastAsia="zh-CN"/>
        </w:rPr>
      </w:pPr>
      <w:r>
        <w:rPr>
          <w:rFonts w:hint="eastAsia" w:ascii="宋体" w:hAnsi="宋体" w:eastAsia="宋体"/>
          <w:b/>
          <w:bCs/>
          <w:color w:val="auto"/>
          <w:lang w:val="en-US" w:eastAsia="zh-CN"/>
        </w:rPr>
        <w:t>（二）对照法</w:t>
      </w:r>
    </w:p>
    <w:p>
      <w:pPr>
        <w:pStyle w:val="43"/>
        <w:rPr>
          <w:rFonts w:hint="eastAsia"/>
          <w:color w:val="auto"/>
        </w:rPr>
      </w:pPr>
      <w:r>
        <w:rPr>
          <w:rFonts w:hint="eastAsia"/>
          <w:color w:val="auto"/>
        </w:rPr>
        <w:t>对照检查项目各项建设内容的结果是否与合同条款及工程实施方案相一致。</w:t>
      </w:r>
    </w:p>
    <w:p>
      <w:pPr>
        <w:pStyle w:val="43"/>
        <w:rPr>
          <w:rFonts w:hint="eastAsia" w:ascii="宋体" w:hAnsi="宋体" w:eastAsia="宋体"/>
          <w:b/>
          <w:bCs/>
          <w:color w:val="auto"/>
          <w:lang w:val="en-US" w:eastAsia="zh-CN"/>
        </w:rPr>
      </w:pPr>
      <w:r>
        <w:rPr>
          <w:rFonts w:hint="eastAsia" w:ascii="宋体" w:hAnsi="宋体" w:eastAsia="宋体"/>
          <w:b/>
          <w:bCs/>
          <w:color w:val="auto"/>
          <w:lang w:val="en-US" w:eastAsia="zh-CN"/>
        </w:rPr>
        <w:t>（三）操作法</w:t>
      </w:r>
    </w:p>
    <w:p>
      <w:pPr>
        <w:pStyle w:val="43"/>
        <w:rPr>
          <w:rFonts w:hint="eastAsia"/>
          <w:color w:val="auto"/>
        </w:rPr>
      </w:pPr>
      <w:r>
        <w:rPr>
          <w:rFonts w:hint="eastAsia"/>
          <w:color w:val="auto"/>
        </w:rPr>
        <w:t>这是项目建设最主要的验收方法。首先，对项目系统硬件一一实际加电操作，验证是否与硬件提供的技术性能相一致；其次，运行项目系统软件，检验其管理硬件及应用软件的实际能力是否与合同规定的一致；第三，运行应用软件，实际操作，处理业务，检查是否与合同规定的一致，达到了预期的目的。</w:t>
      </w:r>
    </w:p>
    <w:p>
      <w:pPr>
        <w:pStyle w:val="43"/>
        <w:rPr>
          <w:rFonts w:hint="eastAsia" w:ascii="宋体" w:hAnsi="宋体" w:eastAsia="宋体"/>
          <w:b/>
          <w:bCs/>
          <w:color w:val="auto"/>
          <w:lang w:val="en-US" w:eastAsia="zh-CN"/>
        </w:rPr>
      </w:pPr>
      <w:r>
        <w:rPr>
          <w:rFonts w:hint="eastAsia" w:ascii="宋体" w:hAnsi="宋体" w:eastAsia="宋体"/>
          <w:b/>
          <w:bCs/>
          <w:color w:val="auto"/>
          <w:lang w:val="en-US" w:eastAsia="zh-CN"/>
        </w:rPr>
        <w:t>（四）测试法</w:t>
      </w:r>
    </w:p>
    <w:p>
      <w:pPr>
        <w:pStyle w:val="43"/>
        <w:rPr>
          <w:rFonts w:hint="eastAsia"/>
          <w:color w:val="auto"/>
        </w:rPr>
      </w:pPr>
      <w:r>
        <w:rPr>
          <w:rFonts w:hint="eastAsia"/>
          <w:color w:val="auto"/>
        </w:rPr>
        <w:t>对能使用检测仪器进行检测的设备、实施应当一一进行实际测试，检查是否和设备、实施的规格、性能要求相一致。</w:t>
      </w:r>
    </w:p>
    <w:p>
      <w:pPr>
        <w:pStyle w:val="6"/>
        <w:tabs>
          <w:tab w:val="left" w:pos="420"/>
          <w:tab w:val="left" w:pos="718"/>
        </w:tabs>
        <w:spacing w:before="196" w:after="196"/>
        <w:ind w:left="575" w:hanging="575"/>
        <w:rPr>
          <w:rFonts w:hint="eastAsia"/>
          <w:color w:val="auto"/>
        </w:rPr>
      </w:pPr>
      <w:bookmarkStart w:id="428" w:name="_Toc17604"/>
      <w:bookmarkStart w:id="429" w:name="_Toc18260"/>
      <w:r>
        <w:rPr>
          <w:rFonts w:hint="eastAsia"/>
          <w:color w:val="auto"/>
          <w:lang w:val="en-US" w:eastAsia="zh-CN"/>
        </w:rPr>
        <w:t>项目验收程序</w:t>
      </w:r>
      <w:bookmarkEnd w:id="428"/>
      <w:bookmarkEnd w:id="429"/>
    </w:p>
    <w:p>
      <w:pPr>
        <w:pStyle w:val="7"/>
        <w:bidi w:val="0"/>
        <w:rPr>
          <w:rFonts w:hint="eastAsia"/>
          <w:lang w:val="en-US" w:eastAsia="zh-CN"/>
        </w:rPr>
      </w:pPr>
      <w:r>
        <w:rPr>
          <w:rFonts w:hint="eastAsia"/>
          <w:lang w:val="en-US" w:eastAsia="zh-CN"/>
        </w:rPr>
        <w:t>一般项目</w:t>
      </w:r>
    </w:p>
    <w:p>
      <w:pPr>
        <w:pStyle w:val="43"/>
        <w:rPr>
          <w:rFonts w:hint="eastAsia" w:ascii="宋体" w:hAnsi="宋体" w:eastAsia="宋体"/>
          <w:b/>
          <w:bCs/>
          <w:color w:val="auto"/>
        </w:rPr>
      </w:pPr>
      <w:r>
        <w:rPr>
          <w:rFonts w:hint="eastAsia" w:ascii="宋体" w:hAnsi="宋体" w:eastAsia="宋体"/>
          <w:b/>
          <w:bCs/>
          <w:color w:val="auto"/>
          <w:lang w:val="en-US" w:eastAsia="zh-CN"/>
        </w:rPr>
        <w:t>一、</w:t>
      </w:r>
      <w:r>
        <w:rPr>
          <w:rFonts w:hint="eastAsia" w:ascii="宋体" w:hAnsi="宋体" w:eastAsia="宋体"/>
          <w:b/>
          <w:bCs/>
          <w:color w:val="auto"/>
        </w:rPr>
        <w:t>验收流程图</w:t>
      </w:r>
    </w:p>
    <w:p>
      <w:pPr>
        <w:ind w:left="0" w:leftChars="0" w:firstLine="0" w:firstLineChars="0"/>
        <w:jc w:val="center"/>
      </w:pPr>
      <w:r>
        <w:drawing>
          <wp:inline distT="0" distB="0" distL="114300" distR="114300">
            <wp:extent cx="3651250" cy="4229100"/>
            <wp:effectExtent l="0" t="0" r="6350" b="762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2"/>
                    <a:stretch>
                      <a:fillRect/>
                    </a:stretch>
                  </pic:blipFill>
                  <pic:spPr>
                    <a:xfrm>
                      <a:off x="0" y="0"/>
                      <a:ext cx="3651250" cy="4229100"/>
                    </a:xfrm>
                    <a:prstGeom prst="rect">
                      <a:avLst/>
                    </a:prstGeom>
                    <a:noFill/>
                    <a:ln>
                      <a:noFill/>
                    </a:ln>
                  </pic:spPr>
                </pic:pic>
              </a:graphicData>
            </a:graphic>
          </wp:inline>
        </w:drawing>
      </w:r>
    </w:p>
    <w:p>
      <w:pPr>
        <w:pStyle w:val="51"/>
        <w:bidi w:val="0"/>
        <w:rPr>
          <w:rFonts w:hint="default"/>
          <w:lang w:val="en-US" w:eastAsia="zh-CN"/>
        </w:rPr>
      </w:pPr>
      <w:bookmarkStart w:id="430" w:name="_Toc23000"/>
      <w:r>
        <w:rPr>
          <w:rFonts w:hint="eastAsia"/>
          <w:lang w:val="en-US" w:eastAsia="zh-CN"/>
        </w:rPr>
        <w:t>一般项目验收流程图</w:t>
      </w:r>
      <w:bookmarkEnd w:id="430"/>
    </w:p>
    <w:p>
      <w:pPr>
        <w:pStyle w:val="43"/>
        <w:rPr>
          <w:rFonts w:hint="eastAsia" w:ascii="宋体" w:hAnsi="宋体" w:eastAsia="宋体"/>
          <w:b/>
          <w:bCs/>
          <w:color w:val="auto"/>
          <w:lang w:val="en-US" w:eastAsia="zh-CN"/>
        </w:rPr>
      </w:pPr>
      <w:r>
        <w:rPr>
          <w:rFonts w:hint="eastAsia" w:ascii="宋体" w:hAnsi="宋体" w:eastAsia="宋体"/>
          <w:b/>
          <w:bCs/>
          <w:color w:val="auto"/>
          <w:lang w:val="en-US" w:eastAsia="zh-CN"/>
        </w:rPr>
        <w:t>二、验收准备</w:t>
      </w:r>
      <w:r>
        <w:rPr>
          <w:rFonts w:hint="eastAsia" w:ascii="宋体" w:hAnsi="宋体" w:eastAsia="宋体"/>
          <w:b/>
          <w:bCs/>
          <w:color w:val="auto"/>
          <w:lang w:val="en-US" w:eastAsia="zh-CN"/>
        </w:rPr>
        <w:tab/>
      </w:r>
    </w:p>
    <w:p>
      <w:pPr>
        <w:autoSpaceDE w:val="0"/>
        <w:autoSpaceDN w:val="0"/>
        <w:adjustRightInd w:val="0"/>
        <w:spacing w:line="360" w:lineRule="auto"/>
        <w:ind w:firstLine="524" w:firstLineChars="200"/>
        <w:rPr>
          <w:sz w:val="24"/>
        </w:rPr>
      </w:pPr>
      <w:r>
        <w:rPr>
          <w:sz w:val="24"/>
        </w:rPr>
        <w:t>（1）承建单位按照合同或合同附件的要求，完成各种技术文档；</w:t>
      </w:r>
    </w:p>
    <w:p>
      <w:pPr>
        <w:autoSpaceDE w:val="0"/>
        <w:autoSpaceDN w:val="0"/>
        <w:adjustRightInd w:val="0"/>
        <w:spacing w:line="360" w:lineRule="auto"/>
        <w:ind w:firstLine="524" w:firstLineChars="200"/>
        <w:rPr>
          <w:sz w:val="24"/>
        </w:rPr>
      </w:pPr>
      <w:r>
        <w:rPr>
          <w:sz w:val="24"/>
        </w:rPr>
        <w:t>（2）各种设备经加电试运行，状态正常，稳定试运行至少3个月，承建单位编制项目试运行报告；</w:t>
      </w:r>
    </w:p>
    <w:p>
      <w:pPr>
        <w:autoSpaceDE w:val="0"/>
        <w:autoSpaceDN w:val="0"/>
        <w:adjustRightInd w:val="0"/>
        <w:spacing w:line="360" w:lineRule="auto"/>
        <w:ind w:firstLine="524" w:firstLineChars="200"/>
        <w:rPr>
          <w:sz w:val="24"/>
        </w:rPr>
      </w:pPr>
      <w:r>
        <w:rPr>
          <w:sz w:val="24"/>
        </w:rPr>
        <w:t>（3）承建单位整理所有技术文档和工程实施管理资料等项目文档，提交给建设单位。</w:t>
      </w:r>
    </w:p>
    <w:p>
      <w:pPr>
        <w:pStyle w:val="43"/>
        <w:rPr>
          <w:rFonts w:hint="eastAsia" w:ascii="宋体" w:hAnsi="宋体" w:eastAsia="宋体"/>
          <w:b/>
          <w:bCs/>
          <w:color w:val="auto"/>
          <w:lang w:val="en-US" w:eastAsia="zh-CN"/>
        </w:rPr>
      </w:pPr>
      <w:bookmarkStart w:id="431" w:name="_Toc122061037"/>
      <w:r>
        <w:rPr>
          <w:rFonts w:hint="eastAsia" w:ascii="宋体" w:hAnsi="宋体" w:eastAsia="宋体"/>
          <w:b/>
          <w:bCs/>
          <w:color w:val="auto"/>
          <w:lang w:val="en-US" w:eastAsia="zh-CN"/>
        </w:rPr>
        <w:t>三、验收测评</w:t>
      </w:r>
      <w:bookmarkEnd w:id="431"/>
    </w:p>
    <w:p>
      <w:pPr>
        <w:autoSpaceDE w:val="0"/>
        <w:autoSpaceDN w:val="0"/>
        <w:adjustRightInd w:val="0"/>
        <w:spacing w:line="360" w:lineRule="auto"/>
        <w:ind w:firstLine="524" w:firstLineChars="200"/>
        <w:rPr>
          <w:sz w:val="24"/>
        </w:rPr>
      </w:pPr>
      <w:r>
        <w:rPr>
          <w:sz w:val="24"/>
        </w:rPr>
        <w:t>（1）建设单位委托由政府采购程序确认的信息工程测评机构对项目具体实施测评（可根据具体项目情况选择测与不测）。测评费用由建设单位自行解决，整个验收费用（包括验收测评和专家费）不高于一万元。</w:t>
      </w:r>
    </w:p>
    <w:p>
      <w:pPr>
        <w:autoSpaceDE w:val="0"/>
        <w:autoSpaceDN w:val="0"/>
        <w:adjustRightInd w:val="0"/>
        <w:spacing w:line="360" w:lineRule="auto"/>
        <w:ind w:firstLine="524" w:firstLineChars="200"/>
        <w:rPr>
          <w:sz w:val="24"/>
        </w:rPr>
      </w:pPr>
      <w:r>
        <w:rPr>
          <w:sz w:val="24"/>
        </w:rPr>
        <w:t>（2）信息工程测评机构在接到建设单位委托后与建设单位签订测评合同，并按照项目要求编制测评方案，在测评实施前将测评方案提交给项目建设单位。</w:t>
      </w:r>
    </w:p>
    <w:p>
      <w:pPr>
        <w:autoSpaceDE w:val="0"/>
        <w:autoSpaceDN w:val="0"/>
        <w:adjustRightInd w:val="0"/>
        <w:spacing w:line="360" w:lineRule="auto"/>
        <w:ind w:firstLine="524" w:firstLineChars="200"/>
        <w:rPr>
          <w:sz w:val="24"/>
        </w:rPr>
      </w:pPr>
      <w:r>
        <w:rPr>
          <w:sz w:val="24"/>
        </w:rPr>
        <w:t>（4）信息工程测评机构完成验收测评后将测评报告提交给建设单位；</w:t>
      </w:r>
    </w:p>
    <w:p>
      <w:pPr>
        <w:autoSpaceDE w:val="0"/>
        <w:autoSpaceDN w:val="0"/>
        <w:adjustRightInd w:val="0"/>
        <w:spacing w:line="360" w:lineRule="auto"/>
        <w:ind w:firstLine="524" w:firstLineChars="200"/>
        <w:rPr>
          <w:sz w:val="24"/>
        </w:rPr>
      </w:pPr>
      <w:r>
        <w:rPr>
          <w:sz w:val="24"/>
        </w:rPr>
        <w:t>（5）如测评未通过，承建单位整改后，建设单位再次委托信息工程测评机构进行验收测评，测评费用由承建单位承担。信息工程测评机构完成验收测评后，将测评报告提交给建设单位和承建单位。</w:t>
      </w:r>
    </w:p>
    <w:p>
      <w:pPr>
        <w:pStyle w:val="43"/>
        <w:rPr>
          <w:rFonts w:hint="eastAsia" w:ascii="宋体" w:hAnsi="宋体" w:eastAsia="宋体"/>
          <w:b/>
          <w:bCs/>
          <w:color w:val="auto"/>
          <w:lang w:val="en-US" w:eastAsia="zh-CN"/>
        </w:rPr>
      </w:pPr>
      <w:r>
        <w:rPr>
          <w:rFonts w:hint="eastAsia" w:ascii="宋体" w:hAnsi="宋体" w:eastAsia="宋体"/>
          <w:b/>
          <w:bCs/>
          <w:color w:val="auto"/>
          <w:lang w:val="en-US" w:eastAsia="zh-CN"/>
        </w:rPr>
        <w:t>四、验收会议</w:t>
      </w:r>
    </w:p>
    <w:p>
      <w:pPr>
        <w:pStyle w:val="13"/>
        <w:spacing w:line="360" w:lineRule="auto"/>
        <w:ind w:firstLine="524" w:firstLineChars="200"/>
        <w:rPr>
          <w:sz w:val="24"/>
        </w:rPr>
      </w:pPr>
      <w:r>
        <w:rPr>
          <w:sz w:val="24"/>
        </w:rPr>
        <w:t>建设单位收到信息工程测评机构的测评报告后，组建验收组，召开验收会议。验收会议的主要步骤包括：</w:t>
      </w:r>
    </w:p>
    <w:p>
      <w:pPr>
        <w:autoSpaceDE w:val="0"/>
        <w:autoSpaceDN w:val="0"/>
        <w:adjustRightInd w:val="0"/>
        <w:spacing w:line="360" w:lineRule="auto"/>
        <w:ind w:firstLine="524" w:firstLineChars="200"/>
        <w:rPr>
          <w:sz w:val="24"/>
        </w:rPr>
      </w:pPr>
      <w:r>
        <w:rPr>
          <w:sz w:val="24"/>
        </w:rPr>
        <w:t>（1）建设单位作关于项目情况的报告；</w:t>
      </w:r>
    </w:p>
    <w:p>
      <w:pPr>
        <w:autoSpaceDE w:val="0"/>
        <w:autoSpaceDN w:val="0"/>
        <w:adjustRightInd w:val="0"/>
        <w:spacing w:line="360" w:lineRule="auto"/>
        <w:ind w:firstLine="524" w:firstLineChars="200"/>
        <w:rPr>
          <w:sz w:val="24"/>
        </w:rPr>
      </w:pPr>
      <w:r>
        <w:rPr>
          <w:sz w:val="24"/>
        </w:rPr>
        <w:t>（2）承建单位作关于项目建设情况、自检情况及竣工情况的报告；</w:t>
      </w:r>
    </w:p>
    <w:p>
      <w:pPr>
        <w:autoSpaceDE w:val="0"/>
        <w:autoSpaceDN w:val="0"/>
        <w:adjustRightInd w:val="0"/>
        <w:spacing w:line="360" w:lineRule="auto"/>
        <w:ind w:firstLine="524" w:firstLineChars="200"/>
        <w:rPr>
          <w:sz w:val="24"/>
        </w:rPr>
      </w:pPr>
      <w:r>
        <w:rPr>
          <w:sz w:val="24"/>
        </w:rPr>
        <w:t>（3）监理单位作关于项目监理内容、监理情况以及项目竣工意见的报告；</w:t>
      </w:r>
    </w:p>
    <w:p>
      <w:pPr>
        <w:autoSpaceDE w:val="0"/>
        <w:autoSpaceDN w:val="0"/>
        <w:adjustRightInd w:val="0"/>
        <w:spacing w:line="360" w:lineRule="auto"/>
        <w:ind w:firstLine="524" w:firstLineChars="200"/>
        <w:rPr>
          <w:sz w:val="24"/>
        </w:rPr>
      </w:pPr>
      <w:r>
        <w:rPr>
          <w:sz w:val="24"/>
        </w:rPr>
        <w:t>（4）如进行了验收测评，由信息工程测评机构作项目测评情况的报告；</w:t>
      </w:r>
    </w:p>
    <w:p>
      <w:pPr>
        <w:autoSpaceDE w:val="0"/>
        <w:autoSpaceDN w:val="0"/>
        <w:adjustRightInd w:val="0"/>
        <w:spacing w:line="360" w:lineRule="auto"/>
        <w:ind w:firstLine="524" w:firstLineChars="200"/>
        <w:rPr>
          <w:sz w:val="24"/>
        </w:rPr>
      </w:pPr>
      <w:r>
        <w:rPr>
          <w:sz w:val="24"/>
        </w:rPr>
        <w:t>（5）建设单位作试运行情况报告；</w:t>
      </w:r>
    </w:p>
    <w:p>
      <w:pPr>
        <w:autoSpaceDE w:val="0"/>
        <w:autoSpaceDN w:val="0"/>
        <w:adjustRightInd w:val="0"/>
        <w:spacing w:line="360" w:lineRule="auto"/>
        <w:ind w:firstLine="524" w:firstLineChars="200"/>
        <w:rPr>
          <w:sz w:val="24"/>
        </w:rPr>
      </w:pPr>
      <w:r>
        <w:rPr>
          <w:sz w:val="24"/>
        </w:rPr>
        <w:t>（6）验收组全体人员进行现场检查（根据具体项目情况选择）；</w:t>
      </w:r>
    </w:p>
    <w:p>
      <w:pPr>
        <w:autoSpaceDE w:val="0"/>
        <w:autoSpaceDN w:val="0"/>
        <w:adjustRightInd w:val="0"/>
        <w:spacing w:line="360" w:lineRule="auto"/>
        <w:ind w:firstLine="524" w:firstLineChars="200"/>
        <w:rPr>
          <w:sz w:val="24"/>
        </w:rPr>
      </w:pPr>
      <w:r>
        <w:rPr>
          <w:sz w:val="24"/>
        </w:rPr>
        <w:t>（7）验收组对关键问题进行抽样复核和资料评审；</w:t>
      </w:r>
    </w:p>
    <w:p>
      <w:pPr>
        <w:autoSpaceDE w:val="0"/>
        <w:autoSpaceDN w:val="0"/>
        <w:adjustRightInd w:val="0"/>
        <w:spacing w:line="360" w:lineRule="auto"/>
        <w:ind w:firstLine="524" w:firstLineChars="200"/>
        <w:rPr>
          <w:sz w:val="24"/>
        </w:rPr>
      </w:pPr>
      <w:r>
        <w:rPr>
          <w:sz w:val="24"/>
        </w:rPr>
        <w:t>（8）验收组对项目进行全面评价，给出验收意见和验收结论并签字。</w:t>
      </w:r>
    </w:p>
    <w:p>
      <w:pPr>
        <w:pStyle w:val="43"/>
        <w:rPr>
          <w:rFonts w:hint="eastAsia" w:ascii="宋体" w:hAnsi="宋体" w:eastAsia="宋体"/>
          <w:b/>
          <w:bCs/>
          <w:color w:val="auto"/>
          <w:lang w:val="en-US" w:eastAsia="zh-CN"/>
        </w:rPr>
      </w:pPr>
      <w:bookmarkStart w:id="432" w:name="_Toc122061039"/>
      <w:r>
        <w:rPr>
          <w:rFonts w:hint="eastAsia" w:ascii="宋体" w:hAnsi="宋体" w:eastAsia="宋体"/>
          <w:b/>
          <w:bCs/>
          <w:color w:val="auto"/>
          <w:lang w:val="en-US" w:eastAsia="zh-CN"/>
        </w:rPr>
        <w:t>五、验收交接</w:t>
      </w:r>
      <w:bookmarkEnd w:id="432"/>
    </w:p>
    <w:p>
      <w:pPr>
        <w:autoSpaceDE w:val="0"/>
        <w:autoSpaceDN w:val="0"/>
        <w:adjustRightInd w:val="0"/>
        <w:spacing w:line="360" w:lineRule="auto"/>
        <w:ind w:firstLine="524" w:firstLineChars="200"/>
        <w:rPr>
          <w:sz w:val="24"/>
        </w:rPr>
      </w:pPr>
      <w:r>
        <w:rPr>
          <w:sz w:val="24"/>
        </w:rPr>
        <w:t>（1）项目验收通过后，建设单位将验收文档资料作为项目的档案进行存档；</w:t>
      </w:r>
    </w:p>
    <w:p>
      <w:pPr>
        <w:autoSpaceDE w:val="0"/>
        <w:autoSpaceDN w:val="0"/>
        <w:adjustRightInd w:val="0"/>
        <w:spacing w:line="360" w:lineRule="auto"/>
        <w:ind w:firstLine="524" w:firstLineChars="200"/>
        <w:rPr>
          <w:sz w:val="24"/>
        </w:rPr>
      </w:pPr>
      <w:r>
        <w:rPr>
          <w:sz w:val="24"/>
        </w:rPr>
        <w:t>（2）承建单位向建设单位办理项目交接。</w:t>
      </w:r>
    </w:p>
    <w:p>
      <w:pPr>
        <w:pStyle w:val="43"/>
        <w:rPr>
          <w:rFonts w:hint="eastAsia" w:ascii="宋体" w:hAnsi="宋体" w:eastAsia="宋体"/>
          <w:b/>
          <w:bCs/>
          <w:color w:val="auto"/>
          <w:lang w:val="en-US" w:eastAsia="zh-CN"/>
        </w:rPr>
      </w:pPr>
      <w:r>
        <w:rPr>
          <w:rFonts w:hint="eastAsia" w:ascii="宋体" w:hAnsi="宋体" w:eastAsia="宋体"/>
          <w:b/>
          <w:bCs/>
          <w:color w:val="auto"/>
          <w:lang w:val="en-US" w:eastAsia="zh-CN"/>
        </w:rPr>
        <w:t>六、验收备案</w:t>
      </w:r>
    </w:p>
    <w:p>
      <w:pPr>
        <w:spacing w:line="360" w:lineRule="auto"/>
        <w:ind w:firstLine="524" w:firstLineChars="200"/>
        <w:rPr>
          <w:rFonts w:hint="eastAsia" w:eastAsia="宋体"/>
          <w:color w:val="auto"/>
          <w:szCs w:val="22"/>
          <w:lang w:val="en-US" w:eastAsia="zh-CN"/>
        </w:rPr>
      </w:pPr>
      <w:r>
        <w:rPr>
          <w:sz w:val="24"/>
        </w:rPr>
        <w:t>建设单位提交验收备案表（见附件2），并将项目概要、用户试用报告和验收结论报</w:t>
      </w:r>
      <w:r>
        <w:rPr>
          <w:rFonts w:hint="eastAsia"/>
          <w:sz w:val="24"/>
          <w:lang w:val="en-US" w:eastAsia="zh-CN"/>
        </w:rPr>
        <w:t>信息</w:t>
      </w:r>
      <w:r>
        <w:rPr>
          <w:rFonts w:hint="eastAsia"/>
          <w:sz w:val="24"/>
          <w:lang w:eastAsia="zh-CN"/>
        </w:rPr>
        <w:t>主管部门</w:t>
      </w:r>
      <w:r>
        <w:rPr>
          <w:sz w:val="24"/>
        </w:rPr>
        <w:t>备案。</w:t>
      </w:r>
    </w:p>
    <w:p>
      <w:pPr>
        <w:pStyle w:val="7"/>
        <w:bidi w:val="0"/>
        <w:rPr>
          <w:rFonts w:hint="eastAsia"/>
          <w:lang w:val="en-US" w:eastAsia="zh-CN"/>
        </w:rPr>
      </w:pPr>
      <w:r>
        <w:rPr>
          <w:rFonts w:hint="eastAsia"/>
          <w:lang w:val="en-US" w:eastAsia="zh-CN"/>
        </w:rPr>
        <w:t>大型及重大项目</w:t>
      </w:r>
    </w:p>
    <w:p>
      <w:pPr>
        <w:pStyle w:val="43"/>
        <w:rPr>
          <w:rFonts w:hint="eastAsia" w:ascii="宋体" w:hAnsi="宋体" w:eastAsia="宋体"/>
          <w:b/>
          <w:bCs/>
          <w:color w:val="auto"/>
          <w:lang w:val="en-US" w:eastAsia="zh-CN"/>
        </w:rPr>
      </w:pPr>
      <w:r>
        <w:rPr>
          <w:rFonts w:hint="eastAsia" w:ascii="宋体" w:hAnsi="宋体" w:eastAsia="宋体"/>
          <w:b/>
          <w:bCs/>
          <w:color w:val="auto"/>
          <w:lang w:val="en-US" w:eastAsia="zh-CN"/>
        </w:rPr>
        <w:t>一、验收流程图</w:t>
      </w:r>
    </w:p>
    <w:p>
      <w:pPr>
        <w:pStyle w:val="13"/>
        <w:jc w:val="center"/>
      </w:pPr>
      <w:r>
        <w:drawing>
          <wp:inline distT="0" distB="0" distL="114300" distR="114300">
            <wp:extent cx="2745105" cy="4647565"/>
            <wp:effectExtent l="0" t="0" r="13335" b="63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23"/>
                    <a:stretch>
                      <a:fillRect/>
                    </a:stretch>
                  </pic:blipFill>
                  <pic:spPr>
                    <a:xfrm>
                      <a:off x="0" y="0"/>
                      <a:ext cx="2745105" cy="4647565"/>
                    </a:xfrm>
                    <a:prstGeom prst="rect">
                      <a:avLst/>
                    </a:prstGeom>
                    <a:noFill/>
                    <a:ln>
                      <a:noFill/>
                    </a:ln>
                  </pic:spPr>
                </pic:pic>
              </a:graphicData>
            </a:graphic>
          </wp:inline>
        </w:drawing>
      </w:r>
    </w:p>
    <w:p>
      <w:pPr>
        <w:pStyle w:val="51"/>
        <w:bidi w:val="0"/>
        <w:rPr>
          <w:rFonts w:hint="default"/>
          <w:lang w:val="en-US" w:eastAsia="zh-CN"/>
        </w:rPr>
      </w:pPr>
      <w:bookmarkStart w:id="433" w:name="_Toc28315"/>
      <w:r>
        <w:rPr>
          <w:rFonts w:hint="eastAsia"/>
          <w:lang w:val="en-US" w:eastAsia="zh-CN"/>
        </w:rPr>
        <w:t>大型项目验收流程图</w:t>
      </w:r>
      <w:bookmarkEnd w:id="433"/>
    </w:p>
    <w:p>
      <w:pPr>
        <w:pStyle w:val="43"/>
        <w:rPr>
          <w:rFonts w:hint="eastAsia" w:ascii="宋体" w:hAnsi="宋体" w:eastAsia="宋体"/>
          <w:b/>
          <w:bCs/>
          <w:color w:val="auto"/>
          <w:lang w:val="en-US" w:eastAsia="zh-CN"/>
        </w:rPr>
      </w:pPr>
      <w:r>
        <w:rPr>
          <w:rFonts w:hint="eastAsia" w:ascii="宋体" w:hAnsi="宋体" w:eastAsia="宋体"/>
          <w:b/>
          <w:bCs/>
          <w:color w:val="auto"/>
          <w:lang w:val="en-US" w:eastAsia="zh-CN"/>
        </w:rPr>
        <w:t>二、验收准备</w:t>
      </w:r>
    </w:p>
    <w:p>
      <w:pPr>
        <w:autoSpaceDE w:val="0"/>
        <w:autoSpaceDN w:val="0"/>
        <w:adjustRightInd w:val="0"/>
        <w:spacing w:line="360" w:lineRule="auto"/>
        <w:ind w:firstLine="524" w:firstLineChars="200"/>
        <w:rPr>
          <w:sz w:val="24"/>
        </w:rPr>
      </w:pPr>
      <w:r>
        <w:rPr>
          <w:sz w:val="24"/>
        </w:rPr>
        <w:t>（1）承建单位按照合同或合同附件的要求，完成各种技术文档；</w:t>
      </w:r>
    </w:p>
    <w:p>
      <w:pPr>
        <w:autoSpaceDE w:val="0"/>
        <w:autoSpaceDN w:val="0"/>
        <w:adjustRightInd w:val="0"/>
        <w:spacing w:line="360" w:lineRule="auto"/>
        <w:ind w:firstLine="524" w:firstLineChars="200"/>
        <w:rPr>
          <w:sz w:val="24"/>
        </w:rPr>
      </w:pPr>
      <w:r>
        <w:rPr>
          <w:sz w:val="24"/>
        </w:rPr>
        <w:t>（2）各种设备经加电试运行，状态正常，稳定试运行达到3个月，承建单位编制项目试运行报告；</w:t>
      </w:r>
    </w:p>
    <w:p>
      <w:pPr>
        <w:autoSpaceDE w:val="0"/>
        <w:autoSpaceDN w:val="0"/>
        <w:adjustRightInd w:val="0"/>
        <w:spacing w:line="360" w:lineRule="auto"/>
        <w:ind w:firstLine="524" w:firstLineChars="200"/>
        <w:rPr>
          <w:sz w:val="24"/>
        </w:rPr>
      </w:pPr>
      <w:r>
        <w:rPr>
          <w:sz w:val="24"/>
        </w:rPr>
        <w:t>（3）承建单位整理所有技术文档和工程实施管理资料等项目文档，提交给建设单位。</w:t>
      </w:r>
    </w:p>
    <w:p>
      <w:pPr>
        <w:pStyle w:val="43"/>
        <w:rPr>
          <w:rFonts w:hint="eastAsia" w:ascii="宋体" w:hAnsi="宋体" w:eastAsia="宋体"/>
          <w:b/>
          <w:bCs/>
          <w:color w:val="auto"/>
          <w:lang w:val="en-US" w:eastAsia="zh-CN"/>
        </w:rPr>
      </w:pPr>
      <w:r>
        <w:rPr>
          <w:rFonts w:hint="eastAsia" w:ascii="宋体" w:hAnsi="宋体" w:eastAsia="宋体"/>
          <w:b/>
          <w:bCs/>
          <w:color w:val="auto"/>
          <w:lang w:val="en-US" w:eastAsia="zh-CN"/>
        </w:rPr>
        <w:t>三、验收申请</w:t>
      </w:r>
    </w:p>
    <w:p>
      <w:pPr>
        <w:spacing w:line="360" w:lineRule="auto"/>
        <w:ind w:firstLine="524" w:firstLineChars="200"/>
        <w:rPr>
          <w:sz w:val="24"/>
        </w:rPr>
      </w:pPr>
      <w:r>
        <w:rPr>
          <w:sz w:val="24"/>
        </w:rPr>
        <w:t>建设单位向</w:t>
      </w:r>
      <w:r>
        <w:rPr>
          <w:rFonts w:hint="eastAsia"/>
          <w:sz w:val="24"/>
          <w:lang w:eastAsia="zh-CN"/>
        </w:rPr>
        <w:t>主管部门</w:t>
      </w:r>
      <w:r>
        <w:rPr>
          <w:sz w:val="24"/>
        </w:rPr>
        <w:t>提交验收申请和验收测评申请。</w:t>
      </w:r>
      <w:r>
        <w:rPr>
          <w:rFonts w:hint="eastAsia"/>
          <w:sz w:val="24"/>
          <w:lang w:val="en-US" w:eastAsia="zh-CN"/>
        </w:rPr>
        <w:t>信息</w:t>
      </w:r>
      <w:r>
        <w:rPr>
          <w:rFonts w:hint="eastAsia"/>
          <w:sz w:val="24"/>
          <w:lang w:eastAsia="zh-CN"/>
        </w:rPr>
        <w:t>主管部门</w:t>
      </w:r>
      <w:r>
        <w:rPr>
          <w:sz w:val="24"/>
        </w:rPr>
        <w:t xml:space="preserve">委托符合要求的信息工程测评机构对项目具体实施测评。 </w:t>
      </w:r>
    </w:p>
    <w:p>
      <w:pPr>
        <w:pStyle w:val="43"/>
        <w:rPr>
          <w:rFonts w:hint="eastAsia" w:ascii="宋体" w:hAnsi="宋体" w:eastAsia="宋体"/>
          <w:b/>
          <w:bCs/>
          <w:color w:val="auto"/>
          <w:lang w:val="en-US" w:eastAsia="zh-CN"/>
        </w:rPr>
      </w:pPr>
      <w:r>
        <w:rPr>
          <w:rFonts w:hint="eastAsia" w:ascii="宋体" w:hAnsi="宋体" w:eastAsia="宋体"/>
          <w:b/>
          <w:bCs/>
          <w:color w:val="auto"/>
          <w:lang w:val="en-US" w:eastAsia="zh-CN"/>
        </w:rPr>
        <w:t>四、验收测评</w:t>
      </w:r>
    </w:p>
    <w:p>
      <w:pPr>
        <w:autoSpaceDE w:val="0"/>
        <w:autoSpaceDN w:val="0"/>
        <w:adjustRightInd w:val="0"/>
        <w:spacing w:line="360" w:lineRule="auto"/>
        <w:ind w:firstLine="524" w:firstLineChars="200"/>
        <w:rPr>
          <w:sz w:val="24"/>
        </w:rPr>
      </w:pPr>
      <w:r>
        <w:rPr>
          <w:sz w:val="24"/>
        </w:rPr>
        <w:t>（1）信息工程测评机构在接到</w:t>
      </w:r>
      <w:r>
        <w:rPr>
          <w:rFonts w:hint="eastAsia"/>
          <w:sz w:val="24"/>
          <w:lang w:val="en-US" w:eastAsia="zh-CN"/>
        </w:rPr>
        <w:t>信息</w:t>
      </w:r>
      <w:r>
        <w:rPr>
          <w:rFonts w:hint="eastAsia"/>
          <w:sz w:val="24"/>
          <w:lang w:eastAsia="zh-CN"/>
        </w:rPr>
        <w:t>主管部门</w:t>
      </w:r>
      <w:r>
        <w:rPr>
          <w:sz w:val="24"/>
        </w:rPr>
        <w:t>委托后与</w:t>
      </w:r>
      <w:r>
        <w:rPr>
          <w:rFonts w:hint="eastAsia"/>
          <w:sz w:val="24"/>
          <w:lang w:val="en-US" w:eastAsia="zh-CN"/>
        </w:rPr>
        <w:t>信息</w:t>
      </w:r>
      <w:r>
        <w:rPr>
          <w:rFonts w:hint="eastAsia"/>
          <w:sz w:val="24"/>
          <w:lang w:eastAsia="zh-CN"/>
        </w:rPr>
        <w:t>主管部门</w:t>
      </w:r>
      <w:r>
        <w:rPr>
          <w:sz w:val="24"/>
        </w:rPr>
        <w:t>签订测评合同，并按照项目要求编制测评方案，在测评实施前将测评方案提交给</w:t>
      </w:r>
      <w:r>
        <w:rPr>
          <w:rFonts w:hint="eastAsia"/>
          <w:sz w:val="24"/>
          <w:lang w:val="en-US" w:eastAsia="zh-CN"/>
        </w:rPr>
        <w:t>信息</w:t>
      </w:r>
      <w:r>
        <w:rPr>
          <w:rFonts w:hint="eastAsia"/>
          <w:sz w:val="24"/>
          <w:lang w:eastAsia="zh-CN"/>
        </w:rPr>
        <w:t>主管部门</w:t>
      </w:r>
      <w:r>
        <w:rPr>
          <w:sz w:val="24"/>
        </w:rPr>
        <w:t>和项目建设单位。</w:t>
      </w:r>
      <w:r>
        <w:rPr>
          <w:rFonts w:hint="eastAsia"/>
          <w:sz w:val="24"/>
          <w:lang w:val="en-US" w:eastAsia="zh-CN"/>
        </w:rPr>
        <w:t>信息</w:t>
      </w:r>
      <w:r>
        <w:rPr>
          <w:rFonts w:hint="eastAsia"/>
          <w:sz w:val="24"/>
          <w:lang w:eastAsia="zh-CN"/>
        </w:rPr>
        <w:t>主管部门</w:t>
      </w:r>
      <w:r>
        <w:rPr>
          <w:sz w:val="24"/>
        </w:rPr>
        <w:t>组织对信息工程测评机构的测评方案进行评审。</w:t>
      </w:r>
    </w:p>
    <w:p>
      <w:pPr>
        <w:autoSpaceDE w:val="0"/>
        <w:autoSpaceDN w:val="0"/>
        <w:adjustRightInd w:val="0"/>
        <w:spacing w:line="360" w:lineRule="auto"/>
        <w:ind w:firstLine="524" w:firstLineChars="200"/>
        <w:rPr>
          <w:sz w:val="24"/>
        </w:rPr>
      </w:pPr>
      <w:r>
        <w:rPr>
          <w:sz w:val="24"/>
        </w:rPr>
        <w:t>（2）信息工程测评机构根据评审后的测评方案实施测评。</w:t>
      </w:r>
    </w:p>
    <w:p>
      <w:pPr>
        <w:autoSpaceDE w:val="0"/>
        <w:autoSpaceDN w:val="0"/>
        <w:adjustRightInd w:val="0"/>
        <w:spacing w:line="360" w:lineRule="auto"/>
        <w:ind w:firstLine="524" w:firstLineChars="200"/>
        <w:rPr>
          <w:sz w:val="24"/>
        </w:rPr>
      </w:pPr>
      <w:r>
        <w:rPr>
          <w:sz w:val="24"/>
        </w:rPr>
        <w:t>（3）信息工程测评机构完成验收测评后将测评报告提交给</w:t>
      </w:r>
      <w:r>
        <w:rPr>
          <w:rFonts w:hint="eastAsia"/>
          <w:sz w:val="24"/>
          <w:lang w:val="en-US" w:eastAsia="zh-CN"/>
        </w:rPr>
        <w:t>信息</w:t>
      </w:r>
      <w:r>
        <w:rPr>
          <w:rFonts w:hint="eastAsia"/>
          <w:sz w:val="24"/>
          <w:lang w:eastAsia="zh-CN"/>
        </w:rPr>
        <w:t>主管部门</w:t>
      </w:r>
      <w:r>
        <w:rPr>
          <w:sz w:val="24"/>
        </w:rPr>
        <w:t>和建设单位；</w:t>
      </w:r>
    </w:p>
    <w:p>
      <w:pPr>
        <w:autoSpaceDE w:val="0"/>
        <w:autoSpaceDN w:val="0"/>
        <w:adjustRightInd w:val="0"/>
        <w:spacing w:line="360" w:lineRule="auto"/>
        <w:ind w:firstLine="524" w:firstLineChars="200"/>
        <w:rPr>
          <w:sz w:val="24"/>
        </w:rPr>
      </w:pPr>
      <w:r>
        <w:rPr>
          <w:sz w:val="24"/>
        </w:rPr>
        <w:t>（4）如测评未通过，承建单位整改后，建设单位再次申请验收测评，测评费用由承建单位承担。信息工程测评机构完成验收测评后，将测评报告提交给</w:t>
      </w:r>
      <w:r>
        <w:rPr>
          <w:rFonts w:hint="eastAsia"/>
          <w:sz w:val="24"/>
          <w:lang w:val="en-US" w:eastAsia="zh-CN"/>
        </w:rPr>
        <w:t>信息</w:t>
      </w:r>
      <w:r>
        <w:rPr>
          <w:rFonts w:hint="eastAsia"/>
          <w:sz w:val="24"/>
          <w:lang w:eastAsia="zh-CN"/>
        </w:rPr>
        <w:t>主管部门</w:t>
      </w:r>
      <w:r>
        <w:rPr>
          <w:sz w:val="24"/>
        </w:rPr>
        <w:t>、建设单位和承建单位。</w:t>
      </w:r>
    </w:p>
    <w:p>
      <w:pPr>
        <w:pStyle w:val="43"/>
        <w:rPr>
          <w:rFonts w:hint="eastAsia" w:ascii="宋体" w:hAnsi="宋体" w:eastAsia="宋体"/>
          <w:b/>
          <w:bCs/>
          <w:color w:val="auto"/>
          <w:lang w:val="en-US" w:eastAsia="zh-CN"/>
        </w:rPr>
      </w:pPr>
      <w:r>
        <w:rPr>
          <w:rFonts w:hint="eastAsia" w:ascii="宋体" w:hAnsi="宋体" w:eastAsia="宋体"/>
          <w:b/>
          <w:bCs/>
          <w:color w:val="auto"/>
          <w:lang w:val="en-US" w:eastAsia="zh-CN"/>
        </w:rPr>
        <w:t>五、验收会议</w:t>
      </w:r>
    </w:p>
    <w:p>
      <w:pPr>
        <w:pStyle w:val="13"/>
        <w:spacing w:line="360" w:lineRule="auto"/>
        <w:ind w:firstLine="524" w:firstLineChars="200"/>
        <w:rPr>
          <w:color w:val="auto"/>
          <w:sz w:val="24"/>
        </w:rPr>
      </w:pPr>
      <w:r>
        <w:rPr>
          <w:rFonts w:hint="eastAsia"/>
          <w:sz w:val="24"/>
          <w:lang w:val="en-US" w:eastAsia="zh-CN"/>
        </w:rPr>
        <w:t>信息</w:t>
      </w:r>
      <w:r>
        <w:rPr>
          <w:rFonts w:hint="eastAsia"/>
          <w:color w:val="auto"/>
          <w:sz w:val="24"/>
          <w:lang w:eastAsia="zh-CN"/>
        </w:rPr>
        <w:t>主管部门</w:t>
      </w:r>
      <w:r>
        <w:rPr>
          <w:color w:val="auto"/>
          <w:sz w:val="24"/>
        </w:rPr>
        <w:t>收到信息工程测评机构的测评报告后，组建验收组，召开验收会议。验收会议的主要步骤包括：</w:t>
      </w:r>
    </w:p>
    <w:p>
      <w:pPr>
        <w:autoSpaceDE w:val="0"/>
        <w:autoSpaceDN w:val="0"/>
        <w:adjustRightInd w:val="0"/>
        <w:spacing w:line="360" w:lineRule="auto"/>
        <w:ind w:firstLine="524" w:firstLineChars="200"/>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建设单位作关于项目情况的报告；</w:t>
      </w:r>
    </w:p>
    <w:p>
      <w:pPr>
        <w:autoSpaceDE w:val="0"/>
        <w:autoSpaceDN w:val="0"/>
        <w:adjustRightInd w:val="0"/>
        <w:spacing w:line="360" w:lineRule="auto"/>
        <w:ind w:firstLine="524" w:firstLineChars="200"/>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承建单位作关于项目建设情况、自检情况及竣工情况的报告；</w:t>
      </w:r>
    </w:p>
    <w:p>
      <w:pPr>
        <w:autoSpaceDE w:val="0"/>
        <w:autoSpaceDN w:val="0"/>
        <w:adjustRightInd w:val="0"/>
        <w:spacing w:line="360" w:lineRule="auto"/>
        <w:ind w:firstLine="524" w:firstLineChars="200"/>
        <w:rPr>
          <w:sz w:val="24"/>
        </w:rPr>
      </w:pPr>
      <w:r>
        <w:rPr>
          <w:rFonts w:hint="eastAsia"/>
          <w:sz w:val="24"/>
          <w:lang w:eastAsia="zh-CN"/>
        </w:rPr>
        <w:t>（</w:t>
      </w:r>
      <w:r>
        <w:rPr>
          <w:rFonts w:hint="eastAsia"/>
          <w:sz w:val="24"/>
          <w:lang w:val="en-US" w:eastAsia="zh-CN"/>
        </w:rPr>
        <w:t>3</w:t>
      </w:r>
      <w:r>
        <w:rPr>
          <w:rFonts w:hint="eastAsia"/>
          <w:sz w:val="24"/>
          <w:lang w:eastAsia="zh-CN"/>
        </w:rPr>
        <w:t>）</w:t>
      </w:r>
      <w:r>
        <w:rPr>
          <w:sz w:val="24"/>
        </w:rPr>
        <w:t>监理单位作关于项目监理内容、监理情况以及项目竣工意见的报告；</w:t>
      </w:r>
    </w:p>
    <w:p>
      <w:pPr>
        <w:autoSpaceDE w:val="0"/>
        <w:autoSpaceDN w:val="0"/>
        <w:adjustRightInd w:val="0"/>
        <w:spacing w:line="360" w:lineRule="auto"/>
        <w:ind w:firstLine="524" w:firstLineChars="200"/>
        <w:rPr>
          <w:sz w:val="24"/>
        </w:rPr>
      </w:pPr>
      <w:r>
        <w:rPr>
          <w:rFonts w:hint="eastAsia"/>
          <w:sz w:val="24"/>
          <w:lang w:eastAsia="zh-CN"/>
        </w:rPr>
        <w:t>（</w:t>
      </w:r>
      <w:r>
        <w:rPr>
          <w:rFonts w:hint="eastAsia"/>
          <w:sz w:val="24"/>
          <w:lang w:val="en-US" w:eastAsia="zh-CN"/>
        </w:rPr>
        <w:t>4</w:t>
      </w:r>
      <w:r>
        <w:rPr>
          <w:rFonts w:hint="eastAsia"/>
          <w:sz w:val="24"/>
          <w:lang w:eastAsia="zh-CN"/>
        </w:rPr>
        <w:t>）</w:t>
      </w:r>
      <w:r>
        <w:rPr>
          <w:sz w:val="24"/>
        </w:rPr>
        <w:t>信息工程测评机构作项目测评情况的报告；</w:t>
      </w:r>
    </w:p>
    <w:p>
      <w:pPr>
        <w:autoSpaceDE w:val="0"/>
        <w:autoSpaceDN w:val="0"/>
        <w:adjustRightInd w:val="0"/>
        <w:spacing w:line="360" w:lineRule="auto"/>
        <w:ind w:firstLine="524" w:firstLineChars="200"/>
        <w:rPr>
          <w:sz w:val="24"/>
        </w:rPr>
      </w:pPr>
      <w:r>
        <w:rPr>
          <w:rFonts w:hint="eastAsia"/>
          <w:sz w:val="24"/>
          <w:lang w:eastAsia="zh-CN"/>
        </w:rPr>
        <w:t>（</w:t>
      </w:r>
      <w:r>
        <w:rPr>
          <w:rFonts w:hint="eastAsia"/>
          <w:sz w:val="24"/>
          <w:lang w:val="en-US" w:eastAsia="zh-CN"/>
        </w:rPr>
        <w:t>5</w:t>
      </w:r>
      <w:r>
        <w:rPr>
          <w:rFonts w:hint="eastAsia"/>
          <w:sz w:val="24"/>
          <w:lang w:eastAsia="zh-CN"/>
        </w:rPr>
        <w:t>）</w:t>
      </w:r>
      <w:r>
        <w:rPr>
          <w:sz w:val="24"/>
        </w:rPr>
        <w:t>建设单位作试运行情况报告；</w:t>
      </w:r>
    </w:p>
    <w:p>
      <w:pPr>
        <w:autoSpaceDE w:val="0"/>
        <w:autoSpaceDN w:val="0"/>
        <w:adjustRightInd w:val="0"/>
        <w:spacing w:line="360" w:lineRule="auto"/>
        <w:ind w:firstLine="524" w:firstLineChars="200"/>
        <w:rPr>
          <w:sz w:val="24"/>
        </w:rPr>
      </w:pPr>
      <w:r>
        <w:rPr>
          <w:rFonts w:hint="eastAsia"/>
          <w:sz w:val="24"/>
          <w:lang w:eastAsia="zh-CN"/>
        </w:rPr>
        <w:t>（</w:t>
      </w:r>
      <w:r>
        <w:rPr>
          <w:rFonts w:hint="eastAsia"/>
          <w:sz w:val="24"/>
          <w:lang w:val="en-US" w:eastAsia="zh-CN"/>
        </w:rPr>
        <w:t>6</w:t>
      </w:r>
      <w:r>
        <w:rPr>
          <w:rFonts w:hint="eastAsia"/>
          <w:sz w:val="24"/>
          <w:lang w:eastAsia="zh-CN"/>
        </w:rPr>
        <w:t>）</w:t>
      </w:r>
      <w:r>
        <w:rPr>
          <w:sz w:val="24"/>
        </w:rPr>
        <w:t>验收组全体人员进行现场检查（根据具体项目情况选择）；</w:t>
      </w:r>
    </w:p>
    <w:p>
      <w:pPr>
        <w:autoSpaceDE w:val="0"/>
        <w:autoSpaceDN w:val="0"/>
        <w:adjustRightInd w:val="0"/>
        <w:spacing w:line="360" w:lineRule="auto"/>
        <w:ind w:firstLine="524" w:firstLineChars="200"/>
        <w:rPr>
          <w:sz w:val="24"/>
        </w:rPr>
      </w:pPr>
      <w:r>
        <w:rPr>
          <w:rFonts w:hint="eastAsia"/>
          <w:sz w:val="24"/>
          <w:lang w:eastAsia="zh-CN"/>
        </w:rPr>
        <w:t>（</w:t>
      </w:r>
      <w:r>
        <w:rPr>
          <w:rFonts w:hint="eastAsia"/>
          <w:sz w:val="24"/>
          <w:lang w:val="en-US" w:eastAsia="zh-CN"/>
        </w:rPr>
        <w:t>7</w:t>
      </w:r>
      <w:r>
        <w:rPr>
          <w:rFonts w:hint="eastAsia"/>
          <w:sz w:val="24"/>
          <w:lang w:eastAsia="zh-CN"/>
        </w:rPr>
        <w:t>）</w:t>
      </w:r>
      <w:r>
        <w:rPr>
          <w:sz w:val="24"/>
        </w:rPr>
        <w:t>验收组对关键问题进行抽样复核和资料评审；</w:t>
      </w:r>
    </w:p>
    <w:p>
      <w:pPr>
        <w:autoSpaceDE w:val="0"/>
        <w:autoSpaceDN w:val="0"/>
        <w:adjustRightInd w:val="0"/>
        <w:spacing w:line="360" w:lineRule="auto"/>
        <w:ind w:firstLine="524" w:firstLineChars="200"/>
        <w:rPr>
          <w:sz w:val="24"/>
        </w:rPr>
      </w:pPr>
      <w:r>
        <w:rPr>
          <w:rFonts w:hint="eastAsia"/>
          <w:sz w:val="24"/>
          <w:lang w:eastAsia="zh-CN"/>
        </w:rPr>
        <w:t>（</w:t>
      </w:r>
      <w:r>
        <w:rPr>
          <w:rFonts w:hint="eastAsia"/>
          <w:sz w:val="24"/>
          <w:lang w:val="en-US" w:eastAsia="zh-CN"/>
        </w:rPr>
        <w:t>8</w:t>
      </w:r>
      <w:r>
        <w:rPr>
          <w:rFonts w:hint="eastAsia"/>
          <w:sz w:val="24"/>
          <w:lang w:eastAsia="zh-CN"/>
        </w:rPr>
        <w:t>）</w:t>
      </w:r>
      <w:r>
        <w:rPr>
          <w:sz w:val="24"/>
        </w:rPr>
        <w:t>验收组对项目进行全面评价，给出验收意见和验收结论并签字。</w:t>
      </w:r>
    </w:p>
    <w:p>
      <w:pPr>
        <w:pStyle w:val="43"/>
        <w:rPr>
          <w:rFonts w:hint="eastAsia" w:ascii="宋体" w:hAnsi="宋体" w:eastAsia="宋体"/>
          <w:b/>
          <w:bCs/>
          <w:color w:val="auto"/>
          <w:lang w:val="en-US" w:eastAsia="zh-CN"/>
        </w:rPr>
      </w:pPr>
      <w:r>
        <w:rPr>
          <w:rFonts w:hint="eastAsia" w:ascii="宋体" w:hAnsi="宋体" w:eastAsia="宋体"/>
          <w:b/>
          <w:bCs/>
          <w:color w:val="auto"/>
          <w:lang w:val="en-US" w:eastAsia="zh-CN"/>
        </w:rPr>
        <w:t>六、验收交接</w:t>
      </w:r>
    </w:p>
    <w:p>
      <w:pPr>
        <w:autoSpaceDE w:val="0"/>
        <w:autoSpaceDN w:val="0"/>
        <w:adjustRightInd w:val="0"/>
        <w:spacing w:line="360" w:lineRule="auto"/>
        <w:ind w:firstLine="524" w:firstLineChars="200"/>
        <w:rPr>
          <w:rFonts w:hint="eastAsia"/>
          <w:sz w:val="24"/>
          <w:lang w:eastAsia="zh-CN"/>
        </w:rPr>
      </w:pPr>
      <w:r>
        <w:rPr>
          <w:rFonts w:hint="eastAsia"/>
          <w:sz w:val="24"/>
          <w:lang w:eastAsia="zh-CN"/>
        </w:rPr>
        <w:t>（</w:t>
      </w:r>
      <w:r>
        <w:rPr>
          <w:rFonts w:hint="eastAsia"/>
          <w:sz w:val="24"/>
          <w:lang w:val="en-US" w:eastAsia="zh-CN"/>
        </w:rPr>
        <w:t>1</w:t>
      </w:r>
      <w:r>
        <w:rPr>
          <w:rFonts w:hint="eastAsia"/>
          <w:sz w:val="24"/>
          <w:lang w:eastAsia="zh-CN"/>
        </w:rPr>
        <w:t>）项目验收通过后，建设单位将验收文档资料作为项目的档案进行存档；</w:t>
      </w:r>
    </w:p>
    <w:p>
      <w:pPr>
        <w:autoSpaceDE w:val="0"/>
        <w:autoSpaceDN w:val="0"/>
        <w:adjustRightInd w:val="0"/>
        <w:spacing w:line="360" w:lineRule="auto"/>
        <w:ind w:firstLine="524" w:firstLineChars="200"/>
        <w:rPr>
          <w:rFonts w:hint="eastAsia"/>
          <w:sz w:val="24"/>
          <w:lang w:eastAsia="zh-CN"/>
        </w:rPr>
      </w:pPr>
      <w:r>
        <w:rPr>
          <w:rFonts w:hint="eastAsia"/>
          <w:sz w:val="24"/>
          <w:lang w:eastAsia="zh-CN"/>
        </w:rPr>
        <w:t>（</w:t>
      </w:r>
      <w:r>
        <w:rPr>
          <w:rFonts w:hint="eastAsia"/>
          <w:sz w:val="24"/>
          <w:lang w:val="en-US" w:eastAsia="zh-CN"/>
        </w:rPr>
        <w:t>2</w:t>
      </w:r>
      <w:r>
        <w:rPr>
          <w:rFonts w:hint="eastAsia"/>
          <w:sz w:val="24"/>
          <w:lang w:eastAsia="zh-CN"/>
        </w:rPr>
        <w:t>）承建单位向建设单位办理项目交接。</w:t>
      </w:r>
    </w:p>
    <w:p>
      <w:pPr>
        <w:pStyle w:val="43"/>
        <w:rPr>
          <w:rFonts w:hint="eastAsia" w:ascii="宋体" w:hAnsi="宋体" w:eastAsia="宋体"/>
          <w:b/>
          <w:bCs/>
          <w:color w:val="auto"/>
          <w:lang w:val="en-US" w:eastAsia="zh-CN"/>
        </w:rPr>
      </w:pPr>
      <w:r>
        <w:rPr>
          <w:rFonts w:hint="eastAsia" w:ascii="宋体" w:hAnsi="宋体" w:eastAsia="宋体"/>
          <w:b/>
          <w:bCs/>
          <w:color w:val="auto"/>
          <w:lang w:val="en-US" w:eastAsia="zh-CN"/>
        </w:rPr>
        <w:t>七、验收通过证明</w:t>
      </w:r>
    </w:p>
    <w:p>
      <w:pPr>
        <w:spacing w:line="360" w:lineRule="auto"/>
        <w:ind w:firstLine="524" w:firstLineChars="200"/>
        <w:rPr>
          <w:rFonts w:hint="eastAsia"/>
          <w:lang w:val="en-US" w:eastAsia="zh-CN"/>
        </w:rPr>
      </w:pPr>
      <w:r>
        <w:rPr>
          <w:rFonts w:hint="eastAsia"/>
          <w:sz w:val="24"/>
          <w:lang w:val="en-US" w:eastAsia="zh-CN"/>
        </w:rPr>
        <w:t>信息</w:t>
      </w:r>
      <w:r>
        <w:rPr>
          <w:rFonts w:hint="eastAsia"/>
          <w:sz w:val="24"/>
          <w:lang w:eastAsia="zh-CN"/>
        </w:rPr>
        <w:t>主管部门</w:t>
      </w:r>
      <w:r>
        <w:rPr>
          <w:sz w:val="24"/>
        </w:rPr>
        <w:t>颁发财政投资信息化项目验收通过证明。</w:t>
      </w:r>
    </w:p>
    <w:p>
      <w:pPr>
        <w:pStyle w:val="6"/>
        <w:tabs>
          <w:tab w:val="left" w:pos="420"/>
          <w:tab w:val="left" w:pos="718"/>
        </w:tabs>
        <w:spacing w:before="196" w:after="196"/>
        <w:ind w:left="575" w:hanging="575"/>
        <w:rPr>
          <w:rFonts w:hint="eastAsia"/>
          <w:color w:val="auto"/>
        </w:rPr>
      </w:pPr>
      <w:bookmarkStart w:id="434" w:name="_Toc4921"/>
      <w:bookmarkStart w:id="435" w:name="_Toc19070"/>
      <w:r>
        <w:rPr>
          <w:rFonts w:hint="eastAsia"/>
          <w:color w:val="auto"/>
          <w:lang w:val="en-US" w:eastAsia="zh-CN"/>
        </w:rPr>
        <w:t>项目验收组织</w:t>
      </w:r>
      <w:bookmarkEnd w:id="434"/>
      <w:bookmarkEnd w:id="435"/>
    </w:p>
    <w:p>
      <w:pPr>
        <w:pStyle w:val="7"/>
        <w:bidi w:val="0"/>
        <w:rPr>
          <w:rFonts w:hint="eastAsia"/>
          <w:lang w:val="en-US" w:eastAsia="zh-CN"/>
        </w:rPr>
      </w:pPr>
      <w:r>
        <w:rPr>
          <w:rFonts w:hint="eastAsia"/>
          <w:lang w:val="en-US" w:eastAsia="zh-CN"/>
        </w:rPr>
        <w:t>验收组构成</w:t>
      </w:r>
    </w:p>
    <w:p>
      <w:pPr>
        <w:spacing w:line="360" w:lineRule="auto"/>
        <w:ind w:firstLine="524" w:firstLineChars="200"/>
        <w:rPr>
          <w:sz w:val="24"/>
        </w:rPr>
      </w:pPr>
      <w:r>
        <w:rPr>
          <w:sz w:val="24"/>
        </w:rPr>
        <w:t>一般项目，项目验收组由建设单位邀请相关专家组成。</w:t>
      </w:r>
    </w:p>
    <w:p>
      <w:pPr>
        <w:spacing w:line="360" w:lineRule="auto"/>
        <w:ind w:firstLine="524" w:firstLineChars="200"/>
        <w:rPr>
          <w:sz w:val="24"/>
        </w:rPr>
      </w:pPr>
      <w:r>
        <w:rPr>
          <w:sz w:val="24"/>
        </w:rPr>
        <w:t>大型和重大项目，项目验收组由</w:t>
      </w:r>
      <w:r>
        <w:rPr>
          <w:rFonts w:hint="eastAsia"/>
          <w:sz w:val="24"/>
          <w:lang w:val="en-US" w:eastAsia="zh-CN"/>
        </w:rPr>
        <w:t>信息主管部门</w:t>
      </w:r>
      <w:r>
        <w:rPr>
          <w:sz w:val="24"/>
        </w:rPr>
        <w:t>邀请相关部门和相关专家组成。</w:t>
      </w:r>
    </w:p>
    <w:p>
      <w:pPr>
        <w:pStyle w:val="7"/>
        <w:bidi w:val="0"/>
        <w:rPr>
          <w:rFonts w:hint="eastAsia"/>
          <w:lang w:val="en-US" w:eastAsia="zh-CN"/>
        </w:rPr>
      </w:pPr>
      <w:bookmarkStart w:id="436" w:name="_Toc122061042"/>
      <w:bookmarkStart w:id="437" w:name="_Toc173837926"/>
      <w:r>
        <w:rPr>
          <w:rFonts w:hint="eastAsia"/>
          <w:lang w:val="en-US" w:eastAsia="zh-CN"/>
        </w:rPr>
        <w:t>验收组</w:t>
      </w:r>
      <w:bookmarkEnd w:id="436"/>
      <w:r>
        <w:rPr>
          <w:rFonts w:hint="eastAsia"/>
          <w:lang w:val="en-US" w:eastAsia="zh-CN"/>
        </w:rPr>
        <w:t>任务</w:t>
      </w:r>
      <w:bookmarkEnd w:id="437"/>
    </w:p>
    <w:p>
      <w:pPr>
        <w:spacing w:line="360" w:lineRule="auto"/>
        <w:ind w:firstLine="526" w:firstLineChars="200"/>
        <w:rPr>
          <w:rFonts w:ascii="宋体" w:hAnsi="宋体" w:eastAsia="宋体"/>
          <w:b/>
          <w:bCs/>
          <w:sz w:val="24"/>
          <w:szCs w:val="22"/>
        </w:rPr>
      </w:pPr>
      <w:r>
        <w:rPr>
          <w:rFonts w:hint="eastAsia" w:ascii="宋体" w:hAnsi="宋体" w:eastAsia="宋体"/>
          <w:b/>
          <w:bCs/>
          <w:sz w:val="24"/>
          <w:szCs w:val="22"/>
          <w:lang w:val="en-US" w:eastAsia="zh-CN"/>
        </w:rPr>
        <w:t>一、</w:t>
      </w:r>
      <w:r>
        <w:rPr>
          <w:rFonts w:ascii="宋体" w:hAnsi="宋体" w:eastAsia="宋体"/>
          <w:b/>
          <w:bCs/>
          <w:sz w:val="24"/>
          <w:szCs w:val="22"/>
        </w:rPr>
        <w:t>资料审查工作</w:t>
      </w:r>
    </w:p>
    <w:p>
      <w:pPr>
        <w:spacing w:line="360" w:lineRule="auto"/>
        <w:ind w:firstLine="524" w:firstLineChars="200"/>
        <w:rPr>
          <w:sz w:val="24"/>
        </w:rPr>
      </w:pPr>
      <w:r>
        <w:rPr>
          <w:sz w:val="24"/>
        </w:rPr>
        <w:t>资料评审工作主要对项目的相关资料进行评审，检查资料是否齐全、完整、正确。评审的资料包括以下内容：</w:t>
      </w:r>
    </w:p>
    <w:p>
      <w:pPr>
        <w:spacing w:line="360" w:lineRule="auto"/>
        <w:ind w:firstLine="524" w:firstLineChars="200"/>
        <w:rPr>
          <w:sz w:val="24"/>
        </w:rPr>
      </w:pPr>
      <w:r>
        <w:rPr>
          <w:sz w:val="24"/>
        </w:rPr>
        <w:t>总结资料：项目概要；</w:t>
      </w:r>
    </w:p>
    <w:p>
      <w:pPr>
        <w:spacing w:line="360" w:lineRule="auto"/>
        <w:ind w:firstLine="524" w:firstLineChars="200"/>
        <w:rPr>
          <w:sz w:val="24"/>
        </w:rPr>
      </w:pPr>
      <w:r>
        <w:rPr>
          <w:sz w:val="24"/>
        </w:rPr>
        <w:t>项目立项审核资料：立项审核申请、项目建设方案、财政局和信息</w:t>
      </w:r>
      <w:r>
        <w:rPr>
          <w:rFonts w:hint="eastAsia"/>
          <w:sz w:val="24"/>
          <w:lang w:val="en-US" w:eastAsia="zh-CN"/>
        </w:rPr>
        <w:t>主管部门</w:t>
      </w:r>
      <w:r>
        <w:rPr>
          <w:sz w:val="24"/>
        </w:rPr>
        <w:t>批复文件；</w:t>
      </w:r>
    </w:p>
    <w:p>
      <w:pPr>
        <w:spacing w:line="360" w:lineRule="auto"/>
        <w:ind w:firstLine="524" w:firstLineChars="200"/>
        <w:rPr>
          <w:sz w:val="24"/>
        </w:rPr>
      </w:pPr>
      <w:r>
        <w:rPr>
          <w:sz w:val="24"/>
        </w:rPr>
        <w:t>项目变更资料：项目变更申请、项目变更审批文件；</w:t>
      </w:r>
    </w:p>
    <w:p>
      <w:pPr>
        <w:spacing w:line="360" w:lineRule="auto"/>
        <w:ind w:firstLine="524" w:firstLineChars="200"/>
        <w:rPr>
          <w:sz w:val="24"/>
        </w:rPr>
      </w:pPr>
      <w:r>
        <w:rPr>
          <w:sz w:val="24"/>
        </w:rPr>
        <w:t>项目经费资料：概算、预算、经费使用情况表。</w:t>
      </w:r>
    </w:p>
    <w:p>
      <w:pPr>
        <w:spacing w:line="360" w:lineRule="auto"/>
        <w:ind w:firstLine="524" w:firstLineChars="200"/>
        <w:rPr>
          <w:sz w:val="24"/>
        </w:rPr>
      </w:pPr>
      <w:r>
        <w:rPr>
          <w:sz w:val="24"/>
        </w:rPr>
        <w:t>合同资料：招标书、投标书、合同文件；</w:t>
      </w:r>
    </w:p>
    <w:p>
      <w:pPr>
        <w:spacing w:line="360" w:lineRule="auto"/>
        <w:ind w:firstLine="524" w:firstLineChars="200"/>
        <w:rPr>
          <w:sz w:val="24"/>
        </w:rPr>
      </w:pPr>
      <w:r>
        <w:rPr>
          <w:sz w:val="24"/>
        </w:rPr>
        <w:t>项目施工资料：项目开工报告、项目实施报告、项目竣工报告、材料与设备清单、项目实施质量与安全检查记录、项目竣工图纸、售后服务保证文件、项目自检报告；</w:t>
      </w:r>
    </w:p>
    <w:p>
      <w:pPr>
        <w:spacing w:line="360" w:lineRule="auto"/>
        <w:ind w:firstLine="524" w:firstLineChars="200"/>
        <w:rPr>
          <w:sz w:val="24"/>
        </w:rPr>
      </w:pPr>
      <w:r>
        <w:rPr>
          <w:sz w:val="24"/>
        </w:rPr>
        <w:t>项目试运行资料：用户试用报告或用户意见书；</w:t>
      </w:r>
    </w:p>
    <w:p>
      <w:pPr>
        <w:spacing w:line="360" w:lineRule="auto"/>
        <w:ind w:firstLine="524" w:firstLineChars="200"/>
        <w:rPr>
          <w:sz w:val="24"/>
        </w:rPr>
      </w:pPr>
      <w:r>
        <w:rPr>
          <w:sz w:val="24"/>
        </w:rPr>
        <w:t>非信息应用系统相关文档：系统设计说明书、项目详细实施方案、系统结构图、用户手册、用户培训计划、培训文档；</w:t>
      </w:r>
    </w:p>
    <w:p>
      <w:pPr>
        <w:spacing w:line="360" w:lineRule="auto"/>
        <w:ind w:firstLine="524" w:firstLineChars="200"/>
        <w:rPr>
          <w:sz w:val="24"/>
        </w:rPr>
      </w:pPr>
      <w:r>
        <w:rPr>
          <w:sz w:val="24"/>
        </w:rPr>
        <w:t>信息应用系统相关文档：需求说明书、概要设计说明书、详细设计说明书、数据库设计说明书、测试计划、测试报告、用户手册、项目计划书、用户培训计划、会议记录和开发进度月报；</w:t>
      </w:r>
    </w:p>
    <w:p>
      <w:pPr>
        <w:spacing w:line="360" w:lineRule="auto"/>
        <w:ind w:firstLine="524" w:firstLineChars="200"/>
        <w:rPr>
          <w:sz w:val="24"/>
        </w:rPr>
      </w:pPr>
      <w:r>
        <w:rPr>
          <w:sz w:val="24"/>
        </w:rPr>
        <w:t>项目监理报告。</w:t>
      </w:r>
    </w:p>
    <w:p>
      <w:pPr>
        <w:spacing w:line="360" w:lineRule="auto"/>
        <w:ind w:firstLine="524" w:firstLineChars="200"/>
        <w:rPr>
          <w:sz w:val="24"/>
        </w:rPr>
      </w:pPr>
      <w:r>
        <w:rPr>
          <w:sz w:val="24"/>
        </w:rPr>
        <w:t>注：</w:t>
      </w:r>
      <w:r>
        <w:rPr>
          <w:b w:val="0"/>
          <w:bCs/>
          <w:sz w:val="24"/>
        </w:rPr>
        <w:t>总结资料、项目立项审核资料、项目变更资料、项目经费资料、合同资料、项目施工资料、项目监理报告</w:t>
      </w:r>
      <w:r>
        <w:rPr>
          <w:sz w:val="24"/>
        </w:rPr>
        <w:t>为所有项目必须齐备的材料，项目施工资料的内容根据项目具体情况进行选择（</w:t>
      </w:r>
      <w:r>
        <w:rPr>
          <w:b w:val="0"/>
          <w:bCs/>
          <w:sz w:val="24"/>
        </w:rPr>
        <w:t>用户试用报告</w:t>
      </w:r>
      <w:r>
        <w:rPr>
          <w:sz w:val="24"/>
        </w:rPr>
        <w:t>为必备），非信息应用系统相关文档和信息应用系统相关文档根据项目所属类型进行选择。</w:t>
      </w:r>
    </w:p>
    <w:p>
      <w:pPr>
        <w:spacing w:line="360" w:lineRule="auto"/>
        <w:ind w:firstLine="526" w:firstLineChars="200"/>
        <w:rPr>
          <w:rFonts w:hint="eastAsia" w:ascii="宋体" w:hAnsi="宋体" w:eastAsia="宋体"/>
          <w:b/>
          <w:bCs/>
          <w:sz w:val="24"/>
          <w:szCs w:val="22"/>
          <w:lang w:val="en-US" w:eastAsia="zh-CN"/>
        </w:rPr>
      </w:pPr>
      <w:r>
        <w:rPr>
          <w:rFonts w:hint="eastAsia" w:ascii="宋体" w:hAnsi="宋体" w:eastAsia="宋体"/>
          <w:b/>
          <w:bCs/>
          <w:sz w:val="24"/>
          <w:szCs w:val="22"/>
          <w:lang w:val="en-US" w:eastAsia="zh-CN"/>
        </w:rPr>
        <w:t>二、项目评审工作</w:t>
      </w:r>
    </w:p>
    <w:p>
      <w:pPr>
        <w:keepNext w:val="0"/>
        <w:keepLines w:val="0"/>
        <w:pageBreakBefore w:val="0"/>
        <w:widowControl w:val="0"/>
        <w:kinsoku/>
        <w:wordWrap/>
        <w:overflowPunct/>
        <w:topLinePunct w:val="0"/>
        <w:autoSpaceDE/>
        <w:autoSpaceDN/>
        <w:bidi w:val="0"/>
        <w:adjustRightInd/>
        <w:spacing w:line="360" w:lineRule="auto"/>
        <w:ind w:firstLine="524" w:firstLineChars="200"/>
        <w:textAlignment w:val="auto"/>
        <w:rPr>
          <w:sz w:val="24"/>
        </w:rPr>
      </w:pPr>
      <w:r>
        <w:rPr>
          <w:sz w:val="24"/>
        </w:rPr>
        <w:t>项目评审的工作主要包括：</w:t>
      </w:r>
    </w:p>
    <w:p>
      <w:pPr>
        <w:keepNext w:val="0"/>
        <w:keepLines w:val="0"/>
        <w:pageBreakBefore w:val="0"/>
        <w:widowControl w:val="0"/>
        <w:kinsoku/>
        <w:wordWrap/>
        <w:overflowPunct/>
        <w:topLinePunct w:val="0"/>
        <w:autoSpaceDE/>
        <w:autoSpaceDN/>
        <w:bidi w:val="0"/>
        <w:adjustRightInd/>
        <w:spacing w:line="360" w:lineRule="auto"/>
        <w:ind w:firstLine="524" w:firstLineChars="200"/>
        <w:textAlignment w:val="auto"/>
        <w:rPr>
          <w:sz w:val="24"/>
        </w:rPr>
      </w:pPr>
      <w:r>
        <w:rPr>
          <w:sz w:val="24"/>
        </w:rPr>
        <w:t>听取建设单位、承建单位、监理单位对项目建设情况的介绍；</w:t>
      </w:r>
    </w:p>
    <w:p>
      <w:pPr>
        <w:keepNext w:val="0"/>
        <w:keepLines w:val="0"/>
        <w:pageBreakBefore w:val="0"/>
        <w:widowControl w:val="0"/>
        <w:kinsoku/>
        <w:wordWrap/>
        <w:overflowPunct/>
        <w:topLinePunct w:val="0"/>
        <w:autoSpaceDE/>
        <w:autoSpaceDN/>
        <w:bidi w:val="0"/>
        <w:adjustRightInd/>
        <w:spacing w:line="360" w:lineRule="auto"/>
        <w:ind w:firstLine="524" w:firstLineChars="200"/>
        <w:textAlignment w:val="auto"/>
        <w:rPr>
          <w:sz w:val="24"/>
        </w:rPr>
      </w:pPr>
      <w:r>
        <w:rPr>
          <w:sz w:val="24"/>
        </w:rPr>
        <w:t>听取信息工程测评机构对项目测评情况的介绍；</w:t>
      </w:r>
    </w:p>
    <w:p>
      <w:pPr>
        <w:keepNext w:val="0"/>
        <w:keepLines w:val="0"/>
        <w:pageBreakBefore w:val="0"/>
        <w:widowControl w:val="0"/>
        <w:kinsoku/>
        <w:wordWrap/>
        <w:overflowPunct/>
        <w:topLinePunct w:val="0"/>
        <w:autoSpaceDE/>
        <w:autoSpaceDN/>
        <w:bidi w:val="0"/>
        <w:adjustRightInd/>
        <w:spacing w:line="360" w:lineRule="auto"/>
        <w:ind w:firstLine="524" w:firstLineChars="200"/>
        <w:textAlignment w:val="auto"/>
        <w:rPr>
          <w:sz w:val="24"/>
        </w:rPr>
      </w:pPr>
      <w:r>
        <w:rPr>
          <w:sz w:val="24"/>
        </w:rPr>
        <w:t>组织现场验收和复查验收；</w:t>
      </w:r>
    </w:p>
    <w:p>
      <w:pPr>
        <w:keepNext w:val="0"/>
        <w:keepLines w:val="0"/>
        <w:pageBreakBefore w:val="0"/>
        <w:widowControl w:val="0"/>
        <w:kinsoku/>
        <w:wordWrap/>
        <w:overflowPunct/>
        <w:topLinePunct w:val="0"/>
        <w:autoSpaceDE/>
        <w:autoSpaceDN/>
        <w:bidi w:val="0"/>
        <w:adjustRightInd/>
        <w:spacing w:line="360" w:lineRule="auto"/>
        <w:ind w:firstLine="524" w:firstLineChars="200"/>
        <w:textAlignment w:val="auto"/>
        <w:rPr>
          <w:sz w:val="24"/>
        </w:rPr>
      </w:pPr>
      <w:r>
        <w:rPr>
          <w:sz w:val="24"/>
        </w:rPr>
        <w:t>听取资料审查的情况汇报，用户试运行情况的汇报。</w:t>
      </w:r>
    </w:p>
    <w:p>
      <w:pPr>
        <w:keepNext w:val="0"/>
        <w:keepLines w:val="0"/>
        <w:pageBreakBefore w:val="0"/>
        <w:widowControl w:val="0"/>
        <w:kinsoku/>
        <w:wordWrap/>
        <w:overflowPunct/>
        <w:topLinePunct w:val="0"/>
        <w:autoSpaceDE/>
        <w:autoSpaceDN/>
        <w:bidi w:val="0"/>
        <w:adjustRightInd/>
        <w:spacing w:line="360" w:lineRule="auto"/>
        <w:ind w:firstLine="524" w:firstLineChars="200"/>
        <w:textAlignment w:val="auto"/>
        <w:rPr>
          <w:sz w:val="24"/>
        </w:rPr>
      </w:pPr>
      <w:r>
        <w:rPr>
          <w:sz w:val="24"/>
        </w:rPr>
        <w:t>评审的内容包括：</w:t>
      </w:r>
    </w:p>
    <w:p>
      <w:pPr>
        <w:keepNext w:val="0"/>
        <w:keepLines w:val="0"/>
        <w:pageBreakBefore w:val="0"/>
        <w:widowControl w:val="0"/>
        <w:kinsoku/>
        <w:wordWrap/>
        <w:overflowPunct/>
        <w:topLinePunct w:val="0"/>
        <w:autoSpaceDE/>
        <w:autoSpaceDN/>
        <w:bidi w:val="0"/>
        <w:adjustRightInd/>
        <w:spacing w:line="360" w:lineRule="auto"/>
        <w:ind w:firstLine="524" w:firstLineChars="200"/>
        <w:textAlignment w:val="auto"/>
        <w:rPr>
          <w:sz w:val="24"/>
        </w:rPr>
      </w:pPr>
      <w:r>
        <w:rPr>
          <w:sz w:val="24"/>
        </w:rPr>
        <w:t>项目的立项审核、招投标和实施过程是否符合规范；</w:t>
      </w:r>
    </w:p>
    <w:p>
      <w:pPr>
        <w:keepNext w:val="0"/>
        <w:keepLines w:val="0"/>
        <w:pageBreakBefore w:val="0"/>
        <w:widowControl w:val="0"/>
        <w:kinsoku/>
        <w:wordWrap/>
        <w:overflowPunct/>
        <w:topLinePunct w:val="0"/>
        <w:autoSpaceDE/>
        <w:autoSpaceDN/>
        <w:bidi w:val="0"/>
        <w:adjustRightInd/>
        <w:spacing w:line="360" w:lineRule="auto"/>
        <w:ind w:firstLine="524" w:firstLineChars="200"/>
        <w:textAlignment w:val="auto"/>
        <w:rPr>
          <w:sz w:val="24"/>
        </w:rPr>
      </w:pPr>
      <w:r>
        <w:rPr>
          <w:sz w:val="24"/>
        </w:rPr>
        <w:t>项目经费使用是否合理；</w:t>
      </w:r>
    </w:p>
    <w:p>
      <w:pPr>
        <w:keepNext w:val="0"/>
        <w:keepLines w:val="0"/>
        <w:pageBreakBefore w:val="0"/>
        <w:widowControl w:val="0"/>
        <w:kinsoku/>
        <w:wordWrap/>
        <w:overflowPunct/>
        <w:topLinePunct w:val="0"/>
        <w:autoSpaceDE/>
        <w:autoSpaceDN/>
        <w:bidi w:val="0"/>
        <w:adjustRightInd/>
        <w:spacing w:line="360" w:lineRule="auto"/>
        <w:ind w:firstLine="524" w:firstLineChars="200"/>
        <w:textAlignment w:val="auto"/>
        <w:rPr>
          <w:sz w:val="24"/>
        </w:rPr>
      </w:pPr>
      <w:r>
        <w:rPr>
          <w:sz w:val="24"/>
        </w:rPr>
        <w:t>项目是否达到立项审核意见和合同书的各项指标与要求；</w:t>
      </w:r>
    </w:p>
    <w:p>
      <w:pPr>
        <w:keepNext w:val="0"/>
        <w:keepLines w:val="0"/>
        <w:pageBreakBefore w:val="0"/>
        <w:widowControl w:val="0"/>
        <w:kinsoku/>
        <w:wordWrap/>
        <w:overflowPunct/>
        <w:topLinePunct w:val="0"/>
        <w:autoSpaceDE/>
        <w:autoSpaceDN/>
        <w:bidi w:val="0"/>
        <w:adjustRightInd/>
        <w:spacing w:line="360" w:lineRule="auto"/>
        <w:ind w:firstLine="524" w:firstLineChars="200"/>
        <w:textAlignment w:val="auto"/>
        <w:rPr>
          <w:sz w:val="24"/>
        </w:rPr>
      </w:pPr>
      <w:r>
        <w:rPr>
          <w:sz w:val="24"/>
        </w:rPr>
        <w:t>技术文档是否齐全，是否符合国家或有关部门的技术要求；</w:t>
      </w:r>
    </w:p>
    <w:p>
      <w:pPr>
        <w:keepNext w:val="0"/>
        <w:keepLines w:val="0"/>
        <w:pageBreakBefore w:val="0"/>
        <w:widowControl w:val="0"/>
        <w:kinsoku/>
        <w:wordWrap/>
        <w:overflowPunct/>
        <w:topLinePunct w:val="0"/>
        <w:autoSpaceDE/>
        <w:autoSpaceDN/>
        <w:bidi w:val="0"/>
        <w:adjustRightInd/>
        <w:spacing w:line="360" w:lineRule="auto"/>
        <w:ind w:firstLine="524" w:firstLineChars="200"/>
        <w:textAlignment w:val="auto"/>
        <w:rPr>
          <w:sz w:val="24"/>
        </w:rPr>
      </w:pPr>
      <w:r>
        <w:rPr>
          <w:sz w:val="24"/>
        </w:rPr>
        <w:t>根据技术标准、建设规范，检查各项技术指标是否达到要求；</w:t>
      </w:r>
    </w:p>
    <w:p>
      <w:pPr>
        <w:keepNext w:val="0"/>
        <w:keepLines w:val="0"/>
        <w:pageBreakBefore w:val="0"/>
        <w:widowControl w:val="0"/>
        <w:kinsoku/>
        <w:wordWrap/>
        <w:overflowPunct/>
        <w:topLinePunct w:val="0"/>
        <w:autoSpaceDE/>
        <w:autoSpaceDN/>
        <w:bidi w:val="0"/>
        <w:adjustRightInd/>
        <w:spacing w:line="360" w:lineRule="auto"/>
        <w:ind w:firstLine="524" w:firstLineChars="200"/>
        <w:textAlignment w:val="auto"/>
        <w:rPr>
          <w:sz w:val="24"/>
        </w:rPr>
      </w:pPr>
      <w:r>
        <w:rPr>
          <w:sz w:val="24"/>
        </w:rPr>
        <w:t>建设项目的设计、施工是否符合国家或有关部门的标准和规范；</w:t>
      </w:r>
    </w:p>
    <w:p>
      <w:pPr>
        <w:keepNext w:val="0"/>
        <w:keepLines w:val="0"/>
        <w:pageBreakBefore w:val="0"/>
        <w:widowControl w:val="0"/>
        <w:kinsoku/>
        <w:wordWrap/>
        <w:overflowPunct/>
        <w:topLinePunct w:val="0"/>
        <w:autoSpaceDE/>
        <w:autoSpaceDN/>
        <w:bidi w:val="0"/>
        <w:adjustRightInd/>
        <w:spacing w:line="360" w:lineRule="auto"/>
        <w:ind w:firstLine="524" w:firstLineChars="200"/>
        <w:textAlignment w:val="auto"/>
        <w:rPr>
          <w:sz w:val="24"/>
        </w:rPr>
      </w:pPr>
      <w:r>
        <w:rPr>
          <w:sz w:val="24"/>
        </w:rPr>
        <w:t>运行管理人员和操作使用人员的技术培训是否达到熟练操作的程度；</w:t>
      </w:r>
    </w:p>
    <w:p>
      <w:pPr>
        <w:keepNext w:val="0"/>
        <w:keepLines w:val="0"/>
        <w:pageBreakBefore w:val="0"/>
        <w:widowControl w:val="0"/>
        <w:kinsoku/>
        <w:wordWrap/>
        <w:overflowPunct/>
        <w:topLinePunct w:val="0"/>
        <w:autoSpaceDE/>
        <w:autoSpaceDN/>
        <w:bidi w:val="0"/>
        <w:adjustRightInd/>
        <w:spacing w:line="360" w:lineRule="auto"/>
        <w:ind w:firstLine="524" w:firstLineChars="200"/>
        <w:textAlignment w:val="auto"/>
        <w:rPr>
          <w:sz w:val="24"/>
        </w:rPr>
      </w:pPr>
      <w:r>
        <w:rPr>
          <w:sz w:val="24"/>
        </w:rPr>
        <w:t>相关管理规章制度是否建立和健全。</w:t>
      </w:r>
    </w:p>
    <w:p>
      <w:pPr>
        <w:pStyle w:val="6"/>
        <w:tabs>
          <w:tab w:val="left" w:pos="420"/>
          <w:tab w:val="left" w:pos="718"/>
        </w:tabs>
        <w:spacing w:before="196" w:after="196"/>
        <w:ind w:left="575" w:hanging="575"/>
        <w:rPr>
          <w:rFonts w:hint="eastAsia"/>
          <w:color w:val="auto"/>
          <w:szCs w:val="22"/>
          <w:lang w:val="en-US" w:eastAsia="zh-CN"/>
        </w:rPr>
      </w:pPr>
      <w:bookmarkStart w:id="438" w:name="_Toc23935"/>
      <w:bookmarkStart w:id="439" w:name="_Toc173837927"/>
      <w:bookmarkStart w:id="440" w:name="_Toc122061043"/>
      <w:bookmarkStart w:id="441" w:name="_Toc6507"/>
      <w:r>
        <w:rPr>
          <w:rFonts w:hint="eastAsia"/>
          <w:color w:val="auto"/>
          <w:szCs w:val="22"/>
          <w:lang w:val="en-US" w:eastAsia="zh-CN"/>
        </w:rPr>
        <w:t>验收结论与处理</w:t>
      </w:r>
      <w:bookmarkEnd w:id="438"/>
      <w:bookmarkEnd w:id="439"/>
      <w:bookmarkEnd w:id="440"/>
      <w:bookmarkEnd w:id="441"/>
    </w:p>
    <w:p>
      <w:pPr>
        <w:pStyle w:val="13"/>
        <w:spacing w:line="360" w:lineRule="auto"/>
        <w:ind w:firstLine="524" w:firstLineChars="200"/>
        <w:rPr>
          <w:sz w:val="24"/>
        </w:rPr>
      </w:pPr>
      <w:r>
        <w:rPr>
          <w:sz w:val="24"/>
        </w:rPr>
        <w:t>验收结论分为：验收合格和验收不合格。</w:t>
      </w:r>
    </w:p>
    <w:p>
      <w:pPr>
        <w:pStyle w:val="7"/>
        <w:bidi w:val="0"/>
        <w:rPr>
          <w:rFonts w:hint="eastAsia"/>
          <w:lang w:val="en-US" w:eastAsia="zh-CN"/>
        </w:rPr>
      </w:pPr>
      <w:bookmarkStart w:id="442" w:name="_Toc122061044"/>
      <w:bookmarkStart w:id="443" w:name="_Toc173837928"/>
      <w:r>
        <w:rPr>
          <w:rFonts w:hint="eastAsia"/>
          <w:lang w:val="en-US" w:eastAsia="zh-CN"/>
        </w:rPr>
        <w:t>验收合格</w:t>
      </w:r>
      <w:bookmarkEnd w:id="442"/>
      <w:bookmarkEnd w:id="443"/>
    </w:p>
    <w:p>
      <w:pPr>
        <w:pStyle w:val="13"/>
        <w:spacing w:line="360" w:lineRule="auto"/>
        <w:rPr>
          <w:sz w:val="24"/>
        </w:rPr>
      </w:pPr>
      <w:r>
        <w:rPr>
          <w:sz w:val="24"/>
        </w:rPr>
        <w:t>满足以下所有条件，为验收合格：</w:t>
      </w:r>
    </w:p>
    <w:p>
      <w:pPr>
        <w:spacing w:line="360" w:lineRule="auto"/>
        <w:ind w:firstLine="524" w:firstLineChars="200"/>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项目立项审批文件齐全、项目变更通过严格审核，审批文件齐全；</w:t>
      </w:r>
    </w:p>
    <w:p>
      <w:pPr>
        <w:spacing w:line="360" w:lineRule="auto"/>
        <w:ind w:firstLine="524" w:firstLineChars="200"/>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项目经费使用合理；</w:t>
      </w:r>
    </w:p>
    <w:p>
      <w:pPr>
        <w:spacing w:line="360" w:lineRule="auto"/>
        <w:ind w:firstLine="524" w:firstLineChars="200"/>
        <w:rPr>
          <w:sz w:val="24"/>
        </w:rPr>
      </w:pPr>
      <w:r>
        <w:rPr>
          <w:rFonts w:hint="eastAsia"/>
          <w:sz w:val="24"/>
          <w:lang w:eastAsia="zh-CN"/>
        </w:rPr>
        <w:t>（</w:t>
      </w:r>
      <w:r>
        <w:rPr>
          <w:rFonts w:hint="eastAsia"/>
          <w:sz w:val="24"/>
          <w:lang w:val="en-US" w:eastAsia="zh-CN"/>
        </w:rPr>
        <w:t>3</w:t>
      </w:r>
      <w:r>
        <w:rPr>
          <w:rFonts w:hint="eastAsia"/>
          <w:sz w:val="24"/>
          <w:lang w:eastAsia="zh-CN"/>
        </w:rPr>
        <w:t>）</w:t>
      </w:r>
      <w:r>
        <w:rPr>
          <w:sz w:val="24"/>
        </w:rPr>
        <w:t>项目设计和合同约定的各项内容都已实现；</w:t>
      </w:r>
    </w:p>
    <w:p>
      <w:pPr>
        <w:spacing w:line="360" w:lineRule="auto"/>
        <w:ind w:firstLine="524" w:firstLineChars="200"/>
        <w:rPr>
          <w:sz w:val="24"/>
        </w:rPr>
      </w:pPr>
      <w:r>
        <w:rPr>
          <w:rFonts w:hint="eastAsia"/>
          <w:sz w:val="24"/>
          <w:lang w:eastAsia="zh-CN"/>
        </w:rPr>
        <w:t>（</w:t>
      </w:r>
      <w:r>
        <w:rPr>
          <w:rFonts w:hint="eastAsia"/>
          <w:sz w:val="24"/>
          <w:lang w:val="en-US" w:eastAsia="zh-CN"/>
        </w:rPr>
        <w:t>4</w:t>
      </w:r>
      <w:r>
        <w:rPr>
          <w:rFonts w:hint="eastAsia"/>
          <w:sz w:val="24"/>
          <w:lang w:eastAsia="zh-CN"/>
        </w:rPr>
        <w:t>）</w:t>
      </w:r>
      <w:r>
        <w:rPr>
          <w:sz w:val="24"/>
        </w:rPr>
        <w:t>项目已经信息工程测评机构测评，且测评结果合格；</w:t>
      </w:r>
    </w:p>
    <w:p>
      <w:pPr>
        <w:spacing w:line="360" w:lineRule="auto"/>
        <w:ind w:firstLine="524" w:firstLineChars="200"/>
        <w:rPr>
          <w:sz w:val="24"/>
        </w:rPr>
      </w:pPr>
      <w:r>
        <w:rPr>
          <w:rFonts w:hint="eastAsia"/>
          <w:sz w:val="24"/>
          <w:lang w:eastAsia="zh-CN"/>
        </w:rPr>
        <w:t>（</w:t>
      </w:r>
      <w:r>
        <w:rPr>
          <w:rFonts w:hint="eastAsia"/>
          <w:sz w:val="24"/>
          <w:lang w:val="en-US" w:eastAsia="zh-CN"/>
        </w:rPr>
        <w:t>5</w:t>
      </w:r>
      <w:r>
        <w:rPr>
          <w:rFonts w:hint="eastAsia"/>
          <w:sz w:val="24"/>
          <w:lang w:eastAsia="zh-CN"/>
        </w:rPr>
        <w:t>）</w:t>
      </w:r>
      <w:r>
        <w:rPr>
          <w:sz w:val="24"/>
        </w:rPr>
        <w:t>验收文档资料齐全、正确；</w:t>
      </w:r>
    </w:p>
    <w:p>
      <w:pPr>
        <w:spacing w:line="360" w:lineRule="auto"/>
        <w:ind w:firstLine="524" w:firstLineChars="200"/>
        <w:rPr>
          <w:sz w:val="24"/>
        </w:rPr>
      </w:pPr>
      <w:r>
        <w:rPr>
          <w:rFonts w:hint="eastAsia"/>
          <w:sz w:val="24"/>
          <w:lang w:eastAsia="zh-CN"/>
        </w:rPr>
        <w:t>（</w:t>
      </w:r>
      <w:r>
        <w:rPr>
          <w:rFonts w:hint="eastAsia"/>
          <w:sz w:val="24"/>
          <w:lang w:val="en-US" w:eastAsia="zh-CN"/>
        </w:rPr>
        <w:t>6</w:t>
      </w:r>
      <w:r>
        <w:rPr>
          <w:rFonts w:hint="eastAsia"/>
          <w:sz w:val="24"/>
          <w:lang w:eastAsia="zh-CN"/>
        </w:rPr>
        <w:t>）</w:t>
      </w:r>
      <w:r>
        <w:rPr>
          <w:sz w:val="24"/>
        </w:rPr>
        <w:t>运行管理队伍组建完成，管理制度健全；</w:t>
      </w:r>
    </w:p>
    <w:p>
      <w:pPr>
        <w:spacing w:line="360" w:lineRule="auto"/>
        <w:ind w:firstLine="524" w:firstLineChars="200"/>
        <w:rPr>
          <w:sz w:val="24"/>
        </w:rPr>
      </w:pPr>
      <w:r>
        <w:rPr>
          <w:rFonts w:hint="eastAsia"/>
          <w:sz w:val="24"/>
          <w:lang w:eastAsia="zh-CN"/>
        </w:rPr>
        <w:t>（</w:t>
      </w:r>
      <w:r>
        <w:rPr>
          <w:rFonts w:hint="eastAsia"/>
          <w:sz w:val="24"/>
          <w:lang w:val="en-US" w:eastAsia="zh-CN"/>
        </w:rPr>
        <w:t>7</w:t>
      </w:r>
      <w:r>
        <w:rPr>
          <w:rFonts w:hint="eastAsia"/>
          <w:sz w:val="24"/>
          <w:lang w:eastAsia="zh-CN"/>
        </w:rPr>
        <w:t>）</w:t>
      </w:r>
      <w:r>
        <w:rPr>
          <w:sz w:val="24"/>
        </w:rPr>
        <w:t>运行管理人员和操作使用人员已完成培训，并具备独立上岗能力。</w:t>
      </w:r>
    </w:p>
    <w:p>
      <w:pPr>
        <w:pStyle w:val="7"/>
        <w:bidi w:val="0"/>
        <w:rPr>
          <w:rFonts w:hint="eastAsia"/>
          <w:lang w:val="en-US" w:eastAsia="zh-CN"/>
        </w:rPr>
      </w:pPr>
      <w:bookmarkStart w:id="444" w:name="_Toc165427441"/>
      <w:bookmarkEnd w:id="444"/>
      <w:bookmarkStart w:id="445" w:name="_Toc165427442"/>
      <w:bookmarkEnd w:id="445"/>
      <w:bookmarkStart w:id="446" w:name="_Toc122061046"/>
      <w:bookmarkStart w:id="447" w:name="_Toc173837929"/>
      <w:r>
        <w:rPr>
          <w:rFonts w:hint="eastAsia"/>
          <w:lang w:val="en-US" w:eastAsia="zh-CN"/>
        </w:rPr>
        <w:t>验收不合格</w:t>
      </w:r>
      <w:bookmarkEnd w:id="446"/>
      <w:bookmarkEnd w:id="447"/>
    </w:p>
    <w:p>
      <w:pPr>
        <w:spacing w:line="360" w:lineRule="auto"/>
        <w:ind w:firstLine="524" w:firstLineChars="200"/>
        <w:rPr>
          <w:sz w:val="24"/>
        </w:rPr>
      </w:pPr>
      <w:r>
        <w:rPr>
          <w:sz w:val="24"/>
        </w:rPr>
        <w:t>项目凡具有下列情况之一的，按验收不合格处理：</w:t>
      </w:r>
    </w:p>
    <w:p>
      <w:pPr>
        <w:autoSpaceDE w:val="0"/>
        <w:autoSpaceDN w:val="0"/>
        <w:adjustRightInd w:val="0"/>
        <w:spacing w:line="360" w:lineRule="auto"/>
        <w:ind w:firstLine="524" w:firstLineChars="200"/>
        <w:rPr>
          <w:sz w:val="24"/>
        </w:rPr>
      </w:pPr>
      <w:r>
        <w:rPr>
          <w:sz w:val="24"/>
        </w:rPr>
        <w:t>（1）项目立项审批文件不齐全或项目变更未经审核；</w:t>
      </w:r>
    </w:p>
    <w:p>
      <w:pPr>
        <w:autoSpaceDE w:val="0"/>
        <w:autoSpaceDN w:val="0"/>
        <w:adjustRightInd w:val="0"/>
        <w:spacing w:line="360" w:lineRule="auto"/>
        <w:ind w:firstLine="524" w:firstLineChars="200"/>
        <w:rPr>
          <w:sz w:val="24"/>
        </w:rPr>
      </w:pPr>
      <w:r>
        <w:rPr>
          <w:sz w:val="24"/>
        </w:rPr>
        <w:t>（2）经费使用不合理；</w:t>
      </w:r>
    </w:p>
    <w:p>
      <w:pPr>
        <w:autoSpaceDE w:val="0"/>
        <w:autoSpaceDN w:val="0"/>
        <w:adjustRightInd w:val="0"/>
        <w:spacing w:line="360" w:lineRule="auto"/>
        <w:ind w:firstLine="524" w:firstLineChars="200"/>
        <w:rPr>
          <w:sz w:val="24"/>
        </w:rPr>
      </w:pPr>
      <w:r>
        <w:rPr>
          <w:sz w:val="24"/>
        </w:rPr>
        <w:t>（3）未按项目考核指标或合同要求达到所预定的主要技术指标的；</w:t>
      </w:r>
    </w:p>
    <w:p>
      <w:pPr>
        <w:autoSpaceDE w:val="0"/>
        <w:autoSpaceDN w:val="0"/>
        <w:adjustRightInd w:val="0"/>
        <w:spacing w:line="360" w:lineRule="auto"/>
        <w:ind w:firstLine="524" w:firstLineChars="200"/>
        <w:rPr>
          <w:sz w:val="24"/>
        </w:rPr>
      </w:pPr>
      <w:r>
        <w:rPr>
          <w:sz w:val="24"/>
        </w:rPr>
        <w:t>（4）所提供的验收材料不真实的；</w:t>
      </w:r>
    </w:p>
    <w:p>
      <w:pPr>
        <w:autoSpaceDE w:val="0"/>
        <w:autoSpaceDN w:val="0"/>
        <w:adjustRightInd w:val="0"/>
        <w:spacing w:line="360" w:lineRule="auto"/>
        <w:ind w:firstLine="524" w:firstLineChars="200"/>
        <w:rPr>
          <w:sz w:val="24"/>
        </w:rPr>
      </w:pPr>
      <w:r>
        <w:rPr>
          <w:sz w:val="24"/>
        </w:rPr>
        <w:t>（5）项目的内容、目标或技术路线等已进行了较大调整，但未曾得到建设单位认可的；</w:t>
      </w:r>
    </w:p>
    <w:p>
      <w:pPr>
        <w:autoSpaceDE w:val="0"/>
        <w:autoSpaceDN w:val="0"/>
        <w:adjustRightInd w:val="0"/>
        <w:spacing w:line="360" w:lineRule="auto"/>
        <w:ind w:firstLine="524" w:firstLineChars="200"/>
        <w:rPr>
          <w:sz w:val="24"/>
        </w:rPr>
      </w:pPr>
      <w:r>
        <w:rPr>
          <w:sz w:val="24"/>
        </w:rPr>
        <w:t>（6）实施过程中出现重大问题，尚未解决和作出说明，或项目实施过程及结果等存在纠纷尚未解决的；</w:t>
      </w:r>
    </w:p>
    <w:p>
      <w:pPr>
        <w:autoSpaceDE w:val="0"/>
        <w:autoSpaceDN w:val="0"/>
        <w:adjustRightInd w:val="0"/>
        <w:spacing w:line="360" w:lineRule="auto"/>
        <w:ind w:firstLine="524" w:firstLineChars="200"/>
        <w:rPr>
          <w:sz w:val="24"/>
        </w:rPr>
      </w:pPr>
      <w:r>
        <w:rPr>
          <w:sz w:val="24"/>
        </w:rPr>
        <w:t>（7）经信息工程测评机构测评，测评结果不合格的；</w:t>
      </w:r>
    </w:p>
    <w:p>
      <w:pPr>
        <w:autoSpaceDE w:val="0"/>
        <w:autoSpaceDN w:val="0"/>
        <w:adjustRightInd w:val="0"/>
        <w:spacing w:line="360" w:lineRule="auto"/>
        <w:ind w:firstLine="524" w:firstLineChars="200"/>
        <w:rPr>
          <w:sz w:val="24"/>
        </w:rPr>
      </w:pPr>
      <w:r>
        <w:rPr>
          <w:sz w:val="24"/>
        </w:rPr>
        <w:t>（8）违反信息化主管部门和财政部门对项目建设的统一要求的其他行为。</w:t>
      </w:r>
    </w:p>
    <w:p>
      <w:pPr>
        <w:pStyle w:val="7"/>
        <w:bidi w:val="0"/>
        <w:rPr>
          <w:rFonts w:hint="eastAsia"/>
          <w:lang w:val="en-US" w:eastAsia="zh-CN"/>
        </w:rPr>
      </w:pPr>
      <w:bookmarkStart w:id="448" w:name="_Toc173837930"/>
      <w:bookmarkStart w:id="449" w:name="_Toc122061047"/>
      <w:r>
        <w:rPr>
          <w:rFonts w:hint="eastAsia"/>
          <w:lang w:val="en-US" w:eastAsia="zh-CN"/>
        </w:rPr>
        <w:t>项目验收结论的处理</w:t>
      </w:r>
      <w:bookmarkEnd w:id="448"/>
      <w:bookmarkEnd w:id="449"/>
    </w:p>
    <w:p>
      <w:pPr>
        <w:autoSpaceDE w:val="0"/>
        <w:autoSpaceDN w:val="0"/>
        <w:adjustRightInd w:val="0"/>
        <w:spacing w:line="360" w:lineRule="auto"/>
        <w:ind w:firstLine="524" w:firstLineChars="200"/>
        <w:rPr>
          <w:sz w:val="24"/>
        </w:rPr>
      </w:pPr>
      <w:r>
        <w:rPr>
          <w:sz w:val="24"/>
        </w:rPr>
        <w:t>（1）验收结论为验收合格的，进行资料交接和项目交接。大型及重大项目由</w:t>
      </w:r>
      <w:r>
        <w:rPr>
          <w:rFonts w:hint="eastAsia"/>
          <w:sz w:val="24"/>
          <w:lang w:val="en-US" w:eastAsia="zh-CN"/>
        </w:rPr>
        <w:t>信息主管部门</w:t>
      </w:r>
      <w:r>
        <w:rPr>
          <w:sz w:val="24"/>
        </w:rPr>
        <w:t>核发验收通过证明，项目建设单位凭该证明及其它有关材料办理支付项目尾款手续和项目决算手续。</w:t>
      </w:r>
    </w:p>
    <w:p>
      <w:pPr>
        <w:autoSpaceDE w:val="0"/>
        <w:autoSpaceDN w:val="0"/>
        <w:adjustRightInd w:val="0"/>
        <w:spacing w:line="360" w:lineRule="auto"/>
        <w:ind w:firstLine="524" w:firstLineChars="200"/>
        <w:rPr>
          <w:rFonts w:hint="eastAsia"/>
          <w:color w:val="auto"/>
        </w:rPr>
      </w:pPr>
      <w:r>
        <w:rPr>
          <w:sz w:val="24"/>
        </w:rPr>
        <w:t>（2）大型及重大项目验收结论为验收不合格的，</w:t>
      </w:r>
      <w:r>
        <w:rPr>
          <w:rFonts w:hint="eastAsia"/>
          <w:sz w:val="24"/>
          <w:lang w:val="en-US" w:eastAsia="zh-CN"/>
        </w:rPr>
        <w:t>信息主管部门</w:t>
      </w:r>
      <w:r>
        <w:rPr>
          <w:sz w:val="24"/>
        </w:rPr>
        <w:t>以书面形式通知项目建设单位，限期整改，整改后建设单位重新申请验收。</w:t>
      </w:r>
    </w:p>
    <w:p>
      <w:pPr>
        <w:pStyle w:val="6"/>
        <w:tabs>
          <w:tab w:val="left" w:pos="420"/>
          <w:tab w:val="left" w:pos="718"/>
        </w:tabs>
        <w:spacing w:before="196" w:after="196"/>
        <w:ind w:left="575" w:hanging="575"/>
        <w:rPr>
          <w:rFonts w:hint="eastAsia"/>
          <w:color w:val="auto"/>
        </w:rPr>
      </w:pPr>
      <w:bookmarkStart w:id="450" w:name="_Toc5416"/>
      <w:bookmarkStart w:id="451" w:name="_Toc24660"/>
      <w:r>
        <w:rPr>
          <w:rFonts w:hint="eastAsia"/>
          <w:color w:val="auto"/>
          <w:lang w:val="en-US" w:eastAsia="zh-CN"/>
        </w:rPr>
        <w:t>项目测试验收方案</w:t>
      </w:r>
      <w:bookmarkEnd w:id="450"/>
      <w:bookmarkEnd w:id="451"/>
    </w:p>
    <w:p>
      <w:pPr>
        <w:pStyle w:val="7"/>
        <w:bidi w:val="0"/>
        <w:rPr>
          <w:rFonts w:hint="eastAsia"/>
          <w:lang w:val="en-US" w:eastAsia="zh-CN"/>
        </w:rPr>
      </w:pPr>
      <w:r>
        <w:rPr>
          <w:rFonts w:hint="eastAsia"/>
          <w:lang w:val="en-US" w:eastAsia="zh-CN"/>
        </w:rPr>
        <w:t>信息网络系统检测验收</w:t>
      </w:r>
    </w:p>
    <w:p>
      <w:pPr>
        <w:autoSpaceDE w:val="0"/>
        <w:autoSpaceDN w:val="0"/>
        <w:adjustRightInd w:val="0"/>
        <w:spacing w:line="360" w:lineRule="auto"/>
        <w:ind w:firstLine="524" w:firstLineChars="200"/>
        <w:rPr>
          <w:rFonts w:hint="eastAsia"/>
          <w:sz w:val="24"/>
          <w:lang w:val="en-US" w:eastAsia="zh-CN"/>
        </w:rPr>
      </w:pPr>
      <w:bookmarkStart w:id="452" w:name="_Toc122061056"/>
      <w:r>
        <w:rPr>
          <w:rFonts w:hint="eastAsia"/>
          <w:sz w:val="24"/>
          <w:lang w:val="en-US" w:eastAsia="zh-CN"/>
        </w:rPr>
        <w:t>一、检测说明</w:t>
      </w:r>
      <w:bookmarkEnd w:id="452"/>
    </w:p>
    <w:p>
      <w:pPr>
        <w:pStyle w:val="13"/>
        <w:spacing w:line="360" w:lineRule="auto"/>
        <w:ind w:firstLine="524" w:firstLineChars="200"/>
        <w:rPr>
          <w:sz w:val="24"/>
        </w:rPr>
      </w:pPr>
      <w:r>
        <w:rPr>
          <w:rFonts w:hint="eastAsia"/>
          <w:sz w:val="24"/>
        </w:rPr>
        <w:t>（1）</w:t>
      </w:r>
      <w:r>
        <w:rPr>
          <w:sz w:val="24"/>
        </w:rPr>
        <w:t>网络基础平台验收检测：（a）一方面包括网络设备、存储备份系统、服务器设备的质量检查；（b）另一方面包括设备的性能、安全性指标和网络整体的性能等指标进行的检测。</w:t>
      </w:r>
    </w:p>
    <w:p>
      <w:pPr>
        <w:pStyle w:val="13"/>
        <w:spacing w:line="360" w:lineRule="auto"/>
        <w:ind w:firstLine="524" w:firstLineChars="200"/>
        <w:rPr>
          <w:sz w:val="24"/>
        </w:rPr>
      </w:pPr>
      <w:r>
        <w:rPr>
          <w:rFonts w:hint="eastAsia"/>
          <w:sz w:val="24"/>
        </w:rPr>
        <w:t>（2）</w:t>
      </w:r>
      <w:r>
        <w:rPr>
          <w:sz w:val="24"/>
        </w:rPr>
        <w:t>网络设备、存储设备和服务器设备的质量检查，应包括列入《中华人民共和国实施强制性产品认证的产品目录》或实施生产许可证和入网许可证管理的产品，未列入强制性认证产品目录或未实施生产许可证和入网许可证管理的产品应按照规定程序通过产品检测后方可使用。</w:t>
      </w:r>
    </w:p>
    <w:p>
      <w:pPr>
        <w:pStyle w:val="13"/>
        <w:spacing w:line="360" w:lineRule="auto"/>
        <w:ind w:firstLine="524" w:firstLineChars="200"/>
        <w:rPr>
          <w:sz w:val="24"/>
        </w:rPr>
      </w:pPr>
      <w:r>
        <w:rPr>
          <w:rFonts w:hint="eastAsia"/>
          <w:sz w:val="24"/>
        </w:rPr>
        <w:t>（3）</w:t>
      </w:r>
      <w:r>
        <w:rPr>
          <w:sz w:val="24"/>
        </w:rPr>
        <w:t>网络设备、存储设备和服务器设备的性能指标，主要包括吞吐量、延迟、丢包率、响应时间等，应按照相应的现行国家产品标准进行，有特殊要求的产品，可按合同要求或设计要求进行。</w:t>
      </w:r>
    </w:p>
    <w:p>
      <w:pPr>
        <w:pStyle w:val="13"/>
        <w:spacing w:line="360" w:lineRule="auto"/>
        <w:ind w:firstLine="524" w:firstLineChars="200"/>
        <w:rPr>
          <w:sz w:val="24"/>
        </w:rPr>
      </w:pPr>
      <w:r>
        <w:rPr>
          <w:rFonts w:hint="eastAsia"/>
          <w:sz w:val="24"/>
        </w:rPr>
        <w:t>（4）</w:t>
      </w:r>
      <w:r>
        <w:rPr>
          <w:sz w:val="24"/>
        </w:rPr>
        <w:t>网络整体性能指标包括吞吐量、连通性测试、传输性能测试、路由测试、容错功能、网络健康状况检测，通过检测确认这些指标符合设计要求或国家相应标准要求。</w:t>
      </w:r>
    </w:p>
    <w:p>
      <w:pPr>
        <w:pStyle w:val="13"/>
        <w:spacing w:line="360" w:lineRule="auto"/>
        <w:ind w:firstLine="524" w:firstLineChars="200"/>
        <w:rPr>
          <w:sz w:val="24"/>
        </w:rPr>
      </w:pPr>
      <w:r>
        <w:rPr>
          <w:rFonts w:hint="eastAsia"/>
          <w:sz w:val="24"/>
        </w:rPr>
        <w:t>（5）</w:t>
      </w:r>
      <w:r>
        <w:rPr>
          <w:sz w:val="24"/>
        </w:rPr>
        <w:t>网络设备、存储设备和服务器设备的安全性指标，主要指设备得到有效配置，设备本身不存在弱点、漏洞或误配置，并且得到有效管理，不会引入新的威胁点对网络系统安全造成影响。</w:t>
      </w:r>
    </w:p>
    <w:p>
      <w:pPr>
        <w:pStyle w:val="13"/>
        <w:spacing w:line="360" w:lineRule="auto"/>
        <w:ind w:firstLine="524" w:firstLineChars="200"/>
        <w:rPr>
          <w:sz w:val="24"/>
        </w:rPr>
      </w:pPr>
      <w:r>
        <w:rPr>
          <w:rFonts w:hint="eastAsia"/>
          <w:sz w:val="24"/>
        </w:rPr>
        <w:t>（6）</w:t>
      </w:r>
      <w:r>
        <w:rPr>
          <w:sz w:val="24"/>
        </w:rPr>
        <w:t>对不具备现场检测条件的产品，可要求进行工厂检测并出具检测报告。</w:t>
      </w:r>
    </w:p>
    <w:p>
      <w:pPr>
        <w:pStyle w:val="13"/>
        <w:spacing w:line="360" w:lineRule="auto"/>
        <w:ind w:firstLine="524" w:firstLineChars="200"/>
        <w:rPr>
          <w:sz w:val="24"/>
        </w:rPr>
      </w:pPr>
      <w:r>
        <w:rPr>
          <w:rFonts w:hint="eastAsia"/>
          <w:sz w:val="24"/>
        </w:rPr>
        <w:t>（7）</w:t>
      </w:r>
      <w:r>
        <w:rPr>
          <w:sz w:val="24"/>
        </w:rPr>
        <w:t>测试所需要的文档主要有：网络系统设计文档，包含网络设计方案、网络拓扑结构图、网络设备、备份存储设备和服务器清单等。</w:t>
      </w:r>
    </w:p>
    <w:p>
      <w:pPr>
        <w:pStyle w:val="13"/>
        <w:spacing w:line="360" w:lineRule="auto"/>
        <w:ind w:firstLine="524" w:firstLineChars="200"/>
        <w:rPr>
          <w:sz w:val="24"/>
        </w:rPr>
      </w:pPr>
      <w:r>
        <w:rPr>
          <w:rFonts w:hint="eastAsia"/>
          <w:sz w:val="24"/>
        </w:rPr>
        <w:t>（8）</w:t>
      </w:r>
      <w:r>
        <w:rPr>
          <w:sz w:val="24"/>
        </w:rPr>
        <w:t>对于网络设备、存储设备和服务器设备的安全性指标，主要指设备得到有效配置，设备本身不存在弱点、漏洞或误配置，应进行全部测试。</w:t>
      </w:r>
    </w:p>
    <w:p>
      <w:pPr>
        <w:pStyle w:val="13"/>
        <w:spacing w:line="360" w:lineRule="auto"/>
        <w:ind w:firstLine="524" w:firstLineChars="200"/>
        <w:rPr>
          <w:rFonts w:hint="eastAsia"/>
          <w:sz w:val="24"/>
        </w:rPr>
      </w:pPr>
      <w:r>
        <w:rPr>
          <w:rFonts w:hint="eastAsia"/>
          <w:sz w:val="24"/>
        </w:rPr>
        <w:t>（9）</w:t>
      </w:r>
      <w:r>
        <w:rPr>
          <w:sz w:val="24"/>
        </w:rPr>
        <w:t>对核心层的骨干链路，应进行全部测试；对汇聚层到核心层的上联链路，应进行全部测试；对接入层到汇聚层的上联链路，以不低于10％的比例进行抽样测试；抽样链路数不足10条时，按10条进行计算或者全部测试；对于接入层的网段，以10</w:t>
      </w:r>
      <w:r>
        <w:rPr>
          <w:rFonts w:hint="eastAsia"/>
          <w:sz w:val="24"/>
        </w:rPr>
        <w:t>%</w:t>
      </w:r>
      <w:r>
        <w:rPr>
          <w:sz w:val="24"/>
        </w:rPr>
        <w:t>的比例进行抽测。抽样网段数不足10个时，按10个进行计算或者全部测试。</w:t>
      </w:r>
    </w:p>
    <w:p>
      <w:pPr>
        <w:autoSpaceDE w:val="0"/>
        <w:autoSpaceDN w:val="0"/>
        <w:adjustRightInd w:val="0"/>
        <w:spacing w:line="360" w:lineRule="auto"/>
        <w:ind w:firstLine="524" w:firstLineChars="200"/>
        <w:rPr>
          <w:sz w:val="24"/>
        </w:rPr>
      </w:pPr>
      <w:bookmarkStart w:id="453" w:name="_Toc122061057"/>
      <w:r>
        <w:rPr>
          <w:rFonts w:hint="eastAsia"/>
          <w:sz w:val="24"/>
          <w:lang w:val="en-US" w:eastAsia="zh-CN"/>
        </w:rPr>
        <w:t>二、</w:t>
      </w:r>
      <w:r>
        <w:rPr>
          <w:sz w:val="24"/>
        </w:rPr>
        <w:t>检测内容和符合标准</w:t>
      </w:r>
      <w:bookmarkEnd w:id="453"/>
    </w:p>
    <w:p>
      <w:pPr>
        <w:pStyle w:val="50"/>
        <w:bidi w:val="0"/>
        <w:rPr>
          <w:rFonts w:hint="eastAsia"/>
        </w:rPr>
      </w:pPr>
      <w:r>
        <w:rPr>
          <w:rFonts w:hint="eastAsia"/>
        </w:rPr>
        <w:t>信息网络系统检测内容和符合标准</w:t>
      </w:r>
      <w:r>
        <w:rPr>
          <w:rFonts w:hint="eastAsia"/>
          <w:lang w:val="en-US" w:eastAsia="zh-CN"/>
        </w:rPr>
        <w:t>表</w:t>
      </w:r>
    </w:p>
    <w:tbl>
      <w:tblPr>
        <w:tblStyle w:val="28"/>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800"/>
        <w:gridCol w:w="5828"/>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24" w:hRule="atLeast"/>
          <w:tblHeader/>
        </w:trPr>
        <w:tc>
          <w:tcPr>
            <w:tcW w:w="1800"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检测内容</w:t>
            </w:r>
          </w:p>
        </w:tc>
        <w:tc>
          <w:tcPr>
            <w:tcW w:w="5828"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符合标准</w:t>
            </w:r>
          </w:p>
        </w:tc>
        <w:tc>
          <w:tcPr>
            <w:tcW w:w="1319"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检测单位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800"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设备质量检查</w:t>
            </w:r>
          </w:p>
        </w:tc>
        <w:tc>
          <w:tcPr>
            <w:tcW w:w="5828"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应包括列入《中华人民共和国实施强制性产品认证的产品目录》或实施生产许可证和入网许可证管理的产品，未列入强制性认证产品目录或未实施生产许可证和入网许可证管理的产品应按照规定程序通过产品检测后方可使用。</w:t>
            </w:r>
          </w:p>
          <w:p>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检查确认外观、资料、配件、文档等符合合同或设计要求，是否出具产品检测报告，与设计要求是否相符合。符合设计要求判为合格。</w:t>
            </w:r>
          </w:p>
        </w:tc>
        <w:tc>
          <w:tcPr>
            <w:tcW w:w="1319"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承建单位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网络设备测试</w:t>
            </w:r>
          </w:p>
        </w:tc>
        <w:tc>
          <w:tcPr>
            <w:tcW w:w="5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验证网络设备配置、功能设置、性能、安全性和远程管理功能是否能与满足设计要求。符合设计要求判为合格。</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承建单位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服务器系统</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测试</w:t>
            </w:r>
          </w:p>
        </w:tc>
        <w:tc>
          <w:tcPr>
            <w:tcW w:w="5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检测服务器操作系统配置、功能设置、性能和安全性是否符合设计要求，符合设计要求判为合格。</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承建单位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存储和备份系统测试</w:t>
            </w:r>
          </w:p>
        </w:tc>
        <w:tc>
          <w:tcPr>
            <w:tcW w:w="5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检测存储系统的配置、功能设置、性能和安全性是否符合设计要求，对重要数据的及时恢复能力是否与设计要求一致。符合设计要求判为合格。</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承建单位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网络连通性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测试</w:t>
            </w:r>
          </w:p>
        </w:tc>
        <w:tc>
          <w:tcPr>
            <w:tcW w:w="5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网管计算机能够与任何一台计算机连通，各子网之间根据网络要求可以进行连通。符合设计要求判为合格。</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承建单位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网络路由功能测试</w:t>
            </w:r>
          </w:p>
        </w:tc>
        <w:tc>
          <w:tcPr>
            <w:tcW w:w="5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检测网络拓扑与网络设计要求是否一致，网络无旁路。符合设计要求判为合格。</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承建单位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网络链路传输性能测试</w:t>
            </w:r>
          </w:p>
        </w:tc>
        <w:tc>
          <w:tcPr>
            <w:tcW w:w="5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检测网络链路传输性能与网络设计要求是否一致。符合设计要求判为合格。</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承建单位</w:t>
            </w:r>
          </w:p>
        </w:tc>
      </w:tr>
    </w:tbl>
    <w:p>
      <w:pPr>
        <w:pStyle w:val="7"/>
        <w:bidi w:val="0"/>
        <w:rPr>
          <w:rFonts w:hint="eastAsia"/>
          <w:lang w:val="en-US" w:eastAsia="zh-CN"/>
        </w:rPr>
      </w:pPr>
      <w:r>
        <w:rPr>
          <w:rFonts w:hint="eastAsia"/>
          <w:lang w:val="en-US" w:eastAsia="zh-CN"/>
        </w:rPr>
        <w:t>网络安全检测验收</w:t>
      </w:r>
    </w:p>
    <w:p>
      <w:pPr>
        <w:pStyle w:val="13"/>
        <w:spacing w:line="240" w:lineRule="auto"/>
        <w:ind w:left="0" w:leftChars="0" w:firstLine="0" w:firstLineChars="0"/>
        <w:rPr>
          <w:rFonts w:hint="eastAsia" w:eastAsia="宋体"/>
          <w:b/>
          <w:bCs/>
          <w:sz w:val="24"/>
          <w:lang w:val="en-US" w:eastAsia="zh-CN"/>
        </w:rPr>
      </w:pPr>
      <w:bookmarkStart w:id="454" w:name="_Toc122061053"/>
      <w:r>
        <w:rPr>
          <w:rFonts w:hint="eastAsia" w:eastAsia="宋体"/>
          <w:b/>
          <w:bCs/>
          <w:sz w:val="24"/>
          <w:lang w:val="en-US" w:eastAsia="zh-CN"/>
        </w:rPr>
        <w:t>一、检测说明</w:t>
      </w:r>
      <w:bookmarkEnd w:id="454"/>
    </w:p>
    <w:p>
      <w:pPr>
        <w:pStyle w:val="64"/>
        <w:spacing w:line="360" w:lineRule="auto"/>
        <w:ind w:firstLine="524" w:firstLineChars="200"/>
        <w:rPr>
          <w:sz w:val="24"/>
        </w:rPr>
      </w:pPr>
      <w:bookmarkStart w:id="455" w:name="_Toc22429"/>
      <w:r>
        <w:rPr>
          <w:rFonts w:hint="eastAsia"/>
          <w:sz w:val="24"/>
        </w:rPr>
        <w:t>（1）</w:t>
      </w:r>
      <w:r>
        <w:rPr>
          <w:sz w:val="24"/>
        </w:rPr>
        <w:t>网络安全主要包括防火墙、入侵检测系统、漏洞扫描系统、防病毒、安全审计、身份认证系统、安全网关、网络隔离与交换系统、内容过滤系统等网络安全防护设备和网络管理软件等网管设备。</w:t>
      </w:r>
      <w:bookmarkEnd w:id="455"/>
    </w:p>
    <w:p>
      <w:pPr>
        <w:pStyle w:val="64"/>
        <w:spacing w:line="360" w:lineRule="auto"/>
        <w:ind w:firstLine="524" w:firstLineChars="200"/>
        <w:rPr>
          <w:sz w:val="24"/>
        </w:rPr>
      </w:pPr>
      <w:bookmarkStart w:id="456" w:name="_Toc27249"/>
      <w:r>
        <w:rPr>
          <w:rFonts w:hint="eastAsia"/>
          <w:sz w:val="24"/>
        </w:rPr>
        <w:t>（2）</w:t>
      </w:r>
      <w:r>
        <w:rPr>
          <w:sz w:val="24"/>
        </w:rPr>
        <w:t>网络安全必须得到有效配置，网络系统安全策略得到满足，确保网络信息系统安全、高效运行。</w:t>
      </w:r>
      <w:bookmarkEnd w:id="456"/>
    </w:p>
    <w:p>
      <w:pPr>
        <w:pStyle w:val="64"/>
        <w:spacing w:line="360" w:lineRule="auto"/>
        <w:ind w:firstLine="589" w:firstLineChars="225"/>
        <w:rPr>
          <w:sz w:val="24"/>
        </w:rPr>
      </w:pPr>
      <w:bookmarkStart w:id="457" w:name="_Toc24495"/>
      <w:r>
        <w:rPr>
          <w:rFonts w:hint="eastAsia"/>
          <w:sz w:val="24"/>
        </w:rPr>
        <w:t>（3）</w:t>
      </w:r>
      <w:r>
        <w:rPr>
          <w:sz w:val="24"/>
        </w:rPr>
        <w:t>网络安全的验收检测：a）对系统中的网络安全防护设备和网络管理设备进行功能复核测试，确保设备的安全策略配置满足网络安全设计要求，并可以有效运行；b）检测网络安全防护设备、网络管理设备本身是否弱点、漏洞或误配置，得到有效管理，不会引入新的威胁点。</w:t>
      </w:r>
      <w:bookmarkEnd w:id="457"/>
    </w:p>
    <w:p>
      <w:pPr>
        <w:pStyle w:val="13"/>
        <w:spacing w:line="360" w:lineRule="auto"/>
        <w:ind w:firstLine="524" w:firstLineChars="200"/>
        <w:rPr>
          <w:sz w:val="24"/>
        </w:rPr>
      </w:pPr>
      <w:r>
        <w:rPr>
          <w:rFonts w:hint="eastAsia"/>
          <w:sz w:val="24"/>
        </w:rPr>
        <w:t>（4）</w:t>
      </w:r>
      <w:r>
        <w:rPr>
          <w:sz w:val="24"/>
        </w:rPr>
        <w:t>测试所需要的文档主要有：系统设计文档，包含安全策略、安全技术方案等。</w:t>
      </w:r>
    </w:p>
    <w:p>
      <w:pPr>
        <w:pStyle w:val="13"/>
        <w:spacing w:line="360" w:lineRule="auto"/>
        <w:ind w:firstLine="524" w:firstLineChars="200"/>
        <w:rPr>
          <w:sz w:val="24"/>
        </w:rPr>
      </w:pPr>
      <w:r>
        <w:rPr>
          <w:rFonts w:hint="eastAsia"/>
          <w:sz w:val="24"/>
        </w:rPr>
        <w:t>（5）</w:t>
      </w:r>
      <w:r>
        <w:rPr>
          <w:sz w:val="24"/>
        </w:rPr>
        <w:t>按照网络系统设计要求和安全策略，对网络安全防护和管理功能复核测试，按照安全功能组件进行测试，抽样率为30%。</w:t>
      </w:r>
    </w:p>
    <w:p>
      <w:pPr>
        <w:pStyle w:val="13"/>
        <w:spacing w:line="240" w:lineRule="auto"/>
        <w:ind w:left="0" w:leftChars="0" w:firstLine="0" w:firstLineChars="0"/>
        <w:rPr>
          <w:rFonts w:hint="eastAsia" w:eastAsia="宋体"/>
          <w:b/>
          <w:bCs/>
          <w:sz w:val="24"/>
          <w:lang w:val="en-US" w:eastAsia="zh-CN"/>
        </w:rPr>
      </w:pPr>
      <w:bookmarkStart w:id="458" w:name="_Toc122061054"/>
      <w:r>
        <w:rPr>
          <w:rFonts w:hint="eastAsia" w:eastAsia="宋体"/>
          <w:b/>
          <w:bCs/>
          <w:sz w:val="24"/>
          <w:lang w:val="en-US" w:eastAsia="zh-CN"/>
        </w:rPr>
        <w:t>二、检测内容和符合标准</w:t>
      </w:r>
      <w:bookmarkEnd w:id="458"/>
    </w:p>
    <w:p>
      <w:pPr>
        <w:pStyle w:val="50"/>
        <w:bidi w:val="0"/>
        <w:rPr>
          <w:rFonts w:hint="eastAsia"/>
          <w:lang w:val="en-US" w:eastAsia="zh-CN"/>
        </w:rPr>
      </w:pPr>
      <w:r>
        <w:rPr>
          <w:rFonts w:hint="eastAsia"/>
          <w:lang w:val="en-US" w:eastAsia="zh-CN"/>
        </w:rPr>
        <w:t>网络安全检测内容和符合标准表</w:t>
      </w:r>
    </w:p>
    <w:tbl>
      <w:tblPr>
        <w:tblStyle w:val="28"/>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29"/>
        <w:gridCol w:w="5999"/>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24" w:hRule="atLeast"/>
          <w:tblHeader/>
        </w:trPr>
        <w:tc>
          <w:tcPr>
            <w:tcW w:w="1629"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检测内容</w:t>
            </w:r>
          </w:p>
        </w:tc>
        <w:tc>
          <w:tcPr>
            <w:tcW w:w="5999"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符合标准</w:t>
            </w:r>
          </w:p>
        </w:tc>
        <w:tc>
          <w:tcPr>
            <w:tcW w:w="1319"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检测单位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90" w:hRule="atLeast"/>
        </w:trPr>
        <w:tc>
          <w:tcPr>
            <w:tcW w:w="16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产品要求</w:t>
            </w:r>
          </w:p>
        </w:tc>
        <w:tc>
          <w:tcPr>
            <w:tcW w:w="59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信息系统安全专用产品必须具有“计算机信息系统安全专用产品销售许可证”；密码产品符合《商用密码管理条例》的要求；特殊行业有其他规定时，还应遵守行业的相关规定。</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承建单位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防火墙测试</w:t>
            </w:r>
          </w:p>
        </w:tc>
        <w:tc>
          <w:tcPr>
            <w:tcW w:w="59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防火墙系统应具有根据不同身份或角色进行访问控制，支持网络地址转换、日志统计分析等功能，检测防火墙设置是否符合安全设计要求，符合设计要求的判为合格。</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承建单位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防病毒系统测试</w:t>
            </w:r>
          </w:p>
        </w:tc>
        <w:tc>
          <w:tcPr>
            <w:tcW w:w="59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防病毒软件应具有实时扫描、立即扫描、病毒代码更新、日志管理、集中管理等功能；检测防病毒系统是否符合设计要求，符合设计要求判为合格。</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承建单位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入侵检测系统测试</w:t>
            </w:r>
          </w:p>
        </w:tc>
        <w:tc>
          <w:tcPr>
            <w:tcW w:w="59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对入侵检测系统，使用流行的攻击手段进行模拟攻击（如DOS拒绝服务攻击），这些攻击应被入侵检测系统发现和阻断；符合设计要求判为合格。</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承建单位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内容过滤系统测试</w:t>
            </w:r>
          </w:p>
        </w:tc>
        <w:tc>
          <w:tcPr>
            <w:tcW w:w="59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如果安装了内容过滤系统，则尝试访问若干受限网址或者访问受限内容，这些尝试应该被阻断；然后，访问若干未受限的网址或者内容，应该可以正常访问；符合设计要求判为合格。</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承建单位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审计系统测试</w:t>
            </w:r>
          </w:p>
        </w:tc>
        <w:tc>
          <w:tcPr>
            <w:tcW w:w="59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对一些非法的侵入尝试必须有记录；模拟非法尝试；符合设计要求判为合格。</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承建单位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漏洞扫描系统测试</w:t>
            </w:r>
          </w:p>
        </w:tc>
        <w:tc>
          <w:tcPr>
            <w:tcW w:w="59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检测漏洞扫描系统漏洞信息数据库是否更新及时，符合设计要求的判为合格。</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承建单位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网络管理系统测试</w:t>
            </w:r>
          </w:p>
        </w:tc>
        <w:tc>
          <w:tcPr>
            <w:tcW w:w="59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检测能够对网络资源的情况进行全面信息采集和自动预警。符合设计要求判为合格。</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承建单位</w:t>
            </w:r>
          </w:p>
        </w:tc>
      </w:tr>
    </w:tbl>
    <w:p>
      <w:pPr>
        <w:pStyle w:val="43"/>
        <w:rPr>
          <w:rFonts w:hint="eastAsia"/>
          <w:color w:val="auto"/>
        </w:rPr>
      </w:pPr>
    </w:p>
    <w:p>
      <w:pPr>
        <w:pStyle w:val="5"/>
        <w:tabs>
          <w:tab w:val="left" w:pos="420"/>
          <w:tab w:val="left" w:pos="718"/>
        </w:tabs>
        <w:spacing w:before="196" w:after="196"/>
        <w:ind w:left="575" w:hanging="575"/>
        <w:rPr>
          <w:rFonts w:hint="eastAsia"/>
          <w:color w:val="auto"/>
        </w:rPr>
      </w:pPr>
      <w:bookmarkStart w:id="459" w:name="_Toc17519"/>
      <w:bookmarkStart w:id="460" w:name="_Toc31160"/>
      <w:r>
        <w:rPr>
          <w:rFonts w:hint="eastAsia"/>
          <w:color w:val="auto"/>
          <w:lang w:val="en-US" w:eastAsia="zh-CN"/>
        </w:rPr>
        <w:t>项目绩效评价</w:t>
      </w:r>
      <w:bookmarkEnd w:id="459"/>
      <w:bookmarkEnd w:id="460"/>
    </w:p>
    <w:p>
      <w:pPr>
        <w:pStyle w:val="6"/>
        <w:tabs>
          <w:tab w:val="left" w:pos="420"/>
          <w:tab w:val="left" w:pos="718"/>
        </w:tabs>
        <w:spacing w:before="196" w:after="196"/>
        <w:ind w:left="575" w:hanging="575"/>
        <w:rPr>
          <w:rFonts w:hint="eastAsia"/>
          <w:color w:val="auto"/>
        </w:rPr>
      </w:pPr>
      <w:bookmarkStart w:id="461" w:name="_Toc9929"/>
      <w:bookmarkStart w:id="462" w:name="_Toc1954"/>
      <w:r>
        <w:rPr>
          <w:rFonts w:hint="eastAsia"/>
          <w:color w:val="auto"/>
          <w:lang w:val="en-US" w:eastAsia="zh-CN"/>
        </w:rPr>
        <w:t>项目绩效评价依据</w:t>
      </w:r>
      <w:bookmarkEnd w:id="461"/>
      <w:bookmarkEnd w:id="462"/>
    </w:p>
    <w:p>
      <w:pPr>
        <w:pStyle w:val="43"/>
        <w:numPr>
          <w:ilvl w:val="0"/>
          <w:numId w:val="0"/>
        </w:numPr>
        <w:ind w:leftChars="200"/>
        <w:rPr>
          <w:lang w:val="en-GB"/>
        </w:rPr>
      </w:pPr>
      <w:r>
        <w:rPr>
          <w:rFonts w:hint="eastAsia"/>
          <w:lang w:val="en-GB" w:eastAsia="zh-CN"/>
        </w:rPr>
        <w:t>（</w:t>
      </w:r>
      <w:r>
        <w:rPr>
          <w:rFonts w:hint="eastAsia"/>
          <w:lang w:val="en-US" w:eastAsia="zh-CN"/>
        </w:rPr>
        <w:t>1</w:t>
      </w:r>
      <w:r>
        <w:rPr>
          <w:rFonts w:hint="eastAsia"/>
          <w:lang w:val="en-GB" w:eastAsia="zh-CN"/>
        </w:rPr>
        <w:t>）</w:t>
      </w:r>
      <w:r>
        <w:rPr>
          <w:rFonts w:hint="eastAsia"/>
          <w:lang w:val="en-GB"/>
        </w:rPr>
        <w:t>《财政支出绩效评价管理暂行办法》（财预〔2011〕285号）</w:t>
      </w:r>
      <w:r>
        <w:rPr>
          <w:rFonts w:hint="eastAsia"/>
          <w:lang w:val="en-GB" w:eastAsia="zh-CN"/>
        </w:rPr>
        <w:t>；</w:t>
      </w:r>
    </w:p>
    <w:p>
      <w:pPr>
        <w:pStyle w:val="43"/>
        <w:numPr>
          <w:ilvl w:val="0"/>
          <w:numId w:val="0"/>
        </w:numPr>
        <w:ind w:leftChars="200"/>
        <w:rPr>
          <w:lang w:val="en-GB"/>
        </w:rPr>
      </w:pPr>
      <w:r>
        <w:rPr>
          <w:rFonts w:hint="eastAsia"/>
          <w:lang w:val="en-GB" w:eastAsia="zh-CN"/>
        </w:rPr>
        <w:t>（</w:t>
      </w:r>
      <w:r>
        <w:rPr>
          <w:rFonts w:hint="eastAsia"/>
          <w:lang w:val="en-US" w:eastAsia="zh-CN"/>
        </w:rPr>
        <w:t>2</w:t>
      </w:r>
      <w:r>
        <w:rPr>
          <w:rFonts w:hint="eastAsia"/>
          <w:lang w:val="en-GB" w:eastAsia="zh-CN"/>
        </w:rPr>
        <w:t>）</w:t>
      </w:r>
      <w:r>
        <w:rPr>
          <w:rFonts w:hint="eastAsia"/>
          <w:lang w:val="en-GB"/>
        </w:rPr>
        <w:t>中评协关于印发《财政支出（项目支出）绩效评价操作指引(试行)》的通知</w:t>
      </w:r>
      <w:r>
        <w:rPr>
          <w:rFonts w:hint="eastAsia"/>
          <w:lang w:val="en-GB" w:eastAsia="zh-CN"/>
        </w:rPr>
        <w:t>；</w:t>
      </w:r>
    </w:p>
    <w:p>
      <w:pPr>
        <w:pStyle w:val="43"/>
        <w:numPr>
          <w:ilvl w:val="0"/>
          <w:numId w:val="0"/>
        </w:numPr>
        <w:ind w:leftChars="200"/>
        <w:rPr>
          <w:lang w:val="en-GB"/>
        </w:rPr>
      </w:pPr>
      <w:r>
        <w:rPr>
          <w:rFonts w:hint="eastAsia"/>
          <w:lang w:val="en-GB" w:eastAsia="zh-CN"/>
        </w:rPr>
        <w:t>（</w:t>
      </w:r>
      <w:r>
        <w:rPr>
          <w:rFonts w:hint="eastAsia"/>
          <w:lang w:val="en-US" w:eastAsia="zh-CN"/>
        </w:rPr>
        <w:t>3</w:t>
      </w:r>
      <w:r>
        <w:rPr>
          <w:rFonts w:hint="eastAsia"/>
          <w:lang w:val="en-GB" w:eastAsia="zh-CN"/>
        </w:rPr>
        <w:t>）</w:t>
      </w:r>
      <w:r>
        <w:rPr>
          <w:rFonts w:hint="eastAsia"/>
          <w:lang w:val="en-GB"/>
        </w:rPr>
        <w:t xml:space="preserve">《中共中央 </w:t>
      </w:r>
      <w:r>
        <w:rPr>
          <w:lang w:val="en-GB"/>
        </w:rPr>
        <w:t>国务院关于全面实施预算绩效管理的意见</w:t>
      </w:r>
      <w:r>
        <w:rPr>
          <w:rFonts w:hint="eastAsia"/>
          <w:lang w:val="en-GB"/>
        </w:rPr>
        <w:t>》(</w:t>
      </w:r>
      <w:r>
        <w:rPr>
          <w:lang w:val="en-GB"/>
        </w:rPr>
        <w:t>2018)</w:t>
      </w:r>
      <w:r>
        <w:rPr>
          <w:rFonts w:hint="eastAsia"/>
          <w:lang w:val="en-GB"/>
        </w:rPr>
        <w:t>；</w:t>
      </w:r>
    </w:p>
    <w:p>
      <w:pPr>
        <w:pStyle w:val="43"/>
        <w:numPr>
          <w:ilvl w:val="0"/>
          <w:numId w:val="0"/>
        </w:numPr>
        <w:ind w:leftChars="200"/>
        <w:rPr>
          <w:lang w:val="en-GB"/>
        </w:rPr>
      </w:pPr>
      <w:r>
        <w:rPr>
          <w:rFonts w:hint="eastAsia"/>
          <w:lang w:val="en-GB" w:eastAsia="zh-CN"/>
        </w:rPr>
        <w:t>（</w:t>
      </w:r>
      <w:r>
        <w:rPr>
          <w:rFonts w:hint="eastAsia"/>
          <w:lang w:val="en-US" w:eastAsia="zh-CN"/>
        </w:rPr>
        <w:t>4</w:t>
      </w:r>
      <w:r>
        <w:rPr>
          <w:rFonts w:hint="eastAsia"/>
          <w:lang w:val="en-GB" w:eastAsia="zh-CN"/>
        </w:rPr>
        <w:t>）</w:t>
      </w:r>
      <w:r>
        <w:rPr>
          <w:rFonts w:hint="eastAsia"/>
          <w:lang w:val="en-GB"/>
        </w:rPr>
        <w:t>《财政部</w:t>
      </w:r>
      <w:r>
        <w:rPr>
          <w:lang w:val="en-GB"/>
        </w:rPr>
        <w:t>关于贯彻落实</w:t>
      </w:r>
      <w:r>
        <w:rPr>
          <w:rFonts w:hint="eastAsia"/>
          <w:lang w:val="en-GB"/>
        </w:rPr>
        <w:t>&lt;</w:t>
      </w:r>
      <w:r>
        <w:rPr>
          <w:lang w:val="en-GB"/>
        </w:rPr>
        <w:t>中共中央 国务院关于全面实施预算绩效管理的意见</w:t>
      </w:r>
      <w:r>
        <w:rPr>
          <w:rFonts w:hint="eastAsia"/>
          <w:lang w:val="en-GB"/>
        </w:rPr>
        <w:t>&gt;</w:t>
      </w:r>
      <w:r>
        <w:rPr>
          <w:lang w:val="en-GB"/>
        </w:rPr>
        <w:t>的通知</w:t>
      </w:r>
      <w:r>
        <w:rPr>
          <w:rFonts w:hint="eastAsia"/>
          <w:lang w:val="en-GB"/>
        </w:rPr>
        <w:t>》（财预〔2018〕167号）；</w:t>
      </w:r>
    </w:p>
    <w:p>
      <w:pPr>
        <w:pStyle w:val="43"/>
        <w:numPr>
          <w:ilvl w:val="0"/>
          <w:numId w:val="0"/>
        </w:numPr>
        <w:ind w:leftChars="200"/>
        <w:rPr>
          <w:lang w:val="en-GB"/>
        </w:rPr>
      </w:pPr>
      <w:r>
        <w:rPr>
          <w:rFonts w:hint="eastAsia"/>
          <w:lang w:val="en-GB" w:eastAsia="zh-CN"/>
        </w:rPr>
        <w:t>（</w:t>
      </w:r>
      <w:r>
        <w:rPr>
          <w:rFonts w:hint="eastAsia"/>
          <w:lang w:val="en-US" w:eastAsia="zh-CN"/>
        </w:rPr>
        <w:t>5</w:t>
      </w:r>
      <w:r>
        <w:rPr>
          <w:rFonts w:hint="eastAsia"/>
          <w:lang w:val="en-GB" w:eastAsia="zh-CN"/>
        </w:rPr>
        <w:t>）</w:t>
      </w:r>
      <w:r>
        <w:rPr>
          <w:rFonts w:hint="eastAsia"/>
          <w:lang w:val="en-GB"/>
        </w:rPr>
        <w:t>《中华人民共和国预算法》（</w:t>
      </w:r>
      <w:r>
        <w:rPr>
          <w:rFonts w:hint="eastAsia"/>
          <w:lang w:val="en-US" w:eastAsia="zh-CN"/>
        </w:rPr>
        <w:t>2018修正</w:t>
      </w:r>
      <w:r>
        <w:rPr>
          <w:rFonts w:hint="eastAsia"/>
          <w:lang w:val="en-GB"/>
        </w:rPr>
        <w:t>）</w:t>
      </w:r>
      <w:r>
        <w:rPr>
          <w:rFonts w:hint="eastAsia"/>
          <w:lang w:val="en-GB" w:eastAsia="zh-CN"/>
        </w:rPr>
        <w:t>；</w:t>
      </w:r>
    </w:p>
    <w:p>
      <w:pPr>
        <w:pStyle w:val="43"/>
        <w:numPr>
          <w:ilvl w:val="0"/>
          <w:numId w:val="0"/>
        </w:numPr>
        <w:ind w:leftChars="200"/>
        <w:rPr>
          <w:lang w:val="en-GB"/>
        </w:rPr>
      </w:pPr>
      <w:r>
        <w:rPr>
          <w:rFonts w:hint="eastAsia"/>
          <w:lang w:val="en-GB" w:eastAsia="zh-CN"/>
        </w:rPr>
        <w:t>（</w:t>
      </w:r>
      <w:r>
        <w:rPr>
          <w:rFonts w:hint="eastAsia"/>
          <w:lang w:val="en-US" w:eastAsia="zh-CN"/>
        </w:rPr>
        <w:t>6</w:t>
      </w:r>
      <w:r>
        <w:rPr>
          <w:rFonts w:hint="eastAsia"/>
          <w:lang w:val="en-GB" w:eastAsia="zh-CN"/>
        </w:rPr>
        <w:t>）</w:t>
      </w:r>
      <w:r>
        <w:rPr>
          <w:rFonts w:hint="eastAsia"/>
          <w:lang w:val="en-GB"/>
        </w:rPr>
        <w:t>《国家政务信息化项目建设管理办法》（国办发〔2019〕57号）</w:t>
      </w:r>
      <w:r>
        <w:rPr>
          <w:rFonts w:hint="eastAsia"/>
          <w:lang w:val="en-GB" w:eastAsia="zh-CN"/>
        </w:rPr>
        <w:t>；</w:t>
      </w:r>
    </w:p>
    <w:p>
      <w:pPr>
        <w:pStyle w:val="43"/>
        <w:numPr>
          <w:ilvl w:val="0"/>
          <w:numId w:val="0"/>
        </w:numPr>
        <w:ind w:leftChars="200"/>
        <w:rPr>
          <w:rFonts w:hint="eastAsia"/>
        </w:rPr>
      </w:pPr>
      <w:r>
        <w:rPr>
          <w:rFonts w:hint="eastAsia"/>
          <w:lang w:val="en-GB" w:eastAsia="zh-CN"/>
        </w:rPr>
        <w:t>（</w:t>
      </w:r>
      <w:r>
        <w:rPr>
          <w:rFonts w:hint="eastAsia"/>
          <w:lang w:val="en-US" w:eastAsia="zh-CN"/>
        </w:rPr>
        <w:t>7</w:t>
      </w:r>
      <w:r>
        <w:rPr>
          <w:rFonts w:hint="eastAsia"/>
          <w:lang w:val="en-GB" w:eastAsia="zh-CN"/>
        </w:rPr>
        <w:t>）</w:t>
      </w:r>
      <w:r>
        <w:rPr>
          <w:rFonts w:hint="eastAsia"/>
          <w:lang w:val="en-GB"/>
        </w:rPr>
        <w:t>《项目支出绩效评价管理办法》（财预〔20</w:t>
      </w:r>
      <w:r>
        <w:rPr>
          <w:rFonts w:hint="eastAsia"/>
          <w:lang w:val="en-US" w:eastAsia="zh-CN"/>
        </w:rPr>
        <w:t>20</w:t>
      </w:r>
      <w:r>
        <w:rPr>
          <w:rFonts w:hint="eastAsia"/>
          <w:lang w:val="en-GB"/>
        </w:rPr>
        <w:t>〕</w:t>
      </w:r>
      <w:r>
        <w:rPr>
          <w:rFonts w:hint="eastAsia"/>
          <w:lang w:val="en-US" w:eastAsia="zh-CN"/>
        </w:rPr>
        <w:t>10</w:t>
      </w:r>
      <w:r>
        <w:rPr>
          <w:rFonts w:hint="eastAsia"/>
          <w:lang w:val="en-GB"/>
        </w:rPr>
        <w:t>号）</w:t>
      </w:r>
      <w:r>
        <w:rPr>
          <w:rFonts w:hint="eastAsia"/>
          <w:lang w:val="en-GB" w:eastAsia="zh-CN"/>
        </w:rPr>
        <w:t>。</w:t>
      </w:r>
    </w:p>
    <w:p>
      <w:pPr>
        <w:pStyle w:val="6"/>
        <w:tabs>
          <w:tab w:val="left" w:pos="420"/>
          <w:tab w:val="left" w:pos="718"/>
        </w:tabs>
        <w:spacing w:before="196" w:after="196"/>
        <w:ind w:left="575" w:hanging="575"/>
        <w:rPr>
          <w:rFonts w:hint="eastAsia"/>
          <w:color w:val="auto"/>
        </w:rPr>
      </w:pPr>
      <w:bookmarkStart w:id="463" w:name="_Toc29603"/>
      <w:bookmarkStart w:id="464" w:name="_Toc8790"/>
      <w:r>
        <w:rPr>
          <w:rFonts w:hint="eastAsia"/>
          <w:color w:val="auto"/>
          <w:lang w:val="en-US" w:eastAsia="zh-CN"/>
        </w:rPr>
        <w:t>项目绩效评价原则</w:t>
      </w:r>
      <w:bookmarkEnd w:id="463"/>
      <w:bookmarkEnd w:id="464"/>
    </w:p>
    <w:p>
      <w:pPr>
        <w:pStyle w:val="43"/>
        <w:rPr>
          <w:rFonts w:hint="default" w:eastAsia="宋体"/>
          <w:lang w:val="en-US" w:eastAsia="zh-CN"/>
        </w:rPr>
      </w:pPr>
      <w:r>
        <w:rPr>
          <w:rFonts w:hint="eastAsia"/>
        </w:rPr>
        <w:t>绩效评价按照“科学公正、统筹兼顾、</w:t>
      </w:r>
      <w:r>
        <w:rPr>
          <w:rFonts w:hint="eastAsia"/>
          <w:lang w:val="en-US" w:eastAsia="zh-CN"/>
        </w:rPr>
        <w:t>分级分类、</w:t>
      </w:r>
      <w:r>
        <w:rPr>
          <w:rFonts w:hint="eastAsia"/>
        </w:rPr>
        <w:t>激励约束、</w:t>
      </w:r>
      <w:r>
        <w:rPr>
          <w:rFonts w:hint="eastAsia"/>
          <w:lang w:val="en-US" w:eastAsia="zh-CN"/>
        </w:rPr>
        <w:t>权责统一</w:t>
      </w:r>
      <w:r>
        <w:rPr>
          <w:rFonts w:hint="eastAsia"/>
          <w:lang w:eastAsia="zh-CN"/>
        </w:rPr>
        <w:t>、</w:t>
      </w:r>
      <w:r>
        <w:rPr>
          <w:rFonts w:hint="eastAsia"/>
        </w:rPr>
        <w:t>公开透明”的原则开展</w:t>
      </w:r>
      <w:r>
        <w:rPr>
          <w:rFonts w:hint="eastAsia"/>
          <w:lang w:eastAsia="zh-CN"/>
        </w:rPr>
        <w:t>，</w:t>
      </w:r>
      <w:r>
        <w:rPr>
          <w:rFonts w:hint="eastAsia"/>
          <w:lang w:val="en-US" w:eastAsia="zh-CN"/>
        </w:rPr>
        <w:t>具体如下：</w:t>
      </w:r>
    </w:p>
    <w:p>
      <w:pPr>
        <w:pStyle w:val="43"/>
        <w:rPr>
          <w:rFonts w:hint="eastAsia"/>
          <w:lang w:eastAsia="zh-CN"/>
        </w:rPr>
      </w:pPr>
      <w:r>
        <w:rPr>
          <w:rFonts w:hint="eastAsia"/>
          <w:lang w:eastAsia="zh-CN"/>
        </w:rPr>
        <w:t>(一)科学公正。绩效评价应当运用科学合理的方法，按照规范的程序，采用定量与定性分析相结合的方法，遵循客观、公正原则，采用问卷调查和专家评议相结合的方法，力争做到标准统一、资料可靠，依法公开。</w:t>
      </w:r>
    </w:p>
    <w:p>
      <w:pPr>
        <w:pStyle w:val="43"/>
        <w:rPr>
          <w:rFonts w:hint="eastAsia"/>
          <w:lang w:eastAsia="zh-CN"/>
        </w:rPr>
      </w:pPr>
      <w:r>
        <w:rPr>
          <w:rFonts w:hint="eastAsia"/>
          <w:lang w:eastAsia="zh-CN"/>
        </w:rPr>
        <w:t>(二)统筹兼顾。单位自评、部门评价和财政评价应职责明确，各有侧重，相互衔接。单位自评应由项目单位自主实施，即“谁支出、谁自评”。部门评价和财政评价应在单位自评的基础上开展，必要时可委托第三方机构实施。</w:t>
      </w:r>
    </w:p>
    <w:p>
      <w:pPr>
        <w:pStyle w:val="43"/>
        <w:rPr>
          <w:rFonts w:hint="eastAsia"/>
          <w:lang w:eastAsia="zh-CN"/>
        </w:rPr>
      </w:pPr>
      <w:r>
        <w:rPr>
          <w:rFonts w:hint="eastAsia"/>
          <w:lang w:eastAsia="zh-CN"/>
        </w:rPr>
        <w:t>(三)分级分类。绩效评价由各级财政部门、各预算部门根据评价对象的特点分类组织实施。</w:t>
      </w:r>
    </w:p>
    <w:p>
      <w:pPr>
        <w:pStyle w:val="43"/>
        <w:rPr>
          <w:rFonts w:hint="eastAsia"/>
          <w:lang w:eastAsia="zh-CN"/>
        </w:rPr>
      </w:pPr>
      <w:r>
        <w:rPr>
          <w:rFonts w:hint="eastAsia"/>
          <w:lang w:eastAsia="zh-CN"/>
        </w:rPr>
        <w:t>(</w:t>
      </w:r>
      <w:r>
        <w:rPr>
          <w:rFonts w:hint="eastAsia"/>
          <w:lang w:val="en-US" w:eastAsia="zh-CN"/>
        </w:rPr>
        <w:t>四</w:t>
      </w:r>
      <w:r>
        <w:rPr>
          <w:rFonts w:hint="eastAsia"/>
          <w:lang w:eastAsia="zh-CN"/>
        </w:rPr>
        <w:t>)激励约束。绩效评价结果应与预算安排、政策调整、改进管理实质性挂钩，体现奖优罚劣和激励相容导向，有效要安排、低效要压减、无效要问责。</w:t>
      </w:r>
    </w:p>
    <w:p>
      <w:pPr>
        <w:pStyle w:val="43"/>
        <w:rPr>
          <w:rFonts w:hint="eastAsia"/>
          <w:lang w:eastAsia="zh-CN"/>
        </w:rPr>
      </w:pPr>
      <w:r>
        <w:rPr>
          <w:rFonts w:hint="eastAsia"/>
          <w:lang w:eastAsia="zh-CN"/>
        </w:rPr>
        <w:t>(</w:t>
      </w:r>
      <w:r>
        <w:rPr>
          <w:rFonts w:hint="eastAsia"/>
          <w:lang w:val="en-US" w:eastAsia="zh-CN"/>
        </w:rPr>
        <w:t>五</w:t>
      </w:r>
      <w:r>
        <w:rPr>
          <w:rFonts w:hint="eastAsia"/>
          <w:lang w:eastAsia="zh-CN"/>
        </w:rPr>
        <w:t>)权责统一。绩效评价应当明确各级财政部门和预算部门的权责关系，确保资金绩效评价工作的职权和责任相统一。</w:t>
      </w:r>
    </w:p>
    <w:p>
      <w:pPr>
        <w:pStyle w:val="43"/>
        <w:rPr>
          <w:rFonts w:hint="eastAsia"/>
          <w:lang w:eastAsia="zh-CN"/>
        </w:rPr>
      </w:pPr>
      <w:r>
        <w:rPr>
          <w:rFonts w:hint="eastAsia"/>
          <w:lang w:eastAsia="zh-CN"/>
        </w:rPr>
        <w:t>(</w:t>
      </w:r>
      <w:r>
        <w:rPr>
          <w:rFonts w:hint="eastAsia"/>
          <w:lang w:val="en-US" w:eastAsia="zh-CN"/>
        </w:rPr>
        <w:t>六</w:t>
      </w:r>
      <w:r>
        <w:rPr>
          <w:rFonts w:hint="eastAsia"/>
          <w:lang w:eastAsia="zh-CN"/>
        </w:rPr>
        <w:t>)公开透明。绩效评价结果应依法依规公开，并自觉接受社会监督。</w:t>
      </w:r>
    </w:p>
    <w:p>
      <w:pPr>
        <w:rPr>
          <w:rFonts w:hint="eastAsia"/>
          <w:lang w:eastAsia="zh-CN"/>
        </w:rPr>
      </w:pPr>
    </w:p>
    <w:p>
      <w:pPr>
        <w:pStyle w:val="2"/>
        <w:rPr>
          <w:rFonts w:hint="eastAsia"/>
          <w:lang w:eastAsia="zh-CN"/>
        </w:rPr>
        <w:sectPr>
          <w:pgSz w:w="11849" w:h="16781"/>
          <w:pgMar w:top="1440" w:right="1797" w:bottom="1440" w:left="1797" w:header="850" w:footer="992" w:gutter="0"/>
          <w:pgNumType w:fmt="decimal"/>
          <w:cols w:space="0" w:num="1"/>
          <w:rtlGutter w:val="0"/>
          <w:docGrid w:type="lines" w:linePitch="397" w:charSpace="0"/>
        </w:sectPr>
      </w:pPr>
    </w:p>
    <w:p>
      <w:pPr>
        <w:pStyle w:val="4"/>
        <w:bidi w:val="0"/>
        <w:rPr>
          <w:rFonts w:hint="default"/>
          <w:lang w:val="en-GB"/>
        </w:rPr>
      </w:pPr>
      <w:bookmarkStart w:id="465" w:name="_Toc19669"/>
      <w:bookmarkStart w:id="466" w:name="_Toc21781"/>
      <w:r>
        <w:rPr>
          <w:rFonts w:hint="eastAsia"/>
          <w:lang w:val="en-US" w:eastAsia="zh-CN"/>
        </w:rPr>
        <w:t>附表</w:t>
      </w:r>
      <w:bookmarkEnd w:id="465"/>
    </w:p>
    <w:bookmarkEnd w:id="421"/>
    <w:bookmarkEnd w:id="466"/>
    <w:p>
      <w:pPr>
        <w:pStyle w:val="5"/>
        <w:numPr>
          <w:ilvl w:val="1"/>
          <w:numId w:val="0"/>
        </w:numPr>
        <w:bidi w:val="0"/>
        <w:ind w:leftChars="0"/>
        <w:rPr>
          <w:rFonts w:hint="eastAsia"/>
        </w:rPr>
      </w:pPr>
      <w:bookmarkStart w:id="467" w:name="_Toc17844"/>
      <w:bookmarkStart w:id="468" w:name="_Toc9508"/>
      <w:bookmarkStart w:id="469" w:name="_Toc19460"/>
      <w:r>
        <w:rPr>
          <w:rFonts w:hint="eastAsia"/>
        </w:rPr>
        <w:t>附表</w:t>
      </w:r>
      <w:r>
        <w:rPr>
          <w:rFonts w:hint="eastAsia" w:ascii="黑体" w:hAnsi="黑体" w:eastAsia="黑体" w:cs="黑体"/>
          <w:lang w:val="en-US" w:eastAsia="zh-CN"/>
        </w:rPr>
        <w:t>1</w:t>
      </w:r>
      <w:r>
        <w:rPr>
          <w:rFonts w:hint="eastAsia" w:ascii="黑体" w:hAnsi="黑体" w:eastAsia="黑体" w:cs="黑体"/>
        </w:rPr>
        <w:t xml:space="preserve"> </w:t>
      </w:r>
      <w:r>
        <w:rPr>
          <w:rFonts w:hint="eastAsia"/>
        </w:rPr>
        <w:t>项目投资概算</w:t>
      </w:r>
      <w:r>
        <w:rPr>
          <w:rFonts w:hint="eastAsia"/>
          <w:lang w:val="en-US" w:eastAsia="zh-CN"/>
        </w:rPr>
        <w:t>总</w:t>
      </w:r>
      <w:r>
        <w:rPr>
          <w:rFonts w:hint="eastAsia"/>
        </w:rPr>
        <w:t>表</w:t>
      </w:r>
      <w:bookmarkEnd w:id="467"/>
    </w:p>
    <w:p>
      <w:pPr>
        <w:jc w:val="right"/>
        <w:rPr>
          <w:color w:val="auto"/>
          <w:highlight w:val="none"/>
        </w:rPr>
      </w:pPr>
      <w:r>
        <w:rPr>
          <w:rFonts w:hint="eastAsia"/>
          <w:color w:val="auto"/>
          <w:highlight w:val="none"/>
        </w:rPr>
        <w:t>单位：万元</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0"/>
        <w:gridCol w:w="1884"/>
        <w:gridCol w:w="2285"/>
        <w:gridCol w:w="3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blHeader/>
        </w:trPr>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序号</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 xml:space="preserve"> 建设内容 </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费用估算（万元）</w:t>
            </w:r>
          </w:p>
        </w:tc>
        <w:tc>
          <w:tcPr>
            <w:tcW w:w="2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 xml:space="preserve"> 说明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lang w:val="en-US" w:eastAsia="zh-CN" w:bidi="ar"/>
              </w:rPr>
              <w:t>一</w:t>
            </w:r>
          </w:p>
        </w:tc>
        <w:tc>
          <w:tcPr>
            <w:tcW w:w="1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lang w:val="en-US" w:eastAsia="zh-CN" w:bidi="ar"/>
              </w:rPr>
              <w:t xml:space="preserve"> 运维升级建设费 </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lang w:val="en-US" w:eastAsia="zh-CN" w:bidi="ar"/>
              </w:rPr>
              <w:t xml:space="preserve">348.19 </w:t>
            </w:r>
          </w:p>
        </w:tc>
        <w:tc>
          <w:tcPr>
            <w:tcW w:w="2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1.1</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前端感知设备</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 xml:space="preserve">146.74 </w:t>
            </w:r>
          </w:p>
        </w:tc>
        <w:tc>
          <w:tcPr>
            <w:tcW w:w="2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1.2</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配套设施</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 xml:space="preserve">88.95 </w:t>
            </w:r>
          </w:p>
        </w:tc>
        <w:tc>
          <w:tcPr>
            <w:tcW w:w="2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1.3</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存储设备</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 xml:space="preserve">82.08 </w:t>
            </w:r>
          </w:p>
        </w:tc>
        <w:tc>
          <w:tcPr>
            <w:tcW w:w="2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1.4</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终端设备</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 xml:space="preserve">16.21 </w:t>
            </w:r>
          </w:p>
        </w:tc>
        <w:tc>
          <w:tcPr>
            <w:tcW w:w="2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1.5</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水质检测配件</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 xml:space="preserve">14.21 </w:t>
            </w:r>
          </w:p>
        </w:tc>
        <w:tc>
          <w:tcPr>
            <w:tcW w:w="2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lang w:val="en-US" w:eastAsia="zh-CN" w:bidi="ar"/>
              </w:rPr>
              <w:t>二</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lang w:val="en-US" w:eastAsia="zh-CN" w:bidi="ar"/>
              </w:rPr>
              <w:t xml:space="preserve"> 运维升级建设其他费 </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lang w:val="en-US" w:eastAsia="zh-CN" w:bidi="ar"/>
              </w:rPr>
              <w:t xml:space="preserve">41.73 </w:t>
            </w:r>
          </w:p>
        </w:tc>
        <w:tc>
          <w:tcPr>
            <w:tcW w:w="2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1</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lang w:val="en-US" w:eastAsia="zh-CN" w:bidi="ar"/>
              </w:rPr>
              <w:t xml:space="preserve"> 建设单位管理费 </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 xml:space="preserve">6.96 </w:t>
            </w:r>
          </w:p>
        </w:tc>
        <w:tc>
          <w:tcPr>
            <w:tcW w:w="2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财建﹝2016﹞504号文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2</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lang w:val="en-US" w:eastAsia="zh-CN" w:bidi="ar"/>
              </w:rPr>
              <w:t xml:space="preserve"> 设计费 </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 xml:space="preserve">22.40 </w:t>
            </w:r>
          </w:p>
        </w:tc>
        <w:tc>
          <w:tcPr>
            <w:tcW w:w="2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按合同计列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3</w:t>
            </w:r>
          </w:p>
        </w:tc>
        <w:tc>
          <w:tcPr>
            <w:tcW w:w="1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lang w:val="en-US" w:eastAsia="zh-CN" w:bidi="ar"/>
              </w:rPr>
              <w:t xml:space="preserve"> 工程监理费 </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 xml:space="preserve">12.37 </w:t>
            </w:r>
          </w:p>
        </w:tc>
        <w:tc>
          <w:tcPr>
            <w:tcW w:w="2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　发改价格[2007]670号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spacing w:val="11"/>
                <w:kern w:val="0"/>
                <w:sz w:val="21"/>
                <w:szCs w:val="21"/>
                <w:u w:val="none"/>
                <w:lang w:val="en-US" w:eastAsia="zh-CN" w:bidi="ar"/>
              </w:rPr>
              <w:t>三</w:t>
            </w:r>
          </w:p>
        </w:tc>
        <w:tc>
          <w:tcPr>
            <w:tcW w:w="1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lang w:val="en-US" w:eastAsia="zh-CN" w:bidi="ar"/>
              </w:rPr>
              <w:t xml:space="preserve"> 运维费 </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lang w:val="en-US" w:eastAsia="zh-CN" w:bidi="ar"/>
              </w:rPr>
              <w:t xml:space="preserve">222.99 </w:t>
            </w:r>
          </w:p>
        </w:tc>
        <w:tc>
          <w:tcPr>
            <w:tcW w:w="20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新建运维、链路费用、电费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lang w:val="en-US" w:eastAsia="zh-CN" w:bidi="ar"/>
              </w:rPr>
              <w:t>四</w:t>
            </w:r>
          </w:p>
        </w:tc>
        <w:tc>
          <w:tcPr>
            <w:tcW w:w="1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lang w:val="en-US" w:eastAsia="zh-CN" w:bidi="ar"/>
              </w:rPr>
              <w:t xml:space="preserve"> 总投资 </w:t>
            </w:r>
          </w:p>
        </w:tc>
        <w:tc>
          <w:tcPr>
            <w:tcW w:w="1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lang w:val="en-US" w:eastAsia="zh-CN" w:bidi="ar"/>
              </w:rPr>
              <w:t xml:space="preserve">612.91 </w:t>
            </w:r>
          </w:p>
        </w:tc>
        <w:tc>
          <w:tcPr>
            <w:tcW w:w="2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lang w:val="en-US" w:eastAsia="zh-CN" w:bidi="ar"/>
              </w:rPr>
              <w:t>一+二+三</w:t>
            </w:r>
          </w:p>
        </w:tc>
      </w:tr>
    </w:tbl>
    <w:p/>
    <w:p>
      <w:pPr>
        <w:pStyle w:val="27"/>
      </w:pPr>
    </w:p>
    <w:p>
      <w:pPr>
        <w:sectPr>
          <w:pgSz w:w="11849" w:h="16781"/>
          <w:pgMar w:top="1440" w:right="1797" w:bottom="1440" w:left="1797" w:header="850" w:footer="992" w:gutter="0"/>
          <w:pgNumType w:fmt="decimal"/>
          <w:cols w:space="0" w:num="1"/>
          <w:rtlGutter w:val="0"/>
          <w:docGrid w:type="lines" w:linePitch="397" w:charSpace="0"/>
        </w:sectPr>
      </w:pPr>
    </w:p>
    <w:p>
      <w:pPr>
        <w:pStyle w:val="5"/>
        <w:numPr>
          <w:ilvl w:val="2"/>
          <w:numId w:val="0"/>
        </w:numPr>
        <w:bidi w:val="0"/>
        <w:ind w:leftChars="0"/>
        <w:rPr>
          <w:rFonts w:hint="default"/>
          <w:lang w:val="en-US" w:eastAsia="zh-CN"/>
        </w:rPr>
      </w:pPr>
      <w:bookmarkStart w:id="470" w:name="_Toc4365"/>
      <w:bookmarkStart w:id="471" w:name="_Toc17524"/>
      <w:bookmarkStart w:id="472" w:name="_Toc31094"/>
      <w:r>
        <w:rPr>
          <w:rFonts w:hint="eastAsia"/>
        </w:rPr>
        <w:t>附表</w:t>
      </w:r>
      <w:r>
        <w:rPr>
          <w:rFonts w:hint="eastAsia"/>
          <w:lang w:val="en-US" w:eastAsia="zh-CN"/>
        </w:rPr>
        <w:t>2</w:t>
      </w:r>
      <w:r>
        <w:rPr>
          <w:rFonts w:hint="eastAsia"/>
        </w:rPr>
        <w:t xml:space="preserve"> </w:t>
      </w:r>
      <w:bookmarkEnd w:id="470"/>
      <w:bookmarkEnd w:id="471"/>
      <w:r>
        <w:rPr>
          <w:rFonts w:hint="eastAsia"/>
          <w:lang w:val="en-US" w:eastAsia="zh-CN"/>
        </w:rPr>
        <w:t>软硬件配置清单</w:t>
      </w:r>
      <w:bookmarkEnd w:id="472"/>
    </w:p>
    <w:tbl>
      <w:tblPr>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059"/>
        <w:gridCol w:w="2524"/>
        <w:gridCol w:w="6531"/>
        <w:gridCol w:w="786"/>
        <w:gridCol w:w="860"/>
        <w:gridCol w:w="1224"/>
        <w:gridCol w:w="1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24" w:hRule="atLeast"/>
          <w:tblHeader/>
        </w:trPr>
        <w:tc>
          <w:tcPr>
            <w:tcW w:w="37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序号</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设备名称</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设备参数</w:t>
            </w:r>
          </w:p>
        </w:tc>
        <w:tc>
          <w:tcPr>
            <w:tcW w:w="2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单位</w:t>
            </w:r>
          </w:p>
        </w:tc>
        <w:tc>
          <w:tcPr>
            <w:tcW w:w="30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数量</w:t>
            </w:r>
          </w:p>
        </w:tc>
        <w:tc>
          <w:tcPr>
            <w:tcW w:w="433"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单价</w:t>
            </w:r>
          </w:p>
        </w:tc>
        <w:tc>
          <w:tcPr>
            <w:tcW w:w="39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一</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前端感知设备</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2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30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433"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结构化枪机</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1、内置双镜头均不低于400万像素，具有不小于1/1.8"靶面尺寸，内置GPU芯片。</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2、内置2个麦克风、1个扬声器，支持双向语音对讲。</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3、支持MD5、SHA256加密算法。</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4、最低照度彩色不大于0.0002 lx，黑白不大于0.0001 lx。</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5、内置至少4颗混合补光灯，每颗灯由红外灯、白光灯组成，在开启白光灯或混合补光灯时，可输出彩色视频图像。</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6、通道一主码流分辨率不小于2560x1440@25fps，子码流不小于704x576@25fps，第三码流不小于1920x1080@25fps。通道二主码流分辨率不小于1920x1080@25fps，子码流不小于704x576@25fps，第三码流不小于1920x1080@25fps。</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7、支持亮度异常、清晰度异常、花屏、雪花、偏色、画面冻结、增益失衡、画面抖动、条纹干扰、信号丢失、视频遮挡、光晕、紫边等故障报警功能。</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8、支持检出两眼瞳距20像素点以上的人脸图片，支持侧脸过滤功能，可过滤上下、左右角度达到预设值的人脸。</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9、支持检测区域内不低于40个移动目标（机动车、非机动车及行人）检测、框选跟踪、筛选、抓拍，可将人脸人体、车辆与车牌关联显示。</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10、支持对镜头前盖玻璃加热，去除玻璃上的冰状和水状附着物。</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11、支持数据感知功能，在IE 浏览器下，重启事件记录可包括正常重启和异常重启等类型。正常重启可记录重启的时间、服务类型、用户名、IP/域名信息；异常重启可记录重启时间、异常类型信息。</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12、支持通过IE浏览器设置登录超时时间，当登录后无操作时长达到设置阈值后，设备自动退出并重新进入登录界面。</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13、设备具有耀光抑制功能，耀光区域≤1%。</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14、支持固件安全检验功能，摄像机uboot应采用加密存储，通过离线烧写存储器方式写入的uboot执行程序，不能被硬件微引导程序加载执行。</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15、支持硬件微引导程序、uboot、OS、应用软件逐级校验功能，非法篡改的uboot、OS、应用软件固件包，不能通过命令行、浏览器、客户端方式进行升级</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16、支持抓拍人体，支持运动方向、上衣颜色、下装颜色、性别、戴眼镜、背包、拎东西、戴帽子、戴口罩、上衣类型、下装类型、发型、骑行状态、载人状态、骑车类型等属性识别</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17、支持抓拍人脸，支持性别、年龄、年龄段、戴眼镜、戴口罩、表情、戴帽子等属性识别</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18、支持抓拍非机动车，支持上衣颜色、下装颜色、性别、戴口罩、非机动车类型等属性识别</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19、支持抓拍机动车，支持车牌号码、车牌类型、车辆类型、车身颜色、车辆品牌等属性识别</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20、防护等级IP67；</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台</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130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3428</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445640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结构化球机</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1、设备具有1个RJ45网络接口，可输出两路视频图像：通道1、通道2，内置不少于2个GPU芯片。</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2、支持人员自动检测并联动动点镜头进行快速锁定抓拍，提供满足人脸比对的图片，并进行人体人脸关联。</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3、人脸最远检测距离不低于30米，车辆最远检测距离不低于15米。</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4、摄像机定焦镜头、变焦镜头靶面尺寸均不小于1/1.8英寸，两路视频输出分别支持分辨率设置为2560x1440，帧率设置为25fps，分辨力不小于1500线。</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5、最低照度: 彩色：0.0005 Lux @（F1.0，AGC ON），黑白：0.0001Lux @（F1.0，AGC ON）</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6、焦距: 定焦镜头不低于6mm，变焦镜头范围不低于13-52mm，4倍光学变倍</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7、内置不少于2个GPU芯片，两路视频输出分别支持分辨率设置为2560x1440，帧率设置为25fps，分辨力不小于1500线。</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8、设备不低于8个补光灯，其中特写摄像机的每个补光灯均包含红外补光模块和白光补光模块，设备支持混合补光，可对红外灯及白光灯进行选择性开启，支持对镜头前盖玻璃加热，去除玻璃上的冰状和水状附着物。</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9、支持水平、垂直旋转，水平手控速度不小于240°/s，定位准确度不大于0.1°，支持快速聚焦功能，设备对监控区域内的移动目标进行跟踪录像，录像通过单帧回放时应能保证每帧画面清晰稳定。</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10、设备应支持正面/侧面/背面行人的检测、跟踪、抓拍；</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11、可对出现在监控场景内的两眼瞳距不小于40像素的人脸进行检验，支持同时检测监控场景内出现的不少于40张人脸图片，并可进行抓拍及人脸跟踪。</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12、设备可对30米处的行人进行人脸抓拍，并可生成分辨率不小于110×120的人脸图片,图片中人脸两眼瞳距应≥40像素。</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13、设备支持人脸抓拍去重功能，去重后在所有人脸抓拍图片中，同一人脸抓拍图的数量占比应≤1%。</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14、具有人像增强和车牌增强设置选项，车牌增强等级0~100可设置，开启人像增强功能后，可减弱夜间抓拍到的人眼瞳孔内的亮斑。。</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15、在联动模式下，细节通道和全景通道可进行全结构化抓拍和属性分析，在全景通道检测到移动目标后，可联动细节通道进行人脸、人体的抓拍和属性分析，全景通道检测到且框出移动目标至细节通道摄像机开始转动的时间不大于0.2秒，距离设备30m处全景检测宽度不小于15m。</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16、设备可将细节通道中抓拍的人脸图片和全景通道中的人体图片进行关联比对，可对同一目标进行双画面关联显示。</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17、含球机电源</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台</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179</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5275</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944225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摄像机电源</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DC12V</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130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25</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4</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枪机支架</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定制枪机支架，长度10cm-30cm，铝合金材质</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130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50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5</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球机支架</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定制球机支架，长度10cm-50cm，铝合金材质</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179</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130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23270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6</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二合一防雷器</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网络/电源二合一防雷器；传输频率 165MHz；额定放电电流（8/20μs）：不小于5KA；</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309</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144</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44496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小计1</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left"/>
              <w:rPr>
                <w:rFonts w:hint="eastAsia" w:ascii="宋体" w:hAnsi="宋体" w:eastAsia="宋体" w:cs="宋体"/>
                <w:b/>
                <w:bCs/>
                <w:i w:val="0"/>
                <w:iCs w:val="0"/>
                <w:color w:val="000000"/>
                <w:sz w:val="21"/>
                <w:szCs w:val="21"/>
                <w:u w:val="none"/>
              </w:rPr>
            </w:pP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1467381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二</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配套设施</w:t>
            </w:r>
          </w:p>
        </w:tc>
        <w:tc>
          <w:tcPr>
            <w:tcW w:w="231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rPr>
                <w:rFonts w:hint="eastAsia" w:ascii="宋体" w:hAnsi="宋体" w:eastAsia="宋体" w:cs="宋体"/>
                <w:i w:val="0"/>
                <w:iCs w:val="0"/>
                <w:color w:val="000000"/>
                <w:sz w:val="21"/>
                <w:szCs w:val="21"/>
                <w:u w:val="none"/>
              </w:rPr>
            </w:pP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智能机箱</w:t>
            </w:r>
          </w:p>
        </w:tc>
        <w:tc>
          <w:tcPr>
            <w:tcW w:w="2314" w:type="pct"/>
            <w:tcBorders>
              <w:top w:val="single" w:color="000000" w:sz="4" w:space="0"/>
              <w:left w:val="single" w:color="000000" w:sz="4" w:space="0"/>
              <w:bottom w:val="single" w:color="000000" w:sz="4" w:space="0"/>
              <w:right w:val="single" w:color="000000" w:sz="4" w:space="0"/>
            </w:tcBorders>
            <w:shd w:val="clear"/>
            <w:vAlign w:val="top"/>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 箱体材质采用镀锌钢板，监控机箱箱体厚度≥1.2mm，表面静电喷塑，箱体具有防水、防尘、通风散热、抗紫外线（防老化）、防盗、防锈、耐酸碱腐蚀等功能；防护等级要求≥IP55。</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 机箱顶部采用帽檐斜顶方式，箱体预留下进线或后进线，进线孔须有胶套保护。</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 箱体门采用防拆装铰链，门开启角度≥120度，铰链安装于正面左侧，门锁安装于正面右侧。箱体外门采用三角转舌锁，具有防盗防破坏功能。</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（4） 箱体颜色统一采用国标色卡GSB05-1426-2001标准样卡的中灰（色号B02）。</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 xml:space="preserve">（5） 机箱正面用监控警示图标、“区域+监控”、“编号：+空白”、“电话：+11位数字”三排中文标识组成；机箱左侧面喷涂警告标示。  </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（6）机架式自动重合闸控制器（含充放式管理电源，3个五孔220V插座及4路DC12V（1路交换机、2路风扇、1路电锁）；1路箱门监测；1路防雷监测；2路干接点）、后备电源*1</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套</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260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390000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电源线</w:t>
            </w:r>
          </w:p>
        </w:tc>
        <w:tc>
          <w:tcPr>
            <w:tcW w:w="2314" w:type="pct"/>
            <w:tcBorders>
              <w:top w:val="single" w:color="000000" w:sz="4" w:space="0"/>
              <w:left w:val="single" w:color="000000" w:sz="4" w:space="0"/>
              <w:bottom w:val="single" w:color="000000" w:sz="4" w:space="0"/>
              <w:right w:val="single" w:color="000000" w:sz="4" w:space="0"/>
            </w:tcBorders>
            <w:shd w:val="clear"/>
            <w:vAlign w:val="top"/>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RVV3*2.5</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米</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7440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7</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52080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电源线</w:t>
            </w:r>
          </w:p>
        </w:tc>
        <w:tc>
          <w:tcPr>
            <w:tcW w:w="2314" w:type="pct"/>
            <w:tcBorders>
              <w:top w:val="single" w:color="000000" w:sz="4" w:space="0"/>
              <w:left w:val="single" w:color="000000" w:sz="4" w:space="0"/>
              <w:bottom w:val="single" w:color="000000" w:sz="4" w:space="0"/>
              <w:right w:val="single" w:color="000000" w:sz="4" w:space="0"/>
            </w:tcBorders>
            <w:shd w:val="clear"/>
            <w:vAlign w:val="top"/>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RVV2*1.0</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米</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2600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7800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4</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网线</w:t>
            </w:r>
          </w:p>
        </w:tc>
        <w:tc>
          <w:tcPr>
            <w:tcW w:w="2314" w:type="pct"/>
            <w:tcBorders>
              <w:top w:val="single" w:color="000000" w:sz="4" w:space="0"/>
              <w:left w:val="single" w:color="000000" w:sz="4" w:space="0"/>
              <w:bottom w:val="single" w:color="000000" w:sz="4" w:space="0"/>
              <w:right w:val="single" w:color="000000" w:sz="4" w:space="0"/>
            </w:tcBorders>
            <w:shd w:val="clear"/>
            <w:vAlign w:val="top"/>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防水6类网络线缆，线缆对数:4对（含水晶头）</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米</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2600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4.2</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10920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5</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PE管</w:t>
            </w:r>
          </w:p>
        </w:tc>
        <w:tc>
          <w:tcPr>
            <w:tcW w:w="2314" w:type="pct"/>
            <w:tcBorders>
              <w:top w:val="single" w:color="000000" w:sz="4" w:space="0"/>
              <w:left w:val="single" w:color="000000" w:sz="4" w:space="0"/>
              <w:bottom w:val="single" w:color="000000" w:sz="4" w:space="0"/>
              <w:right w:val="single" w:color="000000" w:sz="4" w:space="0"/>
            </w:tcBorders>
            <w:shd w:val="clear"/>
            <w:vAlign w:val="top"/>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PE32管</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米</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2450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2.88</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7056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6</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PVC管</w:t>
            </w:r>
          </w:p>
        </w:tc>
        <w:tc>
          <w:tcPr>
            <w:tcW w:w="2314" w:type="pct"/>
            <w:tcBorders>
              <w:top w:val="single" w:color="000000" w:sz="4" w:space="0"/>
              <w:left w:val="single" w:color="000000" w:sz="4" w:space="0"/>
              <w:bottom w:val="single" w:color="000000" w:sz="4" w:space="0"/>
              <w:right w:val="single" w:color="000000" w:sz="4" w:space="0"/>
            </w:tcBorders>
            <w:shd w:val="clear"/>
            <w:vAlign w:val="top"/>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PVC32管</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米</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5834</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2.4</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14001.6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7</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钢管</w:t>
            </w:r>
          </w:p>
        </w:tc>
        <w:tc>
          <w:tcPr>
            <w:tcW w:w="2314" w:type="pct"/>
            <w:tcBorders>
              <w:top w:val="single" w:color="000000" w:sz="4" w:space="0"/>
              <w:left w:val="single" w:color="000000" w:sz="4" w:space="0"/>
              <w:bottom w:val="single" w:color="000000" w:sz="4" w:space="0"/>
              <w:right w:val="single" w:color="000000" w:sz="4" w:space="0"/>
            </w:tcBorders>
            <w:shd w:val="clear"/>
            <w:vAlign w:val="top"/>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钢管DN50，壁厚不低于2.0mm</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米</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24</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8</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钢管引上引下</w:t>
            </w:r>
          </w:p>
        </w:tc>
        <w:tc>
          <w:tcPr>
            <w:tcW w:w="2314" w:type="pct"/>
            <w:tcBorders>
              <w:top w:val="single" w:color="000000" w:sz="4" w:space="0"/>
              <w:left w:val="single" w:color="000000" w:sz="4" w:space="0"/>
              <w:bottom w:val="single" w:color="000000" w:sz="4" w:space="0"/>
              <w:right w:val="single" w:color="000000" w:sz="4" w:space="0"/>
            </w:tcBorders>
            <w:shd w:val="clear"/>
            <w:vAlign w:val="top"/>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DN32</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米</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1560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9.6</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14976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9</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手井</w:t>
            </w:r>
          </w:p>
        </w:tc>
        <w:tc>
          <w:tcPr>
            <w:tcW w:w="2314" w:type="pct"/>
            <w:tcBorders>
              <w:top w:val="single" w:color="000000" w:sz="4" w:space="0"/>
              <w:left w:val="single" w:color="000000" w:sz="4" w:space="0"/>
              <w:bottom w:val="single" w:color="000000" w:sz="4" w:space="0"/>
              <w:right w:val="single" w:color="000000" w:sz="4" w:space="0"/>
            </w:tcBorders>
            <w:shd w:val="clear"/>
            <w:vAlign w:val="top"/>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含手孔井开挖60*60*60cm内壁40*40*60cm，井盖，恢复。垫层:100mm厚细砂石垫层；基础:100mm厚C15混凝土垫层；砌筑:M7.5水泥砂浆砌筑标砖；抹灰:20mm厚水泥砂浆抹灰；盖板:400*400铸铁井盖、座，承重≥5t</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60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600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10</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开挖混凝土</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开挖及原样恢复混凝土，开挖宽度0.3米，深度0.5米</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米</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450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96</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43200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11</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开挖柏油路</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开挖及原样恢复柏油路</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米</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96</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14400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12</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开挖草坪</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开挖及原样恢复草坪，开挖宽度0.3米，深度0.5米</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米</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500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77</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38500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13</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开挖人行道</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开挖及原样恢复人行道，开挖宽度0.5米，深度0.5米</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米</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1500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77</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115500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14</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接地装置</w:t>
            </w:r>
          </w:p>
        </w:tc>
        <w:tc>
          <w:tcPr>
            <w:tcW w:w="2314" w:type="pct"/>
            <w:tcBorders>
              <w:top w:val="single" w:color="000000" w:sz="4" w:space="0"/>
              <w:left w:val="single" w:color="000000" w:sz="4" w:space="0"/>
              <w:bottom w:val="single" w:color="000000" w:sz="4" w:space="0"/>
              <w:right w:val="single" w:color="000000" w:sz="4" w:space="0"/>
            </w:tcBorders>
            <w:shd w:val="clear"/>
            <w:vAlign w:val="top"/>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1.技术要求：防雷接地满足10欧姆以下；</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2.参考施工图做法，结合施工点位综合处理</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3.每个杆体基础和挂式机箱在同一位置接地</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4.接地极(板、桩)制作、安装</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5.基础接地网安装</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6.补刷(喷)油漆</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7.降阻剂埋设</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8.接地电阻测试</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600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墙钉安装电源线</w:t>
            </w:r>
          </w:p>
        </w:tc>
        <w:tc>
          <w:tcPr>
            <w:tcW w:w="2314" w:type="pct"/>
            <w:tcBorders>
              <w:top w:val="single" w:color="000000" w:sz="4" w:space="0"/>
              <w:left w:val="single" w:color="000000" w:sz="4" w:space="0"/>
              <w:bottom w:val="single" w:color="000000" w:sz="4" w:space="0"/>
              <w:right w:val="single" w:color="000000" w:sz="4" w:space="0"/>
            </w:tcBorders>
            <w:shd w:val="clear"/>
            <w:vAlign w:val="top"/>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墙钉辅材：包含墙壁穿线器、神奇贴/双面胶、弹簧管卡、墙面隐形插孔等</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米</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6200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9300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16</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架空（含钢绞线）安装电源线</w:t>
            </w:r>
          </w:p>
        </w:tc>
        <w:tc>
          <w:tcPr>
            <w:tcW w:w="2314" w:type="pct"/>
            <w:tcBorders>
              <w:top w:val="single" w:color="000000" w:sz="4" w:space="0"/>
              <w:left w:val="single" w:color="000000" w:sz="4" w:space="0"/>
              <w:bottom w:val="single" w:color="000000" w:sz="4" w:space="0"/>
              <w:right w:val="single" w:color="000000" w:sz="4" w:space="0"/>
            </w:tcBorders>
            <w:shd w:val="clear"/>
            <w:vAlign w:val="top"/>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钢绞线，规格:7/2.2</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米</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1230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5</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6150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17</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立杆</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材质均采用Q235B，杆体内外热浸锌；应符合GB/T13912-2002国家标准以及工作通知〔2018〕46号</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关于印发《重庆市公共安全视频图像信息系统标识杆件机箱技术规范》的通知；1.名称:监控杆 H=3.5米,L1=1米（带避雷针）</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2.技术要求:材质均采用Q235B，杆体内外热浸锌；镀锌层附着力达GB/T13912-2002要求, 镀锌后，锌层平均厚度≥80μm。 喷塑层附着力达到GB9286-880级要求，喷塑后，杆件表面喷涂层平均厚度≥140μm。</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3.规格尺寸:八棱锥形杆Φ110~90*4mm，支臂60~60*4mm，避雷针Φ18*500mm；基坑开挖尺寸1000*1000*1000mm；含杆件基础灌浇水泥；</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根</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45000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18</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支臂</w:t>
            </w:r>
          </w:p>
        </w:tc>
        <w:tc>
          <w:tcPr>
            <w:tcW w:w="2314" w:type="pct"/>
            <w:tcBorders>
              <w:top w:val="single" w:color="000000" w:sz="4" w:space="0"/>
              <w:left w:val="single" w:color="000000" w:sz="4" w:space="0"/>
              <w:bottom w:val="single" w:color="000000" w:sz="4" w:space="0"/>
              <w:right w:val="single" w:color="000000" w:sz="4" w:space="0"/>
            </w:tcBorders>
            <w:shd w:val="clear"/>
            <w:vAlign w:val="top"/>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0.5米支臂，材质均采用Q235B，杆体内外热浸锌；厚3.5mm；应符合GB/T13912-2002国家标准以及工作通知〔2018〕46号</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关于印发《重庆市公共安全视频图像信息系统标识杆件机箱技术规范》的通知；</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根</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69</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50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19</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支臂</w:t>
            </w:r>
          </w:p>
        </w:tc>
        <w:tc>
          <w:tcPr>
            <w:tcW w:w="2314" w:type="pct"/>
            <w:tcBorders>
              <w:top w:val="single" w:color="000000" w:sz="4" w:space="0"/>
              <w:left w:val="single" w:color="000000" w:sz="4" w:space="0"/>
              <w:bottom w:val="single" w:color="000000" w:sz="4" w:space="0"/>
              <w:right w:val="single" w:color="000000" w:sz="4" w:space="0"/>
            </w:tcBorders>
            <w:shd w:val="clear"/>
            <w:vAlign w:val="top"/>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2.0米支臂，材质均采用Q235B，杆体内外热浸锌；厚3.5mm；应符合GB/T13912-2002国家标准以及工作通知〔2018〕46号</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关于印发《重庆市公共安全视频图像信息系统标识杆件机箱技术规范》的通知；</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根</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20</w:t>
            </w:r>
          </w:p>
        </w:tc>
        <w:tc>
          <w:tcPr>
            <w:tcW w:w="8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其他安装材料</w:t>
            </w:r>
          </w:p>
        </w:tc>
        <w:tc>
          <w:tcPr>
            <w:tcW w:w="2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含电表、水晶头、胶带、扎带等辅材</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批</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260</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21</w:t>
            </w:r>
          </w:p>
        </w:tc>
        <w:tc>
          <w:tcPr>
            <w:tcW w:w="8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小计2</w:t>
            </w:r>
          </w:p>
        </w:tc>
        <w:tc>
          <w:tcPr>
            <w:tcW w:w="2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left"/>
              <w:rPr>
                <w:rFonts w:hint="eastAsia" w:ascii="宋体" w:hAnsi="宋体" w:eastAsia="宋体" w:cs="宋体"/>
                <w:b/>
                <w:bCs/>
                <w:i w:val="0"/>
                <w:iCs w:val="0"/>
                <w:color w:val="000000"/>
                <w:sz w:val="21"/>
                <w:szCs w:val="21"/>
                <w:u w:val="none"/>
              </w:rPr>
            </w:pP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889533.6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三</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存储设备</w:t>
            </w:r>
          </w:p>
        </w:tc>
        <w:tc>
          <w:tcPr>
            <w:tcW w:w="231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rPr>
                <w:rFonts w:hint="eastAsia" w:ascii="宋体" w:hAnsi="宋体" w:eastAsia="宋体" w:cs="宋体"/>
                <w:i w:val="0"/>
                <w:iCs w:val="0"/>
                <w:color w:val="000000"/>
                <w:sz w:val="21"/>
                <w:szCs w:val="21"/>
                <w:u w:val="none"/>
              </w:rPr>
            </w:pP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视频图像云存储阵列</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1、不低于两颗国产化CPU，≥64GB内存，内存支持扩展到≥256GB，内置SSD固态硬盘，配置冗余金牌电源；</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2、不低于36个硬盘盘位，企业级SATA盘空间，配置不低于36块10TB企业级硬盘；</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支持超融合架构服务模式，利用云原生架构与容器技术，将设备内的计算、网络、存储资源进行虚拟化，对外可同时提供虚拟机、容器、流式存储-视频存储、流式存储-图片存储、NAS文件存储、对象存储、块存储、大数据存储、结构化数据存储服务；</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4、支持、H.265、H.264、JPEG等格式视频、图片存储，支持国内、外主流监控厂家前端设备接入，支持负载均衡，采用云化集群部署；</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5、支持负载均衡，支持云化部署，业务节点中故障断可自动迁移业务，业务不中断；</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6、≥2个千兆网口、≥2个万兆口，并可增扩2个SSD固态硬盘；</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7、支持对集群资源池的容量进行实时监控与趋势分析的前检测，对资源池可用的剩余天数和提前覆盖时间进行预测和预警提示；</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8、支持在线扩容、升级，且扩容、升级过程中实时读写业务不中断、数据不丢失，扩容后历史数据无需迁移；</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9、采用流直存方式进行录像、图片数据存储，无需经过任何转发服务器/虚拟机即可实现数据流直存，视频与图片数据直存后可即存即取；</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10、系统同时提供不低于两种保护机制，且安全级别可在线动态修改，系统根据当前节点状态使用相应的容错算法；</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12、支持视频、图片数据压缩存储，压缩后视频数据可在线点播、AI分析等、图片数据可正常被浏览器访问；</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13、支持《公安视频图像信息应用系统》中的GA/T1400协议；</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14、支持IPV4/IPV6双栈，支持iscsi、samba、nfs、cifs、ftp、afp协议；</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15、根据自身业务量，自适应重构速度，如当前设备空间资源较为充裕时，重构速度较高，若存储设备读写压力上来后，重构速度自动降低；</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16、支持慢盘检测，通过硬盘IO检测机制检测慢IO识别慢盘，并自动隔离慢盘；</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17、支持磁盘故障预测，通过对硬盘SMART信息进行周期性检测，监测会导致硬盘故障的关键指标，通过分析关键指标的变化趋势实现硬盘故障预测；</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18、支持对存储数据视频质量进行后检测，如图像清晰度异常，亮度异常等，支持对录像数据中音频异常，音频中有无人声的检测</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19、可对硬盘进行加密解密，支持录像加密功能，当前端相机不支持加密功能时，支持在数据落盘前进行加密；支持从存储出去的数据均为加密后的数据，下载的录像无法通过普通播放器播放，且使用专用播放器播放时，也必须经过授权才可正常解码播放；</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20、支持媒体数据智能处理能力，其中视频文件数据支持在线点播、格式转换(支持将ps流转换为MP4前置/后置索引、TS、ASF、ES、FLV、AVI格式;支持将AVI、3gpp、MP4、es、ts、rtp、svac等视频文件格式转换为PS封装的H.264、H.265编码格式)、视频文件封面。</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21、需无缝接入丰都县公安局云存储系统，并且视频、图片等数据可以被丰都县公安局视频共享平台调阅，实现云存储集群管理、存储计划管理、索引管理、负载均衡、数据查询等功能；</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套</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4</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168200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672800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云存储管理软件扩容</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1、基于丰都县公安局云存储系统扩容1400TB授权、设备纳管，实现视频图像云存储阵列接入，存储资源集群管理、存储计划管理、索引管理、负载均衡等功能；</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2、支持视频、图片、对象数据存储，支持跨节点数据安全；</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套</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109600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109600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服务器硬盘</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1、容量：≥8TB</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2、缓存容量：≥256M</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3、传输速率：≥6Gb/s</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4、接口标准：SATA</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5、盘体尺寸：3.5寸</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块</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32</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1200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4</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小计3</w:t>
            </w:r>
          </w:p>
        </w:tc>
        <w:tc>
          <w:tcPr>
            <w:tcW w:w="231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rPr>
                <w:rFonts w:hint="eastAsia" w:ascii="宋体" w:hAnsi="宋体" w:eastAsia="宋体" w:cs="宋体"/>
                <w:b/>
                <w:bCs/>
                <w:i w:val="0"/>
                <w:iCs w:val="0"/>
                <w:color w:val="000000"/>
                <w:sz w:val="21"/>
                <w:szCs w:val="21"/>
                <w:u w:val="none"/>
              </w:rPr>
            </w:pP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820800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四</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终端设备</w:t>
            </w:r>
          </w:p>
        </w:tc>
        <w:tc>
          <w:tcPr>
            <w:tcW w:w="231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rPr>
                <w:rFonts w:hint="eastAsia" w:ascii="宋体" w:hAnsi="宋体" w:eastAsia="宋体" w:cs="宋体"/>
                <w:b/>
                <w:bCs/>
                <w:i w:val="0"/>
                <w:iCs w:val="0"/>
                <w:color w:val="000000"/>
                <w:sz w:val="21"/>
                <w:szCs w:val="21"/>
                <w:u w:val="none"/>
              </w:rPr>
            </w:pP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操作终端</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1、采用国产CPU,CPU配置不低于8核，主频配置不低于2*2.86GHz+2*2.36GHz+4*1.95GHz；</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2、内存≥8GB；</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3、硬盘配置≥256GB，最大可扩展≥1TB HHD；</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4、显卡：集成显卡；</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5、接口：不少于7个USB3.0、1个HAMI、1个VGA、1个网络接口、1个Type-c接口；</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6、显示器：分辨率≥1920*1080，刷新率≥60Hz；</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7、含鼠标键盘等配套；</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台</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7000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105000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操作系统</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基本功能：具备文件管理、设备管理、用户管理、磁盘管理和个性化设置等基本功能，提供软件商店、邮件客户端、图片查看、视频播放、备份还原、在线升级和系统更新等桌面工具；支持智能语音助手、语音播报、中英互译、OCR识别和集中安全管控；兼容主流整机、外设和桌面生态软件；提供全新用户交互操作界面和Kysec安全机制。</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2、符合GB/T 25655-2010《中文Linux桌面操作系统技术要求》和GB/T 25646-2010《中文Linux用户界面规范》；</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3、需为信创名录内产品。</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套</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580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8700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流式软件</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具备主界面、文件管理、页面设置、视图管理、编辑管理、插入管理、格式管理、工具、表格管理、对象管理、审阅管理、引用管理、插件管理、打印、另存等基本功能，提供文字处理、电子表格、文档演示三大应用，支持PDF阅读和流式转版式，支持国内外文档标准规范，兼容国内外主流流式软件；</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2、符合GB/T 26856-2011《中文办公软件基本要求及符合性测试规范》、党政机关电子公文系列标准规范和基础通用产品文字处理软件测试规范的要求；</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3、需为信创名录内产品。</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套</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548</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8220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4</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版式软件</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具备文件管理、页面管理、注释管理、语义管理、签章管理、注释和手写签批、打印、动静态水印与信息造盖等基木功能，支持文档编辑、文字和图片编辑、特殊字符插入、流转版、扫描生成双层OPD输出结构化数据、多文档全文检素、国密签章、高压缩、安全阅读、溯源水印等商级功能，支持个性化图章(文号章、归档章、人名章等)，支持骑缝章、预盖章、关键字/位置定位盖章等盖章方式。支持跨平台集成到应用系统的能力。</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2、需为信创名录内产品。</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套</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480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5</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移动设备终端</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1、支持5G/4G/3G/2G通讯网络，双卡双待；</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2、运行内存不小于8GB，存储内存不小于128GB；</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3、不小于6.7寸2700*1224触控屏；</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4、前置不小于1300万摄像头，后置主摄不小于5000万；</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5、不小于4000mAh不可拆卸电池；</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6、支持GP和北斗双模定位；支持BT/Wifi/NFC；</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7、支持双系统，具备内外网办公功能；</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8、具备功能扩展接口，可外接二代证读取等设备；</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9、防水防尘等级应≥GB/T 4208《外壳防护等级（IP代码）》中规定的IP67等级。</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10、在-20°~60°时能正常工作，可连续工作时间应≥8h。</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6</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5500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6</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小计4</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left"/>
              <w:rPr>
                <w:rFonts w:hint="eastAsia" w:ascii="宋体" w:hAnsi="宋体" w:eastAsia="宋体" w:cs="宋体"/>
                <w:b/>
                <w:bCs/>
                <w:i w:val="0"/>
                <w:iCs w:val="0"/>
                <w:color w:val="000000"/>
                <w:sz w:val="21"/>
                <w:szCs w:val="21"/>
                <w:u w:val="none"/>
              </w:rPr>
            </w:pP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162120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五</w:t>
            </w: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水质检测配件</w:t>
            </w:r>
          </w:p>
        </w:tc>
        <w:tc>
          <w:tcPr>
            <w:tcW w:w="231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rPr>
                <w:rFonts w:hint="eastAsia" w:ascii="宋体" w:hAnsi="宋体" w:eastAsia="宋体" w:cs="宋体"/>
                <w:b/>
                <w:bCs/>
                <w:i w:val="0"/>
                <w:iCs w:val="0"/>
                <w:color w:val="FF0000"/>
                <w:sz w:val="21"/>
                <w:szCs w:val="21"/>
                <w:u w:val="none"/>
              </w:rPr>
            </w:pP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FF0000"/>
                <w:sz w:val="21"/>
                <w:szCs w:val="21"/>
                <w:u w:val="none"/>
              </w:rPr>
            </w:pP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FF0000"/>
                <w:sz w:val="21"/>
                <w:szCs w:val="21"/>
                <w:u w:val="none"/>
              </w:rPr>
            </w:pP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FF0000"/>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（一）</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社坛上杨桥站</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left"/>
              <w:rPr>
                <w:rFonts w:hint="eastAsia" w:ascii="宋体" w:hAnsi="宋体" w:eastAsia="宋体" w:cs="宋体"/>
                <w:i w:val="0"/>
                <w:iCs w:val="0"/>
                <w:color w:val="000000"/>
                <w:sz w:val="21"/>
                <w:szCs w:val="21"/>
                <w:u w:val="none"/>
              </w:rPr>
            </w:pP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氨氮仪器触摸屏</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与原设备为同一品牌：宁波理工环境能源科技股份有限公司氨氮仪器触摸屏货号WQMS2000Screen</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氨氮仪器液位传感器</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与原设备为同一品牌：宁波理工环境能源科技股份有限公司氨氮仪器液位传感器型号Y25-NO(NPN)</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COD十通阀液位传感器</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与原设备为同一品牌：宁波理工环境能源科技股份有限公司COD十通阀液位传感器型号Y25-NO(NPN)</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4</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总磷仪器触摸屏</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与原设备为同一品牌：宁波理工环境能源科技股份有限公司总磷仪器触摸屏货号WQMS2000Screen</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5</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五参数仪器PH探头</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1、测定原理：玻璃电极法</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2、量程：pH 0～14 （0～40℃），可调</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3、漂移（pH=4、7、9）：≤±0.05pH</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4、重复性：≤±0.1 pH</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5、响应时间：≤30 s</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6、温度补偿精度：≤±0.1 pH</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7、MTBF：≥1440 h/次</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8、实际水样比对试验：≤±0.1 pH</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9、防护等级：≥IP65</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8000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6</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五参数仪器浊度探头</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1、测定原理：光散射法</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2、量程：0～1000NTU/4000 NTU，可调</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3、重复性：≤±5%</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4、零点漂移：≤±3%</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5、量程漂移：≤±5%</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6、线性误差：≤±5%</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7、MTBF：≥1440 h/次</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8、实际水样比对试验：≤±10%</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9、防护等级：≥IP65</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20000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（二）</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保合三星桥站</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left"/>
              <w:rPr>
                <w:rFonts w:hint="eastAsia" w:ascii="宋体" w:hAnsi="宋体" w:eastAsia="宋体" w:cs="宋体"/>
                <w:i w:val="0"/>
                <w:iCs w:val="0"/>
                <w:color w:val="000000"/>
                <w:sz w:val="21"/>
                <w:szCs w:val="21"/>
                <w:u w:val="none"/>
              </w:rPr>
            </w:pP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氨氮仪器触摸屏</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与原设备为同一品牌：宁波理工环境能源科技股份有限公司氨氮仪器触摸屏货号WQMS2000Screen</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氨氮仪器沉淀池进样电磁阀</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与原设备为同一品牌：宁波理工环境能源科技股份有限公司氨氮仪器沉淀池进样电磁阀型号DC24V</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总磷仪器触摸屏</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与原设备为同一品牌：宁波理工环境能源科技股份有限公司总磷仪器触摸屏货号WQMS2000Screen</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4</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五参数仪器PH探头</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1、测定原理：玻璃电极法</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2、量程：pH 0～14 （0～40℃），可调</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3、漂移（pH=4、7、9）：≤±0.05pH</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4、重复性：≤±0.1 pH</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5、响应时间：≤30 s</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6、温度补偿精度：≤±0.1 pH</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7、MTBF：≥1440 h/次</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8、实际水样比对试验：≤±0.1 pH</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9、防护等级：≥IP65</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8000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5</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五参数仪器浊度探头</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1、测定原理：光散射法</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2、量程：0～1000NTU/4000 NTU，可调</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3、重复性：≤±5%</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4、零点漂移：≤±3%</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5、量程漂移：≤±5%</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6、线性误差：≤±5%</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7、MTBF：≥1440 h/次</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8、实际水样比对试验：≤±10%</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9、防护等级：≥IP65</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20000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6</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五参数仪器溶解氧探头</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1、测定原理：电极法</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 xml:space="preserve">2、量程：0～20 mg/L </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3、零点漂移：≤±0.3 mg/L</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4、量程漂移：≤±0.3 mg/L</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5、重复性：≤±0.3 mg/L</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6、响应时间（T90）：≤120 s</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7、温度补偿精度：≤±0.3 mg/L</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8、MTBF：≥1440 h/次</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9、实际水样比对试验：≤±0.3 mg/L</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10、防护等级：≥IP65</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10000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7</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潜水泵</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900W潜水泵</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1100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（三）</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仁沙磨滩站</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left"/>
              <w:rPr>
                <w:rFonts w:hint="eastAsia" w:ascii="宋体" w:hAnsi="宋体" w:eastAsia="宋体" w:cs="宋体"/>
                <w:i w:val="0"/>
                <w:iCs w:val="0"/>
                <w:color w:val="000000"/>
                <w:sz w:val="21"/>
                <w:szCs w:val="21"/>
                <w:u w:val="none"/>
              </w:rPr>
            </w:pP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氨氮仪器触摸屏</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与原设备为同一品牌：宁波理工环境能源科技股份有限公司氨氮仪器触摸屏货号WQMS2000Screen</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2</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氨氮仪器沉淀池进样电磁阀</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与原设备为同一品牌：宁波理工环境能源科技股份有限公司氨氮仪器沉淀池进样电磁阀型号DC24V</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氨氮仪器主板</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与原设备为同一品牌：宁波理工环境能源科技股份有限公司氨氮仪器主板V1.3</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10000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4</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总磷仪器触摸屏</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与原设备为同一品牌：宁波理工环境能源科技股份有限公司总磷仪器触摸屏货号WQMS2000Screen</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5</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总磷仪器主板</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与原设备为同一品牌：宁波理工环境能源科技股份有限公司总磷仪器主板V1.3</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15000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6</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五参数仪器PH探头</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1、测定原理：玻璃电极法</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2、量程：pH 0～14 （0～40℃），可调</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3、漂移（pH=4、7、9）：≤±0.05pH</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4、重复性：≤±0.1 pH</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5、响应时间：≤30 s</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6、温度补偿精度：≤±0.1 pH</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7、MTBF：≥1440 h/次</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8、实际水样比对试验：≤±0.1 pH</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9、防护等级：≥IP65</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8000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7</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五参数仪器溶解氧探头</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1、测定原理：电极法</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 xml:space="preserve">2、量程：0～20 mg/L </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3、零点漂移：≤±0.3 mg/L</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4、量程漂移：≤±0.3 mg/L</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5、重复性：≤±0.3 mg/L</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6、响应时间（T90）：≤120 s</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7、温度补偿精度：≤±0.3 mg/L</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8、MTBF：≥1440 h/次</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9、实际水样比对试验：≤±0.3 mg/L</w:t>
            </w:r>
            <w:r>
              <w:rPr>
                <w:rFonts w:hint="eastAsia" w:ascii="宋体" w:hAnsi="宋体" w:eastAsia="宋体" w:cs="宋体"/>
                <w:i w:val="0"/>
                <w:iCs w:val="0"/>
                <w:color w:val="000000"/>
                <w:spacing w:val="11"/>
                <w:kern w:val="0"/>
                <w:sz w:val="21"/>
                <w:szCs w:val="21"/>
                <w:u w:val="none"/>
                <w:bdr w:val="none" w:color="auto" w:sz="0" w:space="0"/>
                <w:lang w:val="en-US" w:eastAsia="zh-CN" w:bidi="ar"/>
              </w:rPr>
              <w:br w:type="textWrapping"/>
            </w:r>
            <w:r>
              <w:rPr>
                <w:rFonts w:hint="eastAsia" w:ascii="宋体" w:hAnsi="宋体" w:eastAsia="宋体" w:cs="宋体"/>
                <w:i w:val="0"/>
                <w:iCs w:val="0"/>
                <w:color w:val="000000"/>
                <w:spacing w:val="11"/>
                <w:kern w:val="0"/>
                <w:sz w:val="21"/>
                <w:szCs w:val="21"/>
                <w:u w:val="none"/>
                <w:bdr w:val="none" w:color="auto" w:sz="0" w:space="0"/>
                <w:lang w:val="en-US" w:eastAsia="zh-CN" w:bidi="ar"/>
              </w:rPr>
              <w:t>10、防护等级：≥IP65</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个</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10000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（四）</w:t>
            </w: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安装费用</w:t>
            </w:r>
          </w:p>
        </w:tc>
        <w:tc>
          <w:tcPr>
            <w:tcW w:w="231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left"/>
              <w:rPr>
                <w:rFonts w:hint="eastAsia" w:ascii="宋体" w:hAnsi="宋体" w:eastAsia="宋体" w:cs="宋体"/>
                <w:i w:val="0"/>
                <w:iCs w:val="0"/>
                <w:color w:val="000000"/>
                <w:sz w:val="21"/>
                <w:szCs w:val="21"/>
                <w:u w:val="none"/>
              </w:rPr>
            </w:pP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项</w:t>
            </w: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13500</w:t>
            </w: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11"/>
                <w:kern w:val="0"/>
                <w:sz w:val="21"/>
                <w:szCs w:val="21"/>
                <w:u w:val="none"/>
                <w:bdr w:val="none" w:color="auto" w:sz="0" w:space="0"/>
                <w:lang w:val="en-US" w:eastAsia="zh-CN" w:bidi="ar"/>
              </w:rPr>
              <w:t>13500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8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小计5</w:t>
            </w:r>
          </w:p>
        </w:tc>
        <w:tc>
          <w:tcPr>
            <w:tcW w:w="231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pacing w:val="11"/>
                <w:kern w:val="0"/>
                <w:sz w:val="21"/>
                <w:szCs w:val="21"/>
                <w:u w:val="none"/>
                <w:bdr w:val="none" w:color="auto" w:sz="0" w:space="0"/>
                <w:lang w:val="en-US" w:eastAsia="zh-CN" w:bidi="ar"/>
              </w:rPr>
              <w:t>142100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375"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rPr>
                <w:rFonts w:hint="eastAsia" w:ascii="宋体" w:hAnsi="宋体" w:eastAsia="宋体" w:cs="宋体"/>
                <w:b/>
                <w:bCs/>
                <w:i w:val="0"/>
                <w:iCs w:val="0"/>
                <w:color w:val="FF0000"/>
                <w:sz w:val="21"/>
                <w:szCs w:val="21"/>
                <w:u w:val="none"/>
              </w:rPr>
            </w:pPr>
          </w:p>
        </w:tc>
        <w:tc>
          <w:tcPr>
            <w:tcW w:w="89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bdr w:val="none" w:color="auto" w:sz="0" w:space="0"/>
                <w:lang w:val="en-US" w:eastAsia="zh-CN" w:bidi="ar"/>
              </w:rPr>
              <w:t>合计</w:t>
            </w:r>
          </w:p>
        </w:tc>
        <w:tc>
          <w:tcPr>
            <w:tcW w:w="231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left"/>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bdr w:val="none" w:color="auto" w:sz="0" w:space="0"/>
                <w:lang w:val="en-US" w:eastAsia="zh-CN" w:bidi="ar"/>
              </w:rPr>
              <w:t>小计1+小计2+小计3+小计4+小计5</w:t>
            </w:r>
          </w:p>
        </w:tc>
        <w:tc>
          <w:tcPr>
            <w:tcW w:w="2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FF0000"/>
                <w:sz w:val="21"/>
                <w:szCs w:val="21"/>
                <w:u w:val="none"/>
              </w:rPr>
            </w:pPr>
          </w:p>
        </w:tc>
        <w:tc>
          <w:tcPr>
            <w:tcW w:w="30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FF0000"/>
                <w:sz w:val="21"/>
                <w:szCs w:val="21"/>
                <w:u w:val="none"/>
              </w:rPr>
            </w:pPr>
          </w:p>
        </w:tc>
        <w:tc>
          <w:tcPr>
            <w:tcW w:w="433"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FF0000"/>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spacing w:val="11"/>
                <w:kern w:val="0"/>
                <w:sz w:val="21"/>
                <w:szCs w:val="21"/>
                <w:u w:val="none"/>
                <w:bdr w:val="none" w:color="auto" w:sz="0" w:space="0"/>
                <w:lang w:val="en-US" w:eastAsia="zh-CN" w:bidi="ar"/>
              </w:rPr>
              <w:t>3481934.6</w:t>
            </w:r>
          </w:p>
        </w:tc>
      </w:tr>
    </w:tbl>
    <w:p>
      <w:pPr>
        <w:pStyle w:val="2"/>
        <w:rPr>
          <w:rFonts w:hint="default"/>
          <w:lang w:val="en-US" w:eastAsia="zh-CN"/>
        </w:rPr>
      </w:pPr>
    </w:p>
    <w:p>
      <w:pPr>
        <w:rPr>
          <w:rFonts w:hint="default"/>
          <w:lang w:val="en-US" w:eastAsia="zh-CN"/>
        </w:rPr>
      </w:pPr>
    </w:p>
    <w:bookmarkEnd w:id="468"/>
    <w:bookmarkEnd w:id="469"/>
    <w:p>
      <w:pPr>
        <w:pStyle w:val="5"/>
        <w:numPr>
          <w:ilvl w:val="2"/>
          <w:numId w:val="0"/>
        </w:numPr>
        <w:bidi w:val="0"/>
        <w:ind w:leftChars="0"/>
        <w:rPr>
          <w:rFonts w:hint="default" w:eastAsia="黑体"/>
          <w:lang w:val="en-US" w:eastAsia="zh-CN"/>
        </w:rPr>
      </w:pPr>
      <w:bookmarkStart w:id="473" w:name="_Toc11459"/>
      <w:r>
        <w:rPr>
          <w:rFonts w:hint="eastAsia"/>
          <w:lang w:val="en-US" w:eastAsia="zh-CN"/>
        </w:rPr>
        <w:t>附表3 项目运行维护费</w:t>
      </w:r>
      <w:bookmarkEnd w:id="473"/>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97"/>
        <w:gridCol w:w="2662"/>
        <w:gridCol w:w="2897"/>
        <w:gridCol w:w="2662"/>
        <w:gridCol w:w="29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blHeader/>
        </w:trPr>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年限</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设备运维</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链路费用</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电费</w:t>
            </w:r>
          </w:p>
        </w:tc>
        <w:tc>
          <w:tcPr>
            <w:tcW w:w="10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第一年</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21"/>
                <w:szCs w:val="21"/>
                <w:u w:val="none"/>
              </w:rPr>
            </w:pP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43.74</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18.98</w:t>
            </w:r>
          </w:p>
        </w:tc>
        <w:tc>
          <w:tcPr>
            <w:tcW w:w="10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第二年</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17.41</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43.74</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18.98</w:t>
            </w:r>
          </w:p>
        </w:tc>
        <w:tc>
          <w:tcPr>
            <w:tcW w:w="10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80.13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第三年</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17.41</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43.74</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18.98</w:t>
            </w:r>
          </w:p>
        </w:tc>
        <w:tc>
          <w:tcPr>
            <w:tcW w:w="10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80.13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34.82</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131.22</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56.95</w:t>
            </w:r>
          </w:p>
        </w:tc>
        <w:tc>
          <w:tcPr>
            <w:tcW w:w="10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cs="宋体"/>
                <w:i w:val="0"/>
                <w:iCs w:val="0"/>
                <w:color w:val="000000"/>
                <w:kern w:val="0"/>
                <w:sz w:val="21"/>
                <w:szCs w:val="21"/>
                <w:u w:val="none"/>
                <w:lang w:val="en-US" w:eastAsia="zh-CN" w:bidi="ar"/>
              </w:rPr>
              <w:t>222.99</w:t>
            </w:r>
          </w:p>
        </w:tc>
      </w:tr>
    </w:tbl>
    <w:p>
      <w:pPr>
        <w:bidi w:val="0"/>
        <w:rPr>
          <w:rFonts w:hint="eastAsia"/>
          <w:lang w:val="en-US" w:eastAsia="zh-CN"/>
        </w:rPr>
      </w:pPr>
    </w:p>
    <w:p>
      <w:pPr>
        <w:pStyle w:val="5"/>
        <w:numPr>
          <w:ilvl w:val="2"/>
          <w:numId w:val="0"/>
        </w:numPr>
        <w:bidi w:val="0"/>
        <w:ind w:leftChars="0"/>
        <w:rPr>
          <w:rFonts w:hint="default"/>
          <w:lang w:val="en-US" w:eastAsia="zh-CN"/>
        </w:rPr>
      </w:pPr>
      <w:bookmarkStart w:id="474" w:name="_Toc27151"/>
      <w:r>
        <w:rPr>
          <w:rFonts w:hint="eastAsia"/>
          <w:lang w:val="en-US" w:eastAsia="zh-CN"/>
        </w:rPr>
        <w:t>附表4 信息资源共享目录</w:t>
      </w:r>
      <w:bookmarkEnd w:id="474"/>
    </w:p>
    <w:tbl>
      <w:tblPr>
        <w:tblStyle w:val="2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96"/>
        <w:gridCol w:w="612"/>
        <w:gridCol w:w="612"/>
        <w:gridCol w:w="612"/>
        <w:gridCol w:w="1005"/>
        <w:gridCol w:w="612"/>
        <w:gridCol w:w="807"/>
        <w:gridCol w:w="612"/>
        <w:gridCol w:w="1596"/>
        <w:gridCol w:w="1153"/>
        <w:gridCol w:w="612"/>
        <w:gridCol w:w="612"/>
        <w:gridCol w:w="612"/>
        <w:gridCol w:w="612"/>
        <w:gridCol w:w="613"/>
        <w:gridCol w:w="613"/>
        <w:gridCol w:w="613"/>
        <w:gridCol w:w="6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blHeader/>
        </w:trPr>
        <w:tc>
          <w:tcPr>
            <w:tcW w:w="522" w:type="pct"/>
            <w:vMerge w:val="restar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信息资源名称（必填项）</w:t>
            </w:r>
          </w:p>
        </w:tc>
        <w:tc>
          <w:tcPr>
            <w:tcW w:w="468" w:type="pct"/>
            <w:gridSpan w:val="2"/>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信息资源提供方</w:t>
            </w: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资源提供方代码(必填项）</w:t>
            </w:r>
          </w:p>
        </w:tc>
        <w:tc>
          <w:tcPr>
            <w:tcW w:w="356" w:type="pct"/>
            <w:vMerge w:val="restar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信息资源摘要（必填项）</w:t>
            </w:r>
          </w:p>
        </w:tc>
        <w:tc>
          <w:tcPr>
            <w:tcW w:w="734" w:type="pct"/>
            <w:gridSpan w:val="3"/>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信息资源格式</w:t>
            </w:r>
          </w:p>
        </w:tc>
        <w:tc>
          <w:tcPr>
            <w:tcW w:w="1136" w:type="pct"/>
            <w:gridSpan w:val="3"/>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信息项信息</w:t>
            </w:r>
          </w:p>
        </w:tc>
        <w:tc>
          <w:tcPr>
            <w:tcW w:w="435" w:type="pct"/>
            <w:gridSpan w:val="2"/>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共享属性</w:t>
            </w:r>
          </w:p>
        </w:tc>
        <w:tc>
          <w:tcPr>
            <w:tcW w:w="435" w:type="pct"/>
            <w:gridSpan w:val="2"/>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共享方式</w:t>
            </w:r>
          </w:p>
        </w:tc>
        <w:tc>
          <w:tcPr>
            <w:tcW w:w="435" w:type="pct"/>
            <w:gridSpan w:val="2"/>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开放属性</w:t>
            </w:r>
          </w:p>
        </w:tc>
        <w:tc>
          <w:tcPr>
            <w:tcW w:w="217" w:type="pct"/>
            <w:vMerge w:val="restar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更新周期（必填项）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18"/>
                <w:szCs w:val="18"/>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信息资源提供方（必填项）</w:t>
            </w:r>
          </w:p>
        </w:tc>
        <w:tc>
          <w:tcPr>
            <w:tcW w:w="217" w:type="pc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提供方内部部门（选填项）</w:t>
            </w: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18"/>
                <w:szCs w:val="18"/>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18"/>
                <w:szCs w:val="18"/>
                <w:u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信息资源格式分类（必填项）</w:t>
            </w:r>
          </w:p>
        </w:tc>
        <w:tc>
          <w:tcPr>
            <w:tcW w:w="299" w:type="pc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信息资源格式类型（必填项）</w:t>
            </w:r>
          </w:p>
        </w:tc>
        <w:tc>
          <w:tcPr>
            <w:tcW w:w="217" w:type="pc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其他类型资源格式描述（选填项）</w:t>
            </w:r>
          </w:p>
        </w:tc>
        <w:tc>
          <w:tcPr>
            <w:tcW w:w="522" w:type="pc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信息项名称（必填项）</w:t>
            </w:r>
          </w:p>
        </w:tc>
        <w:tc>
          <w:tcPr>
            <w:tcW w:w="394" w:type="pc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数据类型（必填项）</w:t>
            </w:r>
          </w:p>
        </w:tc>
        <w:tc>
          <w:tcPr>
            <w:tcW w:w="218" w:type="pc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数据长度（必填项）</w:t>
            </w:r>
          </w:p>
        </w:tc>
        <w:tc>
          <w:tcPr>
            <w:tcW w:w="217" w:type="pc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共享类型（必填项）</w:t>
            </w:r>
          </w:p>
        </w:tc>
        <w:tc>
          <w:tcPr>
            <w:tcW w:w="217" w:type="pc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共享条件（必填项）</w:t>
            </w:r>
          </w:p>
        </w:tc>
        <w:tc>
          <w:tcPr>
            <w:tcW w:w="217" w:type="pc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共享方式分类（必填项）</w:t>
            </w:r>
          </w:p>
        </w:tc>
        <w:tc>
          <w:tcPr>
            <w:tcW w:w="217" w:type="pc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共享方式类型（必填项）</w:t>
            </w:r>
          </w:p>
        </w:tc>
        <w:tc>
          <w:tcPr>
            <w:tcW w:w="217" w:type="pc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是否向社会开放（必填项）</w:t>
            </w:r>
          </w:p>
        </w:tc>
        <w:tc>
          <w:tcPr>
            <w:tcW w:w="217" w:type="pct"/>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Style w:val="86"/>
                <w:rFonts w:hint="eastAsia" w:ascii="宋体" w:hAnsi="宋体" w:eastAsia="宋体" w:cs="宋体"/>
                <w:sz w:val="18"/>
                <w:szCs w:val="18"/>
                <w:lang w:val="en-US" w:eastAsia="zh-CN" w:bidi="ar"/>
              </w:rPr>
              <w:t>开放条件（选填项）</w:t>
            </w:r>
          </w:p>
        </w:tc>
        <w:tc>
          <w:tcPr>
            <w:tcW w:w="217" w:type="pct"/>
            <w:vMerge w:val="continue"/>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车辆类型</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车辆品牌</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车辆型号</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车辆年款</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日期型D</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车辆长度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数值型N</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车辆宽度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数值型N</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车辆高度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数值型N</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车牌颜色</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证件种类</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证件号码</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数值型N</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姓名</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曾用名</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绰号</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性别代码</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民族代码</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国籍代码</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籍贯省市县代码</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居住地行政代码</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肤色</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发型</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发色</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脸型</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脸部特征</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身高</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数值型N</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体型</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视频监控数据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人脸信息</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行为</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字符串型C</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水质监测站数据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指标数据</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PH值</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数值型N</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水质监测站数据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指标数据</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浊度</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数值型N</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水质监测站数据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指标数据</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溶解氧</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数值型N</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水质监测站数据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指标数据</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硫化物</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数值型N</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水质监测站数据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指标数据</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氢离子浓度</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数值型N</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水质监测站数据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指标数据</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亚硝酸盐</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数值型N</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水质监测站数据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指标数据</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总磷</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数值型N</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水质监测站数据</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丰都县公安局</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指标数据</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oracle</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总氮</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数值型N</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Style w:val="87"/>
                <w:rFonts w:hint="eastAsia" w:ascii="宋体" w:hAnsi="宋体" w:eastAsia="宋体" w:cs="宋体"/>
                <w:sz w:val="18"/>
                <w:szCs w:val="18"/>
                <w:lang w:val="en-US" w:eastAsia="zh-CN" w:bidi="ar"/>
              </w:rPr>
              <w:t>有条件共享</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部门申请</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共享平台方式</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接口</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eastAsia" w:ascii="宋体" w:hAnsi="宋体" w:eastAsia="宋体" w:cs="宋体"/>
                <w:i w:val="0"/>
                <w:iCs w:val="0"/>
                <w:color w:val="000000"/>
                <w:sz w:val="18"/>
                <w:szCs w:val="18"/>
                <w:u w:val="none"/>
              </w:rPr>
            </w:pP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实时</w:t>
            </w:r>
          </w:p>
        </w:tc>
      </w:tr>
    </w:tbl>
    <w:p>
      <w:pPr>
        <w:pStyle w:val="2"/>
        <w:rPr>
          <w:rFonts w:hint="default"/>
          <w:lang w:val="en-GB"/>
        </w:rPr>
      </w:pPr>
    </w:p>
    <w:p>
      <w:pPr>
        <w:pStyle w:val="5"/>
        <w:numPr>
          <w:ilvl w:val="2"/>
          <w:numId w:val="0"/>
        </w:numPr>
        <w:bidi w:val="0"/>
        <w:ind w:leftChars="0"/>
        <w:rPr>
          <w:rFonts w:hint="eastAsia"/>
          <w:lang w:val="en-US" w:eastAsia="zh-CN"/>
        </w:rPr>
        <w:sectPr>
          <w:pgSz w:w="16781" w:h="11849" w:orient="landscape"/>
          <w:pgMar w:top="1797" w:right="1440" w:bottom="1797" w:left="1440" w:header="850" w:footer="992" w:gutter="0"/>
          <w:pgNumType w:fmt="decimal"/>
          <w:cols w:space="0" w:num="1"/>
          <w:rtlGutter w:val="0"/>
          <w:docGrid w:type="lines" w:linePitch="397" w:charSpace="0"/>
        </w:sectPr>
      </w:pPr>
    </w:p>
    <w:p>
      <w:pPr>
        <w:pStyle w:val="5"/>
        <w:numPr>
          <w:ilvl w:val="2"/>
          <w:numId w:val="0"/>
        </w:numPr>
        <w:bidi w:val="0"/>
        <w:ind w:leftChars="0"/>
        <w:rPr>
          <w:rFonts w:hint="eastAsia"/>
          <w:lang w:val="en-US" w:eastAsia="zh-CN"/>
        </w:rPr>
      </w:pPr>
      <w:bookmarkStart w:id="475" w:name="_Toc9151"/>
      <w:r>
        <w:rPr>
          <w:rFonts w:hint="eastAsia"/>
          <w:lang w:val="en-US" w:eastAsia="zh-CN"/>
        </w:rPr>
        <w:t>附件5 交流会会议纪要</w:t>
      </w:r>
      <w:bookmarkEnd w:id="475"/>
    </w:p>
    <w:p>
      <w:pPr>
        <w:pStyle w:val="16"/>
        <w:keepNext w:val="0"/>
        <w:keepLines w:val="0"/>
        <w:pageBreakBefore w:val="0"/>
        <w:widowControl w:val="0"/>
        <w:kinsoku/>
        <w:wordWrap/>
        <w:overflowPunct/>
        <w:topLinePunct w:val="0"/>
        <w:autoSpaceDE/>
        <w:autoSpaceDN/>
        <w:bidi w:val="0"/>
        <w:adjustRightInd/>
        <w:snapToGrid w:val="0"/>
        <w:spacing w:after="0" w:line="240" w:lineRule="auto"/>
        <w:ind w:firstLine="0" w:firstLineChars="0"/>
        <w:textAlignment w:val="auto"/>
        <w:rPr>
          <w:rFonts w:hint="eastAsia"/>
          <w:lang w:val="en-US" w:eastAsia="zh-CN"/>
        </w:rPr>
        <w:sectPr>
          <w:pgSz w:w="11849" w:h="16781"/>
          <w:pgMar w:top="1440" w:right="1797" w:bottom="1440" w:left="1797" w:header="850" w:footer="992" w:gutter="0"/>
          <w:pgNumType w:fmt="decimal"/>
          <w:cols w:space="0" w:num="1"/>
          <w:rtlGutter w:val="0"/>
          <w:docGrid w:type="lines" w:linePitch="397" w:charSpace="0"/>
        </w:sectPr>
      </w:pPr>
      <w:r>
        <w:drawing>
          <wp:inline distT="0" distB="0" distL="114300" distR="114300">
            <wp:extent cx="5243195" cy="7371080"/>
            <wp:effectExtent l="0" t="0" r="14605" b="127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4"/>
                    <a:stretch>
                      <a:fillRect/>
                    </a:stretch>
                  </pic:blipFill>
                  <pic:spPr>
                    <a:xfrm>
                      <a:off x="0" y="0"/>
                      <a:ext cx="5243195" cy="7371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lang w:val="en-US" w:eastAsia="zh-CN"/>
        </w:rPr>
      </w:pPr>
      <w:r>
        <w:drawing>
          <wp:inline distT="0" distB="0" distL="114300" distR="114300">
            <wp:extent cx="5292090" cy="7477125"/>
            <wp:effectExtent l="0" t="0" r="381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5"/>
                    <a:stretch>
                      <a:fillRect/>
                    </a:stretch>
                  </pic:blipFill>
                  <pic:spPr>
                    <a:xfrm>
                      <a:off x="0" y="0"/>
                      <a:ext cx="5292090" cy="7477125"/>
                    </a:xfrm>
                    <a:prstGeom prst="rect">
                      <a:avLst/>
                    </a:prstGeom>
                    <a:noFill/>
                    <a:ln>
                      <a:noFill/>
                    </a:ln>
                  </pic:spPr>
                </pic:pic>
              </a:graphicData>
            </a:graphic>
          </wp:inline>
        </w:drawing>
      </w:r>
    </w:p>
    <w:sectPr>
      <w:pgSz w:w="11849" w:h="16781"/>
      <w:pgMar w:top="1440" w:right="1797" w:bottom="1440" w:left="1797" w:header="850" w:footer="992" w:gutter="0"/>
      <w:pgNumType w:fmt="decimal"/>
      <w:cols w:space="0" w:num="1"/>
      <w:rtlGutter w:val="0"/>
      <w:docGrid w:type="lines" w:linePitch="39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24"/>
      </w:pPr>
      <w:r>
        <w:separator/>
      </w:r>
    </w:p>
  </w:endnote>
  <w:endnote w:type="continuationSeparator" w:id="1">
    <w:p>
      <w:pPr>
        <w:spacing w:line="240" w:lineRule="auto"/>
        <w:ind w:firstLine="52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MingLiU">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baseline"/>
      <w:rPr>
        <w:rFonts w:hint="default"/>
      </w:rPr>
    </w:pPr>
    <w:r>
      <w:rPr>
        <w:rFonts w:hint="eastAsia" w:eastAsia="宋体"/>
        <w:lang w:eastAsia="zh-CN"/>
      </w:rPr>
      <w:drawing>
        <wp:inline distT="0" distB="0" distL="114300" distR="114300">
          <wp:extent cx="1496695" cy="314325"/>
          <wp:effectExtent l="0" t="0" r="8255" b="0"/>
          <wp:docPr id="37" name="图片 37" descr="f2235879117c4a90df5dd4944ea2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2235879117c4a90df5dd4944ea2c58"/>
                  <pic:cNvPicPr>
                    <a:picLocks noChangeAspect="1"/>
                  </pic:cNvPicPr>
                </pic:nvPicPr>
                <pic:blipFill>
                  <a:blip r:embed="rId1"/>
                  <a:stretch>
                    <a:fillRect/>
                  </a:stretch>
                </pic:blipFill>
                <pic:spPr>
                  <a:xfrm>
                    <a:off x="0" y="0"/>
                    <a:ext cx="1496695" cy="31432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baseline"/>
      <w:rPr>
        <w:rFonts w:hint="default"/>
      </w:rPr>
    </w:pPr>
    <w:r>
      <w:rPr>
        <w:rFonts w:hint="eastAsia" w:eastAsia="宋体"/>
        <w:lang w:eastAsia="zh-CN"/>
      </w:rPr>
      <w:drawing>
        <wp:inline distT="0" distB="0" distL="114300" distR="114300">
          <wp:extent cx="1496695" cy="314325"/>
          <wp:effectExtent l="0" t="0" r="8255" b="0"/>
          <wp:docPr id="8" name="图片 8" descr="f2235879117c4a90df5dd4944ea2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2235879117c4a90df5dd4944ea2c58"/>
                  <pic:cNvPicPr>
                    <a:picLocks noChangeAspect="1"/>
                  </pic:cNvPicPr>
                </pic:nvPicPr>
                <pic:blipFill>
                  <a:blip r:embed="rId1"/>
                  <a:stretch>
                    <a:fillRect/>
                  </a:stretch>
                </pic:blipFill>
                <pic:spPr>
                  <a:xfrm>
                    <a:off x="0" y="0"/>
                    <a:ext cx="1496695" cy="314325"/>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baseline"/>
      <w:rPr>
        <w:rFonts w:hint="default"/>
      </w:rPr>
    </w:pPr>
    <w:r>
      <w:rPr>
        <w:rFonts w:hint="eastAsia" w:eastAsia="宋体"/>
        <w:lang w:eastAsia="zh-CN"/>
      </w:rPr>
      <w:drawing>
        <wp:inline distT="0" distB="0" distL="114300" distR="114300">
          <wp:extent cx="1496695" cy="314325"/>
          <wp:effectExtent l="0" t="0" r="8255" b="0"/>
          <wp:docPr id="10" name="图片 10" descr="f2235879117c4a90df5dd4944ea2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2235879117c4a90df5dd4944ea2c58"/>
                  <pic:cNvPicPr>
                    <a:picLocks noChangeAspect="1"/>
                  </pic:cNvPicPr>
                </pic:nvPicPr>
                <pic:blipFill>
                  <a:blip r:embed="rId1"/>
                  <a:stretch>
                    <a:fillRect/>
                  </a:stretch>
                </pic:blipFill>
                <pic:spPr>
                  <a:xfrm>
                    <a:off x="0" y="0"/>
                    <a:ext cx="1496695" cy="314325"/>
                  </a:xfrm>
                  <a:prstGeom prst="rect">
                    <a:avLst/>
                  </a:prstGeom>
                </pic:spPr>
              </pic:pic>
            </a:graphicData>
          </a:graphic>
        </wp:inline>
      </w:drawing>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keepNext w:val="0"/>
                            <w:keepLines w:val="0"/>
                            <w:pageBreakBefore w:val="0"/>
                            <w:widowControl w:val="0"/>
                            <w:kinsoku/>
                            <w:wordWrap/>
                            <w:overflowPunct/>
                            <w:topLinePunct w:val="0"/>
                            <w:autoSpaceDE/>
                            <w:autoSpaceDN/>
                            <w:bidi w:val="0"/>
                            <w:adjustRightInd/>
                            <w:snapToGrid w:val="0"/>
                            <w:ind w:firstLine="0" w:firstLineChars="0"/>
                            <w:textAlignment w:val="baseline"/>
                            <w:rPr>
                              <w:rFonts w:hint="default"/>
                            </w:rPr>
                          </w:pPr>
                          <w:r>
                            <w:t xml:space="preserve">- </w:t>
                          </w:r>
                          <w:r>
                            <w:fldChar w:fldCharType="begin"/>
                          </w:r>
                          <w:r>
                            <w:instrText xml:space="preserve"> PAGE  \* MERGEFORMAT </w:instrText>
                          </w:r>
                          <w:r>
                            <w:fldChar w:fldCharType="separate"/>
                          </w:r>
                          <w:r>
                            <w:rPr>
                              <w:rFonts w:hint="default"/>
                            </w:rPr>
                            <w:t>17</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20"/>
                      <w:keepNext w:val="0"/>
                      <w:keepLines w:val="0"/>
                      <w:pageBreakBefore w:val="0"/>
                      <w:widowControl w:val="0"/>
                      <w:kinsoku/>
                      <w:wordWrap/>
                      <w:overflowPunct/>
                      <w:topLinePunct w:val="0"/>
                      <w:autoSpaceDE/>
                      <w:autoSpaceDN/>
                      <w:bidi w:val="0"/>
                      <w:adjustRightInd/>
                      <w:snapToGrid w:val="0"/>
                      <w:ind w:firstLine="0" w:firstLineChars="0"/>
                      <w:textAlignment w:val="baseline"/>
                      <w:rPr>
                        <w:rFonts w:hint="default"/>
                      </w:rPr>
                    </w:pPr>
                    <w:r>
                      <w:t xml:space="preserve">- </w:t>
                    </w:r>
                    <w:r>
                      <w:fldChar w:fldCharType="begin"/>
                    </w:r>
                    <w:r>
                      <w:instrText xml:space="preserve"> PAGE  \* MERGEFORMAT </w:instrText>
                    </w:r>
                    <w:r>
                      <w:fldChar w:fldCharType="separate"/>
                    </w:r>
                    <w:r>
                      <w:rPr>
                        <w:rFonts w:hint="default"/>
                      </w:rPr>
                      <w:t>17</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baseline"/>
      <w:rPr>
        <w:rFonts w:hint="default"/>
      </w:rPr>
    </w:pPr>
    <w:r>
      <w:rPr>
        <w:rFonts w:hint="eastAsia" w:eastAsia="宋体"/>
        <w:lang w:eastAsia="zh-CN"/>
      </w:rPr>
      <w:drawing>
        <wp:inline distT="0" distB="0" distL="114300" distR="114300">
          <wp:extent cx="1496695" cy="314325"/>
          <wp:effectExtent l="0" t="0" r="0" b="5080"/>
          <wp:docPr id="2" name="图片 2" descr="f2235879117c4a90df5dd4944ea2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235879117c4a90df5dd4944ea2c58"/>
                  <pic:cNvPicPr>
                    <a:picLocks noChangeAspect="1"/>
                  </pic:cNvPicPr>
                </pic:nvPicPr>
                <pic:blipFill>
                  <a:blip r:embed="rId1"/>
                  <a:stretch>
                    <a:fillRect/>
                  </a:stretch>
                </pic:blipFill>
                <pic:spPr>
                  <a:xfrm>
                    <a:off x="0" y="0"/>
                    <a:ext cx="1496695" cy="314325"/>
                  </a:xfrm>
                  <a:prstGeom prst="rect">
                    <a:avLst/>
                  </a:prstGeom>
                </pic:spPr>
              </pic:pic>
            </a:graphicData>
          </a:graphic>
        </wp:inline>
      </w:drawing>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keepNext w:val="0"/>
                            <w:keepLines w:val="0"/>
                            <w:pageBreakBefore w:val="0"/>
                            <w:widowControl w:val="0"/>
                            <w:kinsoku/>
                            <w:wordWrap/>
                            <w:overflowPunct/>
                            <w:topLinePunct w:val="0"/>
                            <w:autoSpaceDE/>
                            <w:autoSpaceDN/>
                            <w:bidi w:val="0"/>
                            <w:adjustRightInd/>
                            <w:snapToGrid w:val="0"/>
                            <w:ind w:firstLine="0" w:firstLineChars="0"/>
                            <w:textAlignment w:val="baseline"/>
                            <w:rPr>
                              <w:rFonts w:hint="default"/>
                            </w:rPr>
                          </w:pPr>
                          <w:r>
                            <w:t xml:space="preserve">- </w:t>
                          </w:r>
                          <w:r>
                            <w:fldChar w:fldCharType="begin"/>
                          </w:r>
                          <w:r>
                            <w:instrText xml:space="preserve"> PAGE  \* MERGEFORMAT </w:instrText>
                          </w:r>
                          <w:r>
                            <w:fldChar w:fldCharType="separate"/>
                          </w:r>
                          <w:r>
                            <w:rPr>
                              <w:rFonts w:hint="default"/>
                            </w:rPr>
                            <w:t>17</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0"/>
                      <w:keepNext w:val="0"/>
                      <w:keepLines w:val="0"/>
                      <w:pageBreakBefore w:val="0"/>
                      <w:widowControl w:val="0"/>
                      <w:kinsoku/>
                      <w:wordWrap/>
                      <w:overflowPunct/>
                      <w:topLinePunct w:val="0"/>
                      <w:autoSpaceDE/>
                      <w:autoSpaceDN/>
                      <w:bidi w:val="0"/>
                      <w:adjustRightInd/>
                      <w:snapToGrid w:val="0"/>
                      <w:ind w:firstLine="0" w:firstLineChars="0"/>
                      <w:textAlignment w:val="baseline"/>
                      <w:rPr>
                        <w:rFonts w:hint="default"/>
                      </w:rPr>
                    </w:pPr>
                    <w:r>
                      <w:t xml:space="preserve">- </w:t>
                    </w:r>
                    <w:r>
                      <w:fldChar w:fldCharType="begin"/>
                    </w:r>
                    <w:r>
                      <w:instrText xml:space="preserve"> PAGE  \* MERGEFORMAT </w:instrText>
                    </w:r>
                    <w:r>
                      <w:fldChar w:fldCharType="separate"/>
                    </w:r>
                    <w:r>
                      <w:rPr>
                        <w:rFonts w:hint="default"/>
                      </w:rPr>
                      <w:t>17</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baseline"/>
      <w:rPr>
        <w:rFonts w:hint="default"/>
      </w:rPr>
    </w:pPr>
    <w:r>
      <w:rPr>
        <w:rFonts w:hint="eastAsia" w:eastAsia="宋体"/>
        <w:lang w:eastAsia="zh-CN"/>
      </w:rPr>
      <w:drawing>
        <wp:inline distT="0" distB="0" distL="114300" distR="114300">
          <wp:extent cx="1496695" cy="314325"/>
          <wp:effectExtent l="0" t="0" r="8255" b="0"/>
          <wp:docPr id="7" name="图片 7" descr="f2235879117c4a90df5dd4944ea2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2235879117c4a90df5dd4944ea2c58"/>
                  <pic:cNvPicPr>
                    <a:picLocks noChangeAspect="1"/>
                  </pic:cNvPicPr>
                </pic:nvPicPr>
                <pic:blipFill>
                  <a:blip r:embed="rId1"/>
                  <a:stretch>
                    <a:fillRect/>
                  </a:stretch>
                </pic:blipFill>
                <pic:spPr>
                  <a:xfrm>
                    <a:off x="0" y="0"/>
                    <a:ext cx="1496695" cy="314325"/>
                  </a:xfrm>
                  <a:prstGeom prst="rect">
                    <a:avLst/>
                  </a:prstGeom>
                </pic:spPr>
              </pic:pic>
            </a:graphicData>
          </a:graphic>
        </wp:inline>
      </w:drawing>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keepNext w:val="0"/>
                            <w:keepLines w:val="0"/>
                            <w:pageBreakBefore w:val="0"/>
                            <w:widowControl w:val="0"/>
                            <w:kinsoku/>
                            <w:wordWrap/>
                            <w:overflowPunct/>
                            <w:topLinePunct w:val="0"/>
                            <w:autoSpaceDE/>
                            <w:autoSpaceDN/>
                            <w:bidi w:val="0"/>
                            <w:adjustRightInd/>
                            <w:snapToGrid w:val="0"/>
                            <w:ind w:firstLine="0" w:firstLineChars="0"/>
                            <w:textAlignment w:val="baseline"/>
                            <w:rPr>
                              <w:rFonts w:hint="default"/>
                            </w:rPr>
                          </w:pPr>
                          <w:r>
                            <w:t xml:space="preserve">- </w:t>
                          </w:r>
                          <w:r>
                            <w:fldChar w:fldCharType="begin"/>
                          </w:r>
                          <w:r>
                            <w:instrText xml:space="preserve"> PAGE  \* MERGEFORMAT </w:instrText>
                          </w:r>
                          <w:r>
                            <w:fldChar w:fldCharType="separate"/>
                          </w:r>
                          <w:r>
                            <w:rPr>
                              <w:rFonts w:hint="default"/>
                            </w:rPr>
                            <w:t>17</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20"/>
                      <w:keepNext w:val="0"/>
                      <w:keepLines w:val="0"/>
                      <w:pageBreakBefore w:val="0"/>
                      <w:widowControl w:val="0"/>
                      <w:kinsoku/>
                      <w:wordWrap/>
                      <w:overflowPunct/>
                      <w:topLinePunct w:val="0"/>
                      <w:autoSpaceDE/>
                      <w:autoSpaceDN/>
                      <w:bidi w:val="0"/>
                      <w:adjustRightInd/>
                      <w:snapToGrid w:val="0"/>
                      <w:ind w:firstLine="0" w:firstLineChars="0"/>
                      <w:textAlignment w:val="baseline"/>
                      <w:rPr>
                        <w:rFonts w:hint="default"/>
                      </w:rPr>
                    </w:pPr>
                    <w:r>
                      <w:t xml:space="preserve">- </w:t>
                    </w:r>
                    <w:r>
                      <w:fldChar w:fldCharType="begin"/>
                    </w:r>
                    <w:r>
                      <w:instrText xml:space="preserve"> PAGE  \* MERGEFORMAT </w:instrText>
                    </w:r>
                    <w:r>
                      <w:fldChar w:fldCharType="separate"/>
                    </w:r>
                    <w:r>
                      <w:rPr>
                        <w:rFonts w:hint="default"/>
                      </w:rPr>
                      <w:t>17</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24"/>
      </w:pPr>
      <w:r>
        <w:separator/>
      </w:r>
    </w:p>
  </w:footnote>
  <w:footnote w:type="continuationSeparator" w:id="1">
    <w:p>
      <w:pPr>
        <w:spacing w:line="360" w:lineRule="auto"/>
        <w:ind w:firstLine="524"/>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none" w:color="auto" w:sz="0" w:space="1"/>
        <w:left w:val="none" w:color="auto" w:sz="0" w:space="4"/>
        <w:bottom w:val="none" w:color="auto" w:sz="0" w:space="1"/>
        <w:right w:val="none" w:color="auto" w:sz="0" w:space="4"/>
      </w:pBdr>
      <w:wordWrap w:val="0"/>
      <w:textAlignment w:val="base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none" w:color="auto" w:sz="0" w:space="1"/>
        <w:left w:val="none" w:color="auto" w:sz="0" w:space="4"/>
        <w:bottom w:val="single" w:color="auto" w:sz="2" w:space="1"/>
        <w:right w:val="none" w:color="auto" w:sz="0" w:space="4"/>
      </w:pBdr>
      <w:wordWrap w:val="0"/>
      <w:textAlignment w:val="baseline"/>
    </w:pPr>
    <w:r>
      <w:rPr>
        <w:rFonts w:hint="eastAsia"/>
      </w:rPr>
      <w:t>丰都县镇街移民安置区综合应急能力提升项目</w:t>
    </w:r>
    <w:r>
      <w:rPr>
        <w:rFonts w:hint="eastAsia"/>
        <w:lang w:val="en-US" w:eastAsia="zh-CN"/>
      </w:rPr>
      <w:t>可研代</w:t>
    </w:r>
    <w:r>
      <w:rPr>
        <w:rFonts w:hint="eastAsia"/>
      </w:rPr>
      <w:t>初步设计及概算方案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604EC9"/>
    <w:multiLevelType w:val="multilevel"/>
    <w:tmpl w:val="81604EC9"/>
    <w:lvl w:ilvl="0" w:tentative="0">
      <w:start w:val="1"/>
      <w:numFmt w:val="decimal"/>
      <w:lvlText w:val="表5-%1"/>
      <w:lvlJc w:val="left"/>
      <w:pPr>
        <w:ind w:left="780" w:hanging="360"/>
      </w:pPr>
      <w:rPr>
        <w:rFonts w:hint="default" w:ascii="宋体" w:hAnsi="宋体" w:eastAsia="宋体" w:cs="宋体"/>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87E1BB14"/>
    <w:multiLevelType w:val="singleLevel"/>
    <w:tmpl w:val="87E1BB14"/>
    <w:lvl w:ilvl="0" w:tentative="0">
      <w:start w:val="1"/>
      <w:numFmt w:val="bullet"/>
      <w:lvlText w:val=""/>
      <w:lvlJc w:val="left"/>
      <w:pPr>
        <w:ind w:left="420" w:hanging="420"/>
      </w:pPr>
      <w:rPr>
        <w:rFonts w:hint="default" w:ascii="Wingdings" w:hAnsi="Wingdings"/>
      </w:rPr>
    </w:lvl>
  </w:abstractNum>
  <w:abstractNum w:abstractNumId="2">
    <w:nsid w:val="894AE4E2"/>
    <w:multiLevelType w:val="singleLevel"/>
    <w:tmpl w:val="894AE4E2"/>
    <w:lvl w:ilvl="0" w:tentative="0">
      <w:start w:val="1"/>
      <w:numFmt w:val="decimal"/>
      <w:lvlText w:val="(%1)"/>
      <w:lvlJc w:val="left"/>
      <w:pPr>
        <w:ind w:left="425" w:hanging="425"/>
      </w:pPr>
      <w:rPr>
        <w:rFonts w:hint="default"/>
      </w:rPr>
    </w:lvl>
  </w:abstractNum>
  <w:abstractNum w:abstractNumId="3">
    <w:nsid w:val="89D9FF17"/>
    <w:multiLevelType w:val="singleLevel"/>
    <w:tmpl w:val="89D9FF17"/>
    <w:lvl w:ilvl="0" w:tentative="0">
      <w:start w:val="1"/>
      <w:numFmt w:val="decimal"/>
      <w:lvlText w:val="(%1)"/>
      <w:lvlJc w:val="left"/>
      <w:pPr>
        <w:tabs>
          <w:tab w:val="left" w:pos="0"/>
        </w:tabs>
        <w:ind w:left="0" w:firstLine="1134"/>
      </w:pPr>
      <w:rPr>
        <w:rFonts w:hint="default"/>
      </w:rPr>
    </w:lvl>
  </w:abstractNum>
  <w:abstractNum w:abstractNumId="4">
    <w:nsid w:val="8FC04441"/>
    <w:multiLevelType w:val="singleLevel"/>
    <w:tmpl w:val="8FC04441"/>
    <w:lvl w:ilvl="0" w:tentative="0">
      <w:start w:val="1"/>
      <w:numFmt w:val="decimal"/>
      <w:suff w:val="nothing"/>
      <w:lvlText w:val="图3-%1  "/>
      <w:lvlJc w:val="left"/>
      <w:pPr>
        <w:tabs>
          <w:tab w:val="left" w:pos="0"/>
        </w:tabs>
        <w:ind w:left="0" w:firstLine="0"/>
      </w:pPr>
      <w:rPr>
        <w:rFonts w:hint="default" w:ascii="宋体" w:hAnsi="宋体" w:eastAsia="宋体" w:cs="宋体"/>
      </w:rPr>
    </w:lvl>
  </w:abstractNum>
  <w:abstractNum w:abstractNumId="5">
    <w:nsid w:val="9D41BFC7"/>
    <w:multiLevelType w:val="multilevel"/>
    <w:tmpl w:val="9D41BFC7"/>
    <w:lvl w:ilvl="0" w:tentative="0">
      <w:start w:val="1"/>
      <w:numFmt w:val="chineseCounting"/>
      <w:pStyle w:val="4"/>
      <w:suff w:val="space"/>
      <w:lvlText w:val="第%1章"/>
      <w:lvlJc w:val="left"/>
      <w:pPr>
        <w:tabs>
          <w:tab w:val="left" w:pos="0"/>
        </w:tabs>
        <w:ind w:left="0" w:firstLine="0"/>
      </w:pPr>
      <w:rPr>
        <w:rFonts w:hint="eastAsia" w:ascii="Arial" w:hAnsi="Arial" w:eastAsia="黑体"/>
        <w:b/>
        <w:sz w:val="44"/>
      </w:rPr>
    </w:lvl>
    <w:lvl w:ilvl="1" w:tentative="0">
      <w:start w:val="1"/>
      <w:numFmt w:val="decimal"/>
      <w:pStyle w:val="5"/>
      <w:isLgl/>
      <w:suff w:val="space"/>
      <w:lvlText w:val="%1.%2"/>
      <w:lvlJc w:val="left"/>
      <w:pPr>
        <w:tabs>
          <w:tab w:val="left" w:pos="0"/>
        </w:tabs>
        <w:ind w:left="0" w:firstLine="0"/>
      </w:pPr>
      <w:rPr>
        <w:rFonts w:hint="eastAsia" w:ascii="Arial" w:hAnsi="Arial" w:eastAsia="黑体" w:cs="宋体"/>
        <w:b/>
        <w:sz w:val="36"/>
      </w:rPr>
    </w:lvl>
    <w:lvl w:ilvl="2" w:tentative="0">
      <w:start w:val="1"/>
      <w:numFmt w:val="decimal"/>
      <w:pStyle w:val="6"/>
      <w:isLgl/>
      <w:suff w:val="space"/>
      <w:lvlText w:val="%1.%2.%3"/>
      <w:lvlJc w:val="left"/>
      <w:pPr>
        <w:tabs>
          <w:tab w:val="left" w:pos="0"/>
        </w:tabs>
        <w:ind w:left="0" w:firstLine="0"/>
      </w:pPr>
      <w:rPr>
        <w:rFonts w:hint="eastAsia" w:ascii="Arial" w:hAnsi="Arial" w:eastAsia="黑体" w:cs="宋体"/>
        <w:b/>
        <w:sz w:val="32"/>
        <w:szCs w:val="30"/>
      </w:rPr>
    </w:lvl>
    <w:lvl w:ilvl="3" w:tentative="0">
      <w:start w:val="1"/>
      <w:numFmt w:val="decimal"/>
      <w:pStyle w:val="7"/>
      <w:isLgl/>
      <w:suff w:val="space"/>
      <w:lvlText w:val="%1.%2.%3.%4"/>
      <w:lvlJc w:val="left"/>
      <w:pPr>
        <w:tabs>
          <w:tab w:val="left" w:pos="575"/>
        </w:tabs>
        <w:ind w:left="0" w:firstLine="0"/>
      </w:pPr>
      <w:rPr>
        <w:rFonts w:hint="eastAsia" w:ascii="Arial" w:hAnsi="Arial" w:eastAsia="黑体" w:cs="宋体"/>
        <w:b/>
        <w:sz w:val="28"/>
      </w:rPr>
    </w:lvl>
    <w:lvl w:ilvl="4" w:tentative="0">
      <w:start w:val="1"/>
      <w:numFmt w:val="decimal"/>
      <w:pStyle w:val="8"/>
      <w:isLgl/>
      <w:suff w:val="space"/>
      <w:lvlText w:val="%1.%2.%3.%4.%5"/>
      <w:lvlJc w:val="left"/>
      <w:pPr>
        <w:tabs>
          <w:tab w:val="left" w:pos="1282"/>
        </w:tabs>
        <w:ind w:left="0" w:firstLine="0"/>
      </w:pPr>
      <w:rPr>
        <w:rFonts w:hint="default" w:ascii="Arial" w:hAnsi="Arial" w:eastAsia="黑体" w:cs="宋体"/>
        <w:b/>
        <w:i w:val="0"/>
        <w:sz w:val="28"/>
        <w:szCs w:val="28"/>
      </w:rPr>
    </w:lvl>
    <w:lvl w:ilvl="5" w:tentative="0">
      <w:start w:val="1"/>
      <w:numFmt w:val="decimal"/>
      <w:pStyle w:val="9"/>
      <w:isLgl/>
      <w:suff w:val="space"/>
      <w:lvlText w:val="%1.%2.%3.%4.%5.%6."/>
      <w:lvlJc w:val="left"/>
      <w:pPr>
        <w:tabs>
          <w:tab w:val="left" w:pos="2416"/>
        </w:tabs>
        <w:ind w:left="3135" w:hanging="1151"/>
      </w:pPr>
      <w:rPr>
        <w:rFonts w:hint="eastAsia" w:ascii="宋体" w:hAnsi="宋体" w:eastAsia="宋体" w:cs="宋体"/>
      </w:rPr>
    </w:lvl>
    <w:lvl w:ilvl="6" w:tentative="0">
      <w:start w:val="1"/>
      <w:numFmt w:val="decimal"/>
      <w:pStyle w:val="10"/>
      <w:isLgl/>
      <w:suff w:val="space"/>
      <w:lvlText w:val="%1.%2.%3.%4.%5.%6.%7."/>
      <w:lvlJc w:val="left"/>
      <w:pPr>
        <w:tabs>
          <w:tab w:val="left" w:pos="1296"/>
        </w:tabs>
        <w:ind w:left="1296" w:hanging="1296"/>
      </w:pPr>
      <w:rPr>
        <w:rFonts w:hint="eastAsia" w:ascii="宋体" w:hAnsi="宋体" w:eastAsia="宋体" w:cs="宋体"/>
      </w:rPr>
    </w:lvl>
    <w:lvl w:ilvl="7" w:tentative="0">
      <w:start w:val="1"/>
      <w:numFmt w:val="decimal"/>
      <w:pStyle w:val="11"/>
      <w:isLgl/>
      <w:lvlText w:val="%1.%2.%3.%4.%5.%6.%7.%8."/>
      <w:lvlJc w:val="left"/>
      <w:pPr>
        <w:tabs>
          <w:tab w:val="left" w:pos="1440"/>
        </w:tabs>
        <w:ind w:left="1440" w:hanging="1440"/>
      </w:pPr>
      <w:rPr>
        <w:rFonts w:hint="eastAsia" w:ascii="宋体" w:hAnsi="宋体" w:eastAsia="宋体" w:cs="宋体"/>
      </w:rPr>
    </w:lvl>
    <w:lvl w:ilvl="8" w:tentative="0">
      <w:start w:val="1"/>
      <w:numFmt w:val="decimal"/>
      <w:pStyle w:val="12"/>
      <w:isLgl/>
      <w:lvlText w:val="%1.%2.%3.%4.%5.%6.%7.%8.%9."/>
      <w:lvlJc w:val="left"/>
      <w:pPr>
        <w:tabs>
          <w:tab w:val="left" w:pos="1583"/>
        </w:tabs>
        <w:ind w:left="1583" w:hanging="1583"/>
      </w:pPr>
      <w:rPr>
        <w:rFonts w:hint="eastAsia" w:ascii="宋体" w:hAnsi="宋体" w:eastAsia="宋体" w:cs="宋体"/>
      </w:rPr>
    </w:lvl>
  </w:abstractNum>
  <w:abstractNum w:abstractNumId="6">
    <w:nsid w:val="9FC43B68"/>
    <w:multiLevelType w:val="multilevel"/>
    <w:tmpl w:val="9FC43B68"/>
    <w:lvl w:ilvl="0" w:tentative="0">
      <w:start w:val="1"/>
      <w:numFmt w:val="bullet"/>
      <w:lvlText w:val=""/>
      <w:lvlJc w:val="left"/>
      <w:pPr>
        <w:ind w:left="0" w:hanging="420"/>
      </w:pPr>
      <w:rPr>
        <w:rFonts w:hint="default" w:ascii="Wingdings" w:hAnsi="Wingdings" w:cs="Wingdings"/>
      </w:rPr>
    </w:lvl>
    <w:lvl w:ilvl="1" w:tentative="0">
      <w:start w:val="1"/>
      <w:numFmt w:val="bullet"/>
      <w:lvlText w:val=""/>
      <w:lvlJc w:val="left"/>
      <w:pPr>
        <w:ind w:left="420" w:hanging="420"/>
      </w:pPr>
      <w:rPr>
        <w:rFonts w:hint="default" w:ascii="Wingdings" w:hAnsi="Wingdings" w:cs="Wingdings"/>
      </w:rPr>
    </w:lvl>
    <w:lvl w:ilvl="2" w:tentative="0">
      <w:start w:val="1"/>
      <w:numFmt w:val="bullet"/>
      <w:lvlText w:val=""/>
      <w:lvlJc w:val="left"/>
      <w:pPr>
        <w:ind w:left="840" w:hanging="420"/>
      </w:pPr>
      <w:rPr>
        <w:rFonts w:hint="default" w:ascii="Wingdings" w:hAnsi="Wingdings" w:cs="Wingdings"/>
      </w:rPr>
    </w:lvl>
    <w:lvl w:ilvl="3" w:tentative="0">
      <w:start w:val="1"/>
      <w:numFmt w:val="bullet"/>
      <w:lvlText w:val=""/>
      <w:lvlJc w:val="left"/>
      <w:pPr>
        <w:ind w:left="1260" w:hanging="420"/>
      </w:pPr>
      <w:rPr>
        <w:rFonts w:hint="default" w:ascii="Wingdings" w:hAnsi="Wingdings" w:cs="Wingdings"/>
      </w:rPr>
    </w:lvl>
    <w:lvl w:ilvl="4" w:tentative="0">
      <w:start w:val="1"/>
      <w:numFmt w:val="bullet"/>
      <w:lvlText w:val=""/>
      <w:lvlJc w:val="left"/>
      <w:pPr>
        <w:ind w:left="1680" w:hanging="420"/>
      </w:pPr>
      <w:rPr>
        <w:rFonts w:hint="default" w:ascii="Wingdings" w:hAnsi="Wingdings" w:cs="Wingdings"/>
      </w:rPr>
    </w:lvl>
    <w:lvl w:ilvl="5" w:tentative="0">
      <w:start w:val="1"/>
      <w:numFmt w:val="bullet"/>
      <w:lvlText w:val=""/>
      <w:lvlJc w:val="left"/>
      <w:pPr>
        <w:ind w:left="2100" w:hanging="420"/>
      </w:pPr>
      <w:rPr>
        <w:rFonts w:hint="default" w:ascii="Wingdings" w:hAnsi="Wingdings" w:cs="Wingdings"/>
      </w:rPr>
    </w:lvl>
    <w:lvl w:ilvl="6" w:tentative="0">
      <w:start w:val="1"/>
      <w:numFmt w:val="bullet"/>
      <w:lvlText w:val=""/>
      <w:lvlJc w:val="left"/>
      <w:pPr>
        <w:ind w:left="2520" w:hanging="420"/>
      </w:pPr>
      <w:rPr>
        <w:rFonts w:hint="default" w:ascii="Wingdings" w:hAnsi="Wingdings" w:cs="Wingdings"/>
      </w:rPr>
    </w:lvl>
    <w:lvl w:ilvl="7" w:tentative="0">
      <w:start w:val="1"/>
      <w:numFmt w:val="bullet"/>
      <w:lvlText w:val=""/>
      <w:lvlJc w:val="left"/>
      <w:pPr>
        <w:ind w:left="2940" w:hanging="420"/>
      </w:pPr>
      <w:rPr>
        <w:rFonts w:hint="default" w:ascii="Wingdings" w:hAnsi="Wingdings" w:cs="Wingdings"/>
      </w:rPr>
    </w:lvl>
    <w:lvl w:ilvl="8" w:tentative="0">
      <w:start w:val="1"/>
      <w:numFmt w:val="bullet"/>
      <w:lvlText w:val=""/>
      <w:lvlJc w:val="left"/>
      <w:pPr>
        <w:ind w:left="3360" w:hanging="420"/>
      </w:pPr>
      <w:rPr>
        <w:rFonts w:hint="default" w:ascii="Wingdings" w:hAnsi="Wingdings" w:cs="Wingdings"/>
      </w:rPr>
    </w:lvl>
  </w:abstractNum>
  <w:abstractNum w:abstractNumId="7">
    <w:nsid w:val="B8E2A222"/>
    <w:multiLevelType w:val="singleLevel"/>
    <w:tmpl w:val="B8E2A222"/>
    <w:lvl w:ilvl="0" w:tentative="0">
      <w:start w:val="1"/>
      <w:numFmt w:val="decimal"/>
      <w:lvlText w:val="(%1)"/>
      <w:lvlJc w:val="left"/>
      <w:pPr>
        <w:ind w:left="425" w:hanging="425"/>
      </w:pPr>
      <w:rPr>
        <w:rFonts w:hint="default"/>
      </w:rPr>
    </w:lvl>
  </w:abstractNum>
  <w:abstractNum w:abstractNumId="8">
    <w:nsid w:val="B952574F"/>
    <w:multiLevelType w:val="multilevel"/>
    <w:tmpl w:val="B952574F"/>
    <w:lvl w:ilvl="0" w:tentative="0">
      <w:start w:val="1"/>
      <w:numFmt w:val="decimal"/>
      <w:pStyle w:val="40"/>
      <w:lvlText w:val="表3.%1 "/>
      <w:lvlJc w:val="left"/>
      <w:pPr>
        <w:tabs>
          <w:tab w:val="left" w:pos="420"/>
        </w:tabs>
        <w:ind w:left="420" w:hanging="420"/>
      </w:pPr>
      <w:rPr>
        <w:rFonts w:hint="default" w:ascii="宋体" w:hAnsi="宋体" w:eastAsia="宋体" w:cs="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BB89B634"/>
    <w:multiLevelType w:val="singleLevel"/>
    <w:tmpl w:val="BB89B634"/>
    <w:lvl w:ilvl="0" w:tentative="0">
      <w:start w:val="1"/>
      <w:numFmt w:val="decimal"/>
      <w:suff w:val="nothing"/>
      <w:lvlText w:val="%1、"/>
      <w:lvlJc w:val="left"/>
    </w:lvl>
  </w:abstractNum>
  <w:abstractNum w:abstractNumId="10">
    <w:nsid w:val="C543B199"/>
    <w:multiLevelType w:val="singleLevel"/>
    <w:tmpl w:val="C543B199"/>
    <w:lvl w:ilvl="0" w:tentative="0">
      <w:start w:val="1"/>
      <w:numFmt w:val="decimal"/>
      <w:lvlText w:val="(%1)"/>
      <w:lvlJc w:val="left"/>
      <w:pPr>
        <w:ind w:left="425" w:hanging="425"/>
      </w:pPr>
      <w:rPr>
        <w:rFonts w:hint="default"/>
      </w:rPr>
    </w:lvl>
  </w:abstractNum>
  <w:abstractNum w:abstractNumId="11">
    <w:nsid w:val="CD3ABD49"/>
    <w:multiLevelType w:val="singleLevel"/>
    <w:tmpl w:val="CD3ABD49"/>
    <w:lvl w:ilvl="0" w:tentative="0">
      <w:start w:val="1"/>
      <w:numFmt w:val="decimal"/>
      <w:lvlText w:val="(%1)"/>
      <w:lvlJc w:val="left"/>
      <w:pPr>
        <w:ind w:left="425" w:hanging="425"/>
      </w:pPr>
      <w:rPr>
        <w:rFonts w:hint="default"/>
      </w:rPr>
    </w:lvl>
  </w:abstractNum>
  <w:abstractNum w:abstractNumId="12">
    <w:nsid w:val="D245FB49"/>
    <w:multiLevelType w:val="singleLevel"/>
    <w:tmpl w:val="D245FB49"/>
    <w:lvl w:ilvl="0" w:tentative="0">
      <w:start w:val="1"/>
      <w:numFmt w:val="decimal"/>
      <w:lvlText w:val="(%1)"/>
      <w:lvlJc w:val="left"/>
      <w:pPr>
        <w:tabs>
          <w:tab w:val="left" w:pos="312"/>
        </w:tabs>
      </w:pPr>
    </w:lvl>
  </w:abstractNum>
  <w:abstractNum w:abstractNumId="13">
    <w:nsid w:val="D74E9E23"/>
    <w:multiLevelType w:val="singleLevel"/>
    <w:tmpl w:val="D74E9E23"/>
    <w:lvl w:ilvl="0" w:tentative="0">
      <w:start w:val="1"/>
      <w:numFmt w:val="decimal"/>
      <w:suff w:val="nothing"/>
      <w:lvlText w:val="%1、"/>
      <w:lvlJc w:val="left"/>
    </w:lvl>
  </w:abstractNum>
  <w:abstractNum w:abstractNumId="14">
    <w:nsid w:val="DCBE89C4"/>
    <w:multiLevelType w:val="multilevel"/>
    <w:tmpl w:val="DCBE89C4"/>
    <w:lvl w:ilvl="0" w:tentative="0">
      <w:start w:val="1"/>
      <w:numFmt w:val="decimal"/>
      <w:lvlText w:val="%1)"/>
      <w:lvlJc w:val="left"/>
      <w:pPr>
        <w:ind w:left="90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DD2071C8"/>
    <w:multiLevelType w:val="singleLevel"/>
    <w:tmpl w:val="DD2071C8"/>
    <w:lvl w:ilvl="0" w:tentative="0">
      <w:start w:val="1"/>
      <w:numFmt w:val="decimal"/>
      <w:lvlText w:val="(%1)"/>
      <w:lvlJc w:val="left"/>
      <w:pPr>
        <w:ind w:left="425" w:hanging="425"/>
      </w:pPr>
      <w:rPr>
        <w:rFonts w:hint="default"/>
      </w:rPr>
    </w:lvl>
  </w:abstractNum>
  <w:abstractNum w:abstractNumId="16">
    <w:nsid w:val="E2047A1D"/>
    <w:multiLevelType w:val="singleLevel"/>
    <w:tmpl w:val="E2047A1D"/>
    <w:lvl w:ilvl="0" w:tentative="0">
      <w:start w:val="1"/>
      <w:numFmt w:val="decimal"/>
      <w:lvlText w:val="(%1)"/>
      <w:lvlJc w:val="left"/>
      <w:pPr>
        <w:tabs>
          <w:tab w:val="left" w:pos="0"/>
        </w:tabs>
        <w:ind w:left="0" w:firstLine="0"/>
      </w:pPr>
      <w:rPr>
        <w:rFonts w:hint="default"/>
      </w:rPr>
    </w:lvl>
  </w:abstractNum>
  <w:abstractNum w:abstractNumId="17">
    <w:nsid w:val="E46DAF83"/>
    <w:multiLevelType w:val="singleLevel"/>
    <w:tmpl w:val="E46DAF83"/>
    <w:lvl w:ilvl="0" w:tentative="0">
      <w:start w:val="1"/>
      <w:numFmt w:val="decimal"/>
      <w:lvlText w:val="(%1)"/>
      <w:lvlJc w:val="left"/>
      <w:pPr>
        <w:ind w:left="425" w:hanging="425"/>
      </w:pPr>
      <w:rPr>
        <w:rFonts w:hint="default"/>
      </w:rPr>
    </w:lvl>
  </w:abstractNum>
  <w:abstractNum w:abstractNumId="18">
    <w:nsid w:val="E7E93B60"/>
    <w:multiLevelType w:val="singleLevel"/>
    <w:tmpl w:val="E7E93B60"/>
    <w:lvl w:ilvl="0" w:tentative="0">
      <w:start w:val="1"/>
      <w:numFmt w:val="decimal"/>
      <w:pStyle w:val="48"/>
      <w:suff w:val="nothing"/>
      <w:lvlText w:val="表9.%1 "/>
      <w:lvlJc w:val="left"/>
      <w:pPr>
        <w:tabs>
          <w:tab w:val="left" w:pos="0"/>
        </w:tabs>
        <w:ind w:left="0" w:firstLine="0"/>
      </w:pPr>
      <w:rPr>
        <w:rFonts w:hint="default" w:ascii="宋体" w:hAnsi="宋体" w:eastAsia="宋体" w:cs="宋体"/>
        <w:sz w:val="21"/>
        <w:szCs w:val="21"/>
      </w:rPr>
    </w:lvl>
  </w:abstractNum>
  <w:abstractNum w:abstractNumId="19">
    <w:nsid w:val="E8E87CE0"/>
    <w:multiLevelType w:val="singleLevel"/>
    <w:tmpl w:val="E8E87CE0"/>
    <w:lvl w:ilvl="0" w:tentative="0">
      <w:start w:val="1"/>
      <w:numFmt w:val="decimal"/>
      <w:lvlText w:val="(%1)"/>
      <w:lvlJc w:val="left"/>
      <w:pPr>
        <w:tabs>
          <w:tab w:val="left" w:pos="312"/>
        </w:tabs>
      </w:pPr>
    </w:lvl>
  </w:abstractNum>
  <w:abstractNum w:abstractNumId="20">
    <w:nsid w:val="F1976AFE"/>
    <w:multiLevelType w:val="singleLevel"/>
    <w:tmpl w:val="F1976AFE"/>
    <w:lvl w:ilvl="0" w:tentative="0">
      <w:start w:val="1"/>
      <w:numFmt w:val="decimal"/>
      <w:pStyle w:val="41"/>
      <w:suff w:val="nothing"/>
      <w:lvlText w:val="图3-%1  "/>
      <w:lvlJc w:val="left"/>
      <w:pPr>
        <w:tabs>
          <w:tab w:val="left" w:pos="0"/>
        </w:tabs>
        <w:ind w:left="0" w:firstLine="0"/>
      </w:pPr>
      <w:rPr>
        <w:rFonts w:hint="default" w:ascii="宋体" w:hAnsi="宋体" w:eastAsia="宋体" w:cs="宋体"/>
      </w:rPr>
    </w:lvl>
  </w:abstractNum>
  <w:abstractNum w:abstractNumId="21">
    <w:nsid w:val="F29A455E"/>
    <w:multiLevelType w:val="singleLevel"/>
    <w:tmpl w:val="F29A455E"/>
    <w:lvl w:ilvl="0" w:tentative="0">
      <w:start w:val="1"/>
      <w:numFmt w:val="decimal"/>
      <w:pStyle w:val="42"/>
      <w:suff w:val="nothing"/>
      <w:lvlText w:val="图4-%1  "/>
      <w:lvlJc w:val="left"/>
      <w:pPr>
        <w:tabs>
          <w:tab w:val="left" w:pos="0"/>
        </w:tabs>
        <w:ind w:left="0" w:firstLine="0"/>
      </w:pPr>
      <w:rPr>
        <w:rFonts w:hint="default" w:ascii="宋体" w:hAnsi="宋体" w:eastAsia="宋体" w:cs="宋体"/>
      </w:rPr>
    </w:lvl>
  </w:abstractNum>
  <w:abstractNum w:abstractNumId="22">
    <w:nsid w:val="F30A007E"/>
    <w:multiLevelType w:val="singleLevel"/>
    <w:tmpl w:val="F30A007E"/>
    <w:lvl w:ilvl="0" w:tentative="0">
      <w:start w:val="1"/>
      <w:numFmt w:val="decimal"/>
      <w:lvlText w:val="(%1)"/>
      <w:lvlJc w:val="left"/>
      <w:pPr>
        <w:ind w:left="425" w:hanging="425"/>
      </w:pPr>
      <w:rPr>
        <w:rFonts w:hint="default"/>
      </w:rPr>
    </w:lvl>
  </w:abstractNum>
  <w:abstractNum w:abstractNumId="23">
    <w:nsid w:val="F49B0430"/>
    <w:multiLevelType w:val="multilevel"/>
    <w:tmpl w:val="F49B0430"/>
    <w:lvl w:ilvl="0" w:tentative="0">
      <w:start w:val="1"/>
      <w:numFmt w:val="decimal"/>
      <w:pStyle w:val="36"/>
      <w:lvlText w:val="表5.%1 "/>
      <w:lvlJc w:val="left"/>
      <w:pPr>
        <w:tabs>
          <w:tab w:val="left" w:pos="420"/>
        </w:tabs>
        <w:ind w:left="420" w:hanging="420"/>
      </w:pPr>
      <w:rPr>
        <w:rFonts w:hint="default" w:ascii="宋体" w:hAnsi="宋体" w:eastAsia="宋体" w:cs="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F512D290"/>
    <w:multiLevelType w:val="multilevel"/>
    <w:tmpl w:val="F512D290"/>
    <w:lvl w:ilvl="0" w:tentative="0">
      <w:start w:val="1"/>
      <w:numFmt w:val="decimal"/>
      <w:lvlText w:val="%1)"/>
      <w:lvlJc w:val="left"/>
      <w:pPr>
        <w:ind w:left="90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00000029"/>
    <w:multiLevelType w:val="multilevel"/>
    <w:tmpl w:val="00000029"/>
    <w:lvl w:ilvl="0" w:tentative="0">
      <w:start w:val="1"/>
      <w:numFmt w:val="decimal"/>
      <w:lvlText w:val="(%1)"/>
      <w:lvlJc w:val="left"/>
      <w:pPr>
        <w:tabs>
          <w:tab w:val="left" w:pos="425"/>
        </w:tabs>
        <w:ind w:left="0" w:firstLine="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08C93B1E"/>
    <w:multiLevelType w:val="multilevel"/>
    <w:tmpl w:val="08C93B1E"/>
    <w:lvl w:ilvl="0" w:tentative="0">
      <w:start w:val="1"/>
      <w:numFmt w:val="decimal"/>
      <w:pStyle w:val="80"/>
      <w:suff w:val="nothing"/>
      <w:lvlText w:val="（%1）"/>
      <w:lvlJc w:val="left"/>
      <w:pPr>
        <w:ind w:left="210" w:hanging="420"/>
      </w:pPr>
      <w:rPr>
        <w:rFonts w:hint="default"/>
        <w:lang w:val="en-US"/>
      </w:rPr>
    </w:lvl>
    <w:lvl w:ilvl="1" w:tentative="0">
      <w:start w:val="1"/>
      <w:numFmt w:val="lowerLetter"/>
      <w:lvlText w:val="%2)"/>
      <w:lvlJc w:val="left"/>
      <w:pPr>
        <w:tabs>
          <w:tab w:val="left" w:pos="-222"/>
        </w:tabs>
        <w:ind w:left="-222" w:hanging="420"/>
      </w:pPr>
      <w:rPr>
        <w:rFonts w:hint="eastAsia"/>
      </w:rPr>
    </w:lvl>
    <w:lvl w:ilvl="2" w:tentative="0">
      <w:start w:val="1"/>
      <w:numFmt w:val="lowerRoman"/>
      <w:lvlText w:val="%3."/>
      <w:lvlJc w:val="right"/>
      <w:pPr>
        <w:tabs>
          <w:tab w:val="left" w:pos="198"/>
        </w:tabs>
        <w:ind w:left="198" w:hanging="420"/>
      </w:pPr>
      <w:rPr>
        <w:rFonts w:hint="eastAsia"/>
      </w:rPr>
    </w:lvl>
    <w:lvl w:ilvl="3" w:tentative="0">
      <w:start w:val="1"/>
      <w:numFmt w:val="decimal"/>
      <w:lvlText w:val="%4."/>
      <w:lvlJc w:val="left"/>
      <w:pPr>
        <w:tabs>
          <w:tab w:val="left" w:pos="618"/>
        </w:tabs>
        <w:ind w:left="618" w:hanging="420"/>
      </w:pPr>
      <w:rPr>
        <w:rFonts w:hint="eastAsia"/>
      </w:rPr>
    </w:lvl>
    <w:lvl w:ilvl="4" w:tentative="0">
      <w:start w:val="1"/>
      <w:numFmt w:val="lowerLetter"/>
      <w:lvlText w:val="%5)"/>
      <w:lvlJc w:val="left"/>
      <w:pPr>
        <w:tabs>
          <w:tab w:val="left" w:pos="1038"/>
        </w:tabs>
        <w:ind w:left="1038" w:hanging="420"/>
      </w:pPr>
      <w:rPr>
        <w:rFonts w:hint="eastAsia"/>
      </w:rPr>
    </w:lvl>
    <w:lvl w:ilvl="5" w:tentative="0">
      <w:start w:val="1"/>
      <w:numFmt w:val="lowerRoman"/>
      <w:lvlText w:val="%6."/>
      <w:lvlJc w:val="right"/>
      <w:pPr>
        <w:tabs>
          <w:tab w:val="left" w:pos="1458"/>
        </w:tabs>
        <w:ind w:left="1458" w:hanging="420"/>
      </w:pPr>
      <w:rPr>
        <w:rFonts w:hint="eastAsia"/>
      </w:rPr>
    </w:lvl>
    <w:lvl w:ilvl="6" w:tentative="0">
      <w:start w:val="1"/>
      <w:numFmt w:val="decimal"/>
      <w:lvlText w:val="%7."/>
      <w:lvlJc w:val="left"/>
      <w:pPr>
        <w:tabs>
          <w:tab w:val="left" w:pos="1878"/>
        </w:tabs>
        <w:ind w:left="1878" w:hanging="420"/>
      </w:pPr>
      <w:rPr>
        <w:rFonts w:hint="eastAsia"/>
      </w:rPr>
    </w:lvl>
    <w:lvl w:ilvl="7" w:tentative="0">
      <w:start w:val="1"/>
      <w:numFmt w:val="lowerLetter"/>
      <w:lvlText w:val="%8)"/>
      <w:lvlJc w:val="left"/>
      <w:pPr>
        <w:tabs>
          <w:tab w:val="left" w:pos="2298"/>
        </w:tabs>
        <w:ind w:left="2298" w:hanging="420"/>
      </w:pPr>
      <w:rPr>
        <w:rFonts w:hint="eastAsia"/>
      </w:rPr>
    </w:lvl>
    <w:lvl w:ilvl="8" w:tentative="0">
      <w:start w:val="1"/>
      <w:numFmt w:val="lowerRoman"/>
      <w:lvlText w:val="%9."/>
      <w:lvlJc w:val="right"/>
      <w:pPr>
        <w:tabs>
          <w:tab w:val="left" w:pos="2718"/>
        </w:tabs>
        <w:ind w:left="2718" w:hanging="420"/>
      </w:pPr>
      <w:rPr>
        <w:rFonts w:hint="eastAsia"/>
      </w:rPr>
    </w:lvl>
  </w:abstractNum>
  <w:abstractNum w:abstractNumId="27">
    <w:nsid w:val="0C9A993C"/>
    <w:multiLevelType w:val="singleLevel"/>
    <w:tmpl w:val="0C9A993C"/>
    <w:lvl w:ilvl="0" w:tentative="0">
      <w:start w:val="1"/>
      <w:numFmt w:val="decimal"/>
      <w:pStyle w:val="49"/>
      <w:suff w:val="nothing"/>
      <w:lvlText w:val="图2-%1  "/>
      <w:lvlJc w:val="left"/>
      <w:pPr>
        <w:tabs>
          <w:tab w:val="left" w:pos="0"/>
        </w:tabs>
        <w:ind w:left="0" w:firstLine="0"/>
      </w:pPr>
      <w:rPr>
        <w:rFonts w:hint="default" w:ascii="宋体" w:hAnsi="宋体" w:eastAsia="宋体" w:cs="宋体"/>
      </w:rPr>
    </w:lvl>
  </w:abstractNum>
  <w:abstractNum w:abstractNumId="28">
    <w:nsid w:val="115A6EB3"/>
    <w:multiLevelType w:val="multilevel"/>
    <w:tmpl w:val="115A6EB3"/>
    <w:lvl w:ilvl="0" w:tentative="0">
      <w:start w:val="1"/>
      <w:numFmt w:val="bullet"/>
      <w:lvlText w:val=""/>
      <w:lvlJc w:val="left"/>
      <w:pPr>
        <w:tabs>
          <w:tab w:val="left" w:pos="113"/>
        </w:tabs>
        <w:ind w:left="0" w:firstLine="4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11BF37EE"/>
    <w:multiLevelType w:val="singleLevel"/>
    <w:tmpl w:val="11BF37EE"/>
    <w:lvl w:ilvl="0" w:tentative="0">
      <w:start w:val="1"/>
      <w:numFmt w:val="decimal"/>
      <w:lvlText w:val="(%1)"/>
      <w:lvlJc w:val="left"/>
      <w:pPr>
        <w:ind w:left="425" w:hanging="425"/>
      </w:pPr>
      <w:rPr>
        <w:rFonts w:hint="default"/>
      </w:rPr>
    </w:lvl>
  </w:abstractNum>
  <w:abstractNum w:abstractNumId="30">
    <w:nsid w:val="13B91FDD"/>
    <w:multiLevelType w:val="singleLevel"/>
    <w:tmpl w:val="13B91FDD"/>
    <w:lvl w:ilvl="0" w:tentative="0">
      <w:start w:val="1"/>
      <w:numFmt w:val="decimal"/>
      <w:lvlText w:val="(%1)"/>
      <w:lvlJc w:val="left"/>
      <w:pPr>
        <w:tabs>
          <w:tab w:val="left" w:pos="312"/>
        </w:tabs>
      </w:pPr>
    </w:lvl>
  </w:abstractNum>
  <w:abstractNum w:abstractNumId="31">
    <w:nsid w:val="1D3C01A1"/>
    <w:multiLevelType w:val="singleLevel"/>
    <w:tmpl w:val="1D3C01A1"/>
    <w:lvl w:ilvl="0" w:tentative="0">
      <w:start w:val="1"/>
      <w:numFmt w:val="decimal"/>
      <w:pStyle w:val="46"/>
      <w:suff w:val="nothing"/>
      <w:lvlText w:val="表7.%1 "/>
      <w:lvlJc w:val="left"/>
      <w:pPr>
        <w:tabs>
          <w:tab w:val="left" w:pos="0"/>
        </w:tabs>
        <w:ind w:left="0" w:firstLine="0"/>
      </w:pPr>
      <w:rPr>
        <w:rFonts w:hint="default" w:ascii="宋体" w:hAnsi="宋体" w:eastAsia="宋体" w:cs="宋体"/>
      </w:rPr>
    </w:lvl>
  </w:abstractNum>
  <w:abstractNum w:abstractNumId="32">
    <w:nsid w:val="205709BC"/>
    <w:multiLevelType w:val="singleLevel"/>
    <w:tmpl w:val="205709BC"/>
    <w:lvl w:ilvl="0" w:tentative="0">
      <w:start w:val="1"/>
      <w:numFmt w:val="decimal"/>
      <w:lvlText w:val="(%1)"/>
      <w:lvlJc w:val="left"/>
      <w:pPr>
        <w:ind w:left="425" w:hanging="425"/>
      </w:pPr>
      <w:rPr>
        <w:rFonts w:hint="default"/>
      </w:rPr>
    </w:lvl>
  </w:abstractNum>
  <w:abstractNum w:abstractNumId="33">
    <w:nsid w:val="207317D9"/>
    <w:multiLevelType w:val="multilevel"/>
    <w:tmpl w:val="207317D9"/>
    <w:lvl w:ilvl="0" w:tentative="0">
      <w:start w:val="1"/>
      <w:numFmt w:val="decimal"/>
      <w:lvlText w:val="（%1）"/>
      <w:lvlJc w:val="left"/>
      <w:pPr>
        <w:ind w:left="98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2B74809B"/>
    <w:multiLevelType w:val="multilevel"/>
    <w:tmpl w:val="2B74809B"/>
    <w:lvl w:ilvl="0" w:tentative="0">
      <w:start w:val="1"/>
      <w:numFmt w:val="decimal"/>
      <w:lvlText w:val="图4-%1"/>
      <w:lvlJc w:val="left"/>
      <w:pPr>
        <w:ind w:left="780" w:hanging="360"/>
      </w:pPr>
      <w:rPr>
        <w:rFonts w:hint="default" w:ascii="宋体" w:hAnsi="宋体" w:eastAsia="宋体" w:cs="宋体"/>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2FEB72D7"/>
    <w:multiLevelType w:val="multilevel"/>
    <w:tmpl w:val="2FEB72D7"/>
    <w:lvl w:ilvl="0" w:tentative="0">
      <w:start w:val="1"/>
      <w:numFmt w:val="decimal"/>
      <w:pStyle w:val="81"/>
      <w:lvlText w:val="图5-%1  "/>
      <w:lvlJc w:val="center"/>
      <w:pPr>
        <w:tabs>
          <w:tab w:val="left" w:pos="0"/>
        </w:tabs>
        <w:ind w:left="0" w:leftChars="0" w:firstLine="0" w:firstLineChars="0"/>
      </w:pPr>
      <w:rPr>
        <w:rFonts w:hint="default" w:ascii="宋体" w:hAnsi="宋体" w:eastAsia="宋体" w:cs="宋体"/>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6">
    <w:nsid w:val="3254698F"/>
    <w:multiLevelType w:val="multilevel"/>
    <w:tmpl w:val="3254698F"/>
    <w:lvl w:ilvl="0" w:tentative="0">
      <w:start w:val="1"/>
      <w:numFmt w:val="decimal"/>
      <w:lvlText w:val="表3-%1"/>
      <w:lvlJc w:val="left"/>
      <w:pPr>
        <w:ind w:left="780" w:hanging="360"/>
      </w:pPr>
      <w:rPr>
        <w:rFonts w:hint="default" w:ascii="宋体" w:hAnsi="宋体" w:eastAsia="宋体" w:cs="宋体"/>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33BB84E9"/>
    <w:multiLevelType w:val="singleLevel"/>
    <w:tmpl w:val="33BB84E9"/>
    <w:lvl w:ilvl="0" w:tentative="0">
      <w:start w:val="1"/>
      <w:numFmt w:val="decimal"/>
      <w:lvlText w:val="(%1)"/>
      <w:lvlJc w:val="left"/>
      <w:pPr>
        <w:ind w:left="425" w:hanging="425"/>
      </w:pPr>
      <w:rPr>
        <w:rFonts w:hint="default"/>
      </w:rPr>
    </w:lvl>
  </w:abstractNum>
  <w:abstractNum w:abstractNumId="38">
    <w:nsid w:val="33CB2998"/>
    <w:multiLevelType w:val="singleLevel"/>
    <w:tmpl w:val="33CB2998"/>
    <w:lvl w:ilvl="0" w:tentative="0">
      <w:start w:val="1"/>
      <w:numFmt w:val="decimal"/>
      <w:lvlText w:val="(%1)"/>
      <w:lvlJc w:val="left"/>
      <w:pPr>
        <w:tabs>
          <w:tab w:val="left" w:pos="312"/>
        </w:tabs>
      </w:pPr>
    </w:lvl>
  </w:abstractNum>
  <w:abstractNum w:abstractNumId="39">
    <w:nsid w:val="35385AD8"/>
    <w:multiLevelType w:val="multilevel"/>
    <w:tmpl w:val="35385AD8"/>
    <w:lvl w:ilvl="0" w:tentative="0">
      <w:start w:val="5"/>
      <w:numFmt w:val="decimal"/>
      <w:lvlText w:val="（%1）"/>
      <w:lvlJc w:val="left"/>
      <w:pPr>
        <w:ind w:left="1200" w:hanging="7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3AF600BB"/>
    <w:multiLevelType w:val="singleLevel"/>
    <w:tmpl w:val="3AF600BB"/>
    <w:lvl w:ilvl="0" w:tentative="0">
      <w:start w:val="1"/>
      <w:numFmt w:val="decimal"/>
      <w:lvlText w:val="(%1)"/>
      <w:lvlJc w:val="left"/>
      <w:pPr>
        <w:tabs>
          <w:tab w:val="left" w:pos="312"/>
        </w:tabs>
      </w:pPr>
    </w:lvl>
  </w:abstractNum>
  <w:abstractNum w:abstractNumId="41">
    <w:nsid w:val="3CFB3115"/>
    <w:multiLevelType w:val="multilevel"/>
    <w:tmpl w:val="3CFB3115"/>
    <w:lvl w:ilvl="0" w:tentative="0">
      <w:start w:val="1"/>
      <w:numFmt w:val="decimal"/>
      <w:lvlText w:val="%1)"/>
      <w:lvlJc w:val="left"/>
      <w:pPr>
        <w:ind w:left="900" w:hanging="420"/>
      </w:pPr>
      <w:rPr>
        <w:rFonts w:hint="eastAsia" w:ascii="宋体" w:hAnsi="宋体" w:eastAsia="宋体"/>
      </w:rPr>
    </w:lvl>
    <w:lvl w:ilvl="1" w:tentative="0">
      <w:start w:val="1"/>
      <w:numFmt w:val="lowerLetter"/>
      <w:lvlText w:val="%2)"/>
      <w:lvlJc w:val="left"/>
      <w:pPr>
        <w:ind w:left="1320" w:hanging="420"/>
      </w:pPr>
      <w:rPr>
        <w:rFonts w:hint="default" w:ascii="Times New Roman" w:hAnsi="Times New Roman" w:cs="Times New Roman"/>
      </w:rPr>
    </w:lvl>
    <w:lvl w:ilvl="2" w:tentative="0">
      <w:start w:val="1"/>
      <w:numFmt w:val="lowerRoman"/>
      <w:lvlText w:val="%3."/>
      <w:lvlJc w:val="right"/>
      <w:pPr>
        <w:ind w:left="1740" w:hanging="420"/>
      </w:pPr>
      <w:rPr>
        <w:rFonts w:hint="default" w:ascii="Times New Roman" w:hAnsi="Times New Roman" w:cs="Times New Roman"/>
      </w:rPr>
    </w:lvl>
    <w:lvl w:ilvl="3" w:tentative="0">
      <w:start w:val="1"/>
      <w:numFmt w:val="decimal"/>
      <w:lvlText w:val="%4."/>
      <w:lvlJc w:val="left"/>
      <w:pPr>
        <w:ind w:left="2160" w:hanging="420"/>
      </w:pPr>
      <w:rPr>
        <w:rFonts w:hint="default" w:ascii="Times New Roman" w:hAnsi="Times New Roman" w:cs="Times New Roman"/>
      </w:rPr>
    </w:lvl>
    <w:lvl w:ilvl="4" w:tentative="0">
      <w:start w:val="1"/>
      <w:numFmt w:val="lowerLetter"/>
      <w:lvlText w:val="%5)"/>
      <w:lvlJc w:val="left"/>
      <w:pPr>
        <w:ind w:left="2580" w:hanging="420"/>
      </w:pPr>
      <w:rPr>
        <w:rFonts w:hint="default" w:ascii="Times New Roman" w:hAnsi="Times New Roman" w:cs="Times New Roman"/>
      </w:rPr>
    </w:lvl>
    <w:lvl w:ilvl="5" w:tentative="0">
      <w:start w:val="1"/>
      <w:numFmt w:val="lowerRoman"/>
      <w:lvlText w:val="%6."/>
      <w:lvlJc w:val="right"/>
      <w:pPr>
        <w:ind w:left="3000" w:hanging="420"/>
      </w:pPr>
      <w:rPr>
        <w:rFonts w:hint="default" w:ascii="Times New Roman" w:hAnsi="Times New Roman" w:cs="Times New Roman"/>
      </w:rPr>
    </w:lvl>
    <w:lvl w:ilvl="6" w:tentative="0">
      <w:start w:val="1"/>
      <w:numFmt w:val="decimal"/>
      <w:lvlText w:val="%7."/>
      <w:lvlJc w:val="left"/>
      <w:pPr>
        <w:ind w:left="3420" w:hanging="420"/>
      </w:pPr>
      <w:rPr>
        <w:rFonts w:hint="default" w:ascii="Times New Roman" w:hAnsi="Times New Roman" w:cs="Times New Roman"/>
      </w:rPr>
    </w:lvl>
    <w:lvl w:ilvl="7" w:tentative="0">
      <w:start w:val="1"/>
      <w:numFmt w:val="lowerLetter"/>
      <w:lvlText w:val="%8)"/>
      <w:lvlJc w:val="left"/>
      <w:pPr>
        <w:ind w:left="3840" w:hanging="420"/>
      </w:pPr>
      <w:rPr>
        <w:rFonts w:hint="default" w:ascii="Times New Roman" w:hAnsi="Times New Roman" w:cs="Times New Roman"/>
      </w:rPr>
    </w:lvl>
    <w:lvl w:ilvl="8" w:tentative="0">
      <w:start w:val="1"/>
      <w:numFmt w:val="lowerRoman"/>
      <w:lvlText w:val="%9."/>
      <w:lvlJc w:val="right"/>
      <w:pPr>
        <w:ind w:left="4260" w:hanging="420"/>
      </w:pPr>
      <w:rPr>
        <w:rFonts w:hint="default" w:ascii="Times New Roman" w:hAnsi="Times New Roman" w:cs="Times New Roman"/>
      </w:rPr>
    </w:lvl>
  </w:abstractNum>
  <w:abstractNum w:abstractNumId="42">
    <w:nsid w:val="452D254D"/>
    <w:multiLevelType w:val="multilevel"/>
    <w:tmpl w:val="452D254D"/>
    <w:lvl w:ilvl="0" w:tentative="0">
      <w:start w:val="1"/>
      <w:numFmt w:val="decimal"/>
      <w:suff w:val="nothing"/>
      <w:lvlText w:val="（%1）"/>
      <w:lvlJc w:val="left"/>
      <w:pPr>
        <w:ind w:left="0" w:firstLine="420"/>
      </w:pPr>
      <w:rPr>
        <w:rFonts w:hint="default" w:ascii="宋体" w:hAnsi="宋体" w:eastAsia="宋体"/>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468F4998"/>
    <w:multiLevelType w:val="singleLevel"/>
    <w:tmpl w:val="468F4998"/>
    <w:lvl w:ilvl="0" w:tentative="0">
      <w:start w:val="1"/>
      <w:numFmt w:val="decimal"/>
      <w:lvlText w:val="(%1)"/>
      <w:lvlJc w:val="left"/>
      <w:pPr>
        <w:ind w:left="425" w:hanging="425"/>
      </w:pPr>
      <w:rPr>
        <w:rFonts w:hint="default"/>
      </w:rPr>
    </w:lvl>
  </w:abstractNum>
  <w:abstractNum w:abstractNumId="44">
    <w:nsid w:val="479D79DE"/>
    <w:multiLevelType w:val="singleLevel"/>
    <w:tmpl w:val="479D79DE"/>
    <w:lvl w:ilvl="0" w:tentative="0">
      <w:start w:val="1"/>
      <w:numFmt w:val="decimal"/>
      <w:pStyle w:val="50"/>
      <w:suff w:val="nothing"/>
      <w:lvlText w:val="表8.%1 "/>
      <w:lvlJc w:val="left"/>
      <w:pPr>
        <w:tabs>
          <w:tab w:val="left" w:pos="0"/>
        </w:tabs>
        <w:ind w:left="0" w:firstLine="0"/>
      </w:pPr>
      <w:rPr>
        <w:rFonts w:hint="default" w:ascii="宋体" w:hAnsi="宋体" w:eastAsia="宋体" w:cs="宋体"/>
        <w:sz w:val="21"/>
        <w:szCs w:val="21"/>
      </w:rPr>
    </w:lvl>
  </w:abstractNum>
  <w:abstractNum w:abstractNumId="45">
    <w:nsid w:val="4B820B21"/>
    <w:multiLevelType w:val="singleLevel"/>
    <w:tmpl w:val="4B820B21"/>
    <w:lvl w:ilvl="0" w:tentative="0">
      <w:start w:val="1"/>
      <w:numFmt w:val="decimal"/>
      <w:lvlText w:val="(%1)"/>
      <w:lvlJc w:val="left"/>
      <w:pPr>
        <w:ind w:left="425" w:hanging="425"/>
      </w:pPr>
      <w:rPr>
        <w:rFonts w:hint="default"/>
      </w:rPr>
    </w:lvl>
  </w:abstractNum>
  <w:abstractNum w:abstractNumId="46">
    <w:nsid w:val="61A26E1E"/>
    <w:multiLevelType w:val="singleLevel"/>
    <w:tmpl w:val="61A26E1E"/>
    <w:lvl w:ilvl="0" w:tentative="0">
      <w:start w:val="1"/>
      <w:numFmt w:val="decimal"/>
      <w:pStyle w:val="45"/>
      <w:suff w:val="nothing"/>
      <w:lvlText w:val="表6.%1 "/>
      <w:lvlJc w:val="left"/>
      <w:pPr>
        <w:tabs>
          <w:tab w:val="left" w:pos="0"/>
        </w:tabs>
        <w:ind w:left="0" w:firstLine="0"/>
      </w:pPr>
      <w:rPr>
        <w:rFonts w:hint="default" w:ascii="宋体" w:hAnsi="宋体" w:eastAsia="宋体" w:cs="宋体"/>
      </w:rPr>
    </w:lvl>
  </w:abstractNum>
  <w:abstractNum w:abstractNumId="47">
    <w:nsid w:val="6253ADCA"/>
    <w:multiLevelType w:val="singleLevel"/>
    <w:tmpl w:val="6253ADCA"/>
    <w:lvl w:ilvl="0" w:tentative="0">
      <w:start w:val="1"/>
      <w:numFmt w:val="decimal"/>
      <w:lvlText w:val="(%1)"/>
      <w:lvlJc w:val="left"/>
      <w:pPr>
        <w:tabs>
          <w:tab w:val="left" w:pos="0"/>
        </w:tabs>
        <w:ind w:left="0" w:firstLine="0"/>
      </w:pPr>
      <w:rPr>
        <w:rFonts w:hint="default" w:ascii="宋体" w:hAnsi="宋体" w:eastAsia="宋体" w:cs="宋体"/>
      </w:rPr>
    </w:lvl>
  </w:abstractNum>
  <w:abstractNum w:abstractNumId="48">
    <w:nsid w:val="6717623C"/>
    <w:multiLevelType w:val="singleLevel"/>
    <w:tmpl w:val="6717623C"/>
    <w:lvl w:ilvl="0" w:tentative="0">
      <w:start w:val="1"/>
      <w:numFmt w:val="decimal"/>
      <w:pStyle w:val="44"/>
      <w:suff w:val="nothing"/>
      <w:lvlText w:val="图5-%1 "/>
      <w:lvlJc w:val="left"/>
      <w:pPr>
        <w:tabs>
          <w:tab w:val="left" w:pos="0"/>
        </w:tabs>
        <w:ind w:left="0" w:firstLine="0"/>
      </w:pPr>
      <w:rPr>
        <w:rFonts w:hint="default" w:ascii="宋体" w:hAnsi="宋体" w:eastAsia="宋体" w:cs="宋体"/>
      </w:rPr>
    </w:lvl>
  </w:abstractNum>
  <w:abstractNum w:abstractNumId="49">
    <w:nsid w:val="6B160BCC"/>
    <w:multiLevelType w:val="multilevel"/>
    <w:tmpl w:val="6B160BCC"/>
    <w:lvl w:ilvl="0" w:tentative="0">
      <w:start w:val="1"/>
      <w:numFmt w:val="decimal"/>
      <w:pStyle w:val="37"/>
      <w:lvlText w:val="图 %1."/>
      <w:lvlJc w:val="left"/>
      <w:pPr>
        <w:tabs>
          <w:tab w:val="left" w:pos="420"/>
        </w:tabs>
        <w:ind w:left="420" w:hanging="42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0">
    <w:nsid w:val="74B2790C"/>
    <w:multiLevelType w:val="singleLevel"/>
    <w:tmpl w:val="74B2790C"/>
    <w:lvl w:ilvl="0" w:tentative="0">
      <w:start w:val="1"/>
      <w:numFmt w:val="decimal"/>
      <w:pStyle w:val="51"/>
      <w:suff w:val="nothing"/>
      <w:lvlText w:val="图8-%1 "/>
      <w:lvlJc w:val="left"/>
      <w:pPr>
        <w:tabs>
          <w:tab w:val="left" w:pos="0"/>
        </w:tabs>
        <w:ind w:left="0" w:firstLine="0"/>
      </w:pPr>
      <w:rPr>
        <w:rFonts w:hint="default" w:ascii="宋体" w:hAnsi="宋体" w:eastAsia="宋体" w:cs="宋体"/>
      </w:rPr>
    </w:lvl>
  </w:abstractNum>
  <w:num w:numId="1">
    <w:abstractNumId w:val="5"/>
  </w:num>
  <w:num w:numId="2">
    <w:abstractNumId w:val="23"/>
  </w:num>
  <w:num w:numId="3">
    <w:abstractNumId w:val="49"/>
  </w:num>
  <w:num w:numId="4">
    <w:abstractNumId w:val="8"/>
  </w:num>
  <w:num w:numId="5">
    <w:abstractNumId w:val="20"/>
  </w:num>
  <w:num w:numId="6">
    <w:abstractNumId w:val="21"/>
  </w:num>
  <w:num w:numId="7">
    <w:abstractNumId w:val="48"/>
  </w:num>
  <w:num w:numId="8">
    <w:abstractNumId w:val="46"/>
  </w:num>
  <w:num w:numId="9">
    <w:abstractNumId w:val="31"/>
  </w:num>
  <w:num w:numId="10">
    <w:abstractNumId w:val="18"/>
  </w:num>
  <w:num w:numId="11">
    <w:abstractNumId w:val="27"/>
  </w:num>
  <w:num w:numId="12">
    <w:abstractNumId w:val="44"/>
  </w:num>
  <w:num w:numId="13">
    <w:abstractNumId w:val="50"/>
  </w:num>
  <w:num w:numId="14">
    <w:abstractNumId w:val="26"/>
  </w:num>
  <w:num w:numId="15">
    <w:abstractNumId w:val="35"/>
  </w:num>
  <w:num w:numId="16">
    <w:abstractNumId w:val="33"/>
  </w:num>
  <w:num w:numId="17">
    <w:abstractNumId w:val="2"/>
  </w:num>
  <w:num w:numId="18">
    <w:abstractNumId w:val="47"/>
  </w:num>
  <w:num w:numId="19">
    <w:abstractNumId w:val="25"/>
  </w:num>
  <w:num w:numId="20">
    <w:abstractNumId w:val="43"/>
  </w:num>
  <w:num w:numId="21">
    <w:abstractNumId w:val="17"/>
  </w:num>
  <w:num w:numId="22">
    <w:abstractNumId w:val="22"/>
  </w:num>
  <w:num w:numId="23">
    <w:abstractNumId w:val="4"/>
    <w:lvlOverride w:ilvl="0">
      <w:startOverride w:val="1"/>
    </w:lvlOverride>
  </w:num>
  <w:num w:numId="24">
    <w:abstractNumId w:val="29"/>
  </w:num>
  <w:num w:numId="25">
    <w:abstractNumId w:val="10"/>
  </w:num>
  <w:num w:numId="26">
    <w:abstractNumId w:val="11"/>
  </w:num>
  <w:num w:numId="27">
    <w:abstractNumId w:val="9"/>
  </w:num>
  <w:num w:numId="28">
    <w:abstractNumId w:val="15"/>
  </w:num>
  <w:num w:numId="29">
    <w:abstractNumId w:val="36"/>
  </w:num>
  <w:num w:numId="30">
    <w:abstractNumId w:val="37"/>
  </w:num>
  <w:num w:numId="31">
    <w:abstractNumId w:val="32"/>
  </w:num>
  <w:num w:numId="32">
    <w:abstractNumId w:val="7"/>
  </w:num>
  <w:num w:numId="33">
    <w:abstractNumId w:val="1"/>
  </w:num>
  <w:num w:numId="34">
    <w:abstractNumId w:val="30"/>
  </w:num>
  <w:num w:numId="35">
    <w:abstractNumId w:val="40"/>
  </w:num>
  <w:num w:numId="36">
    <w:abstractNumId w:val="12"/>
  </w:num>
  <w:num w:numId="37">
    <w:abstractNumId w:val="19"/>
  </w:num>
  <w:num w:numId="38">
    <w:abstractNumId w:val="38"/>
  </w:num>
  <w:num w:numId="39">
    <w:abstractNumId w:val="13"/>
  </w:num>
  <w:num w:numId="40">
    <w:abstractNumId w:val="45"/>
  </w:num>
  <w:num w:numId="41">
    <w:abstractNumId w:val="34"/>
  </w:num>
  <w:num w:numId="42">
    <w:abstractNumId w:val="42"/>
  </w:num>
  <w:num w:numId="43">
    <w:abstractNumId w:val="16"/>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0"/>
  </w:num>
  <w:num w:numId="47">
    <w:abstractNumId w:val="6"/>
  </w:num>
  <w:num w:numId="48">
    <w:abstractNumId w:val="24"/>
  </w:num>
  <w:num w:numId="49">
    <w:abstractNumId w:val="14"/>
  </w:num>
  <w:num w:numId="50">
    <w:abstractNumId w:val="39"/>
  </w:num>
  <w:num w:numId="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0"/>
  <w:bordersDoNotSurroundFooter w:val="0"/>
  <w:documentProtection w:enforcement="0"/>
  <w:defaultTabStop w:val="0"/>
  <w:drawingGridHorizontalSpacing w:val="240"/>
  <w:drawingGridVerticalSpacing w:val="20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zOTFmOTdkNGM5M2EyZTU1OTcyMTdmNTM0YWM4MGIifQ=="/>
  </w:docVars>
  <w:rsids>
    <w:rsidRoot w:val="00172A27"/>
    <w:rsid w:val="00006E17"/>
    <w:rsid w:val="000175A1"/>
    <w:rsid w:val="00030879"/>
    <w:rsid w:val="00042D59"/>
    <w:rsid w:val="00044BFF"/>
    <w:rsid w:val="000575C8"/>
    <w:rsid w:val="00073E25"/>
    <w:rsid w:val="00076DA2"/>
    <w:rsid w:val="000A3FC9"/>
    <w:rsid w:val="000F3563"/>
    <w:rsid w:val="00100DA8"/>
    <w:rsid w:val="001245E3"/>
    <w:rsid w:val="00130E83"/>
    <w:rsid w:val="0014162C"/>
    <w:rsid w:val="0016076C"/>
    <w:rsid w:val="00172A27"/>
    <w:rsid w:val="00193BD0"/>
    <w:rsid w:val="00212B8D"/>
    <w:rsid w:val="00221293"/>
    <w:rsid w:val="00240EC2"/>
    <w:rsid w:val="002609DF"/>
    <w:rsid w:val="00290B7B"/>
    <w:rsid w:val="002E58DD"/>
    <w:rsid w:val="00325D51"/>
    <w:rsid w:val="00343CCD"/>
    <w:rsid w:val="00357992"/>
    <w:rsid w:val="003A3032"/>
    <w:rsid w:val="003B3760"/>
    <w:rsid w:val="003D5C87"/>
    <w:rsid w:val="004106C5"/>
    <w:rsid w:val="00440FA8"/>
    <w:rsid w:val="00446AE0"/>
    <w:rsid w:val="00456495"/>
    <w:rsid w:val="00461135"/>
    <w:rsid w:val="00496894"/>
    <w:rsid w:val="004C2969"/>
    <w:rsid w:val="0052117C"/>
    <w:rsid w:val="00530DE7"/>
    <w:rsid w:val="005347E8"/>
    <w:rsid w:val="0053544A"/>
    <w:rsid w:val="00542E70"/>
    <w:rsid w:val="00574DA3"/>
    <w:rsid w:val="005B3167"/>
    <w:rsid w:val="005E0CC0"/>
    <w:rsid w:val="005F5858"/>
    <w:rsid w:val="00603B15"/>
    <w:rsid w:val="00616B32"/>
    <w:rsid w:val="00642C5B"/>
    <w:rsid w:val="00681F7E"/>
    <w:rsid w:val="00684921"/>
    <w:rsid w:val="006A01D9"/>
    <w:rsid w:val="006A54B3"/>
    <w:rsid w:val="006B3D19"/>
    <w:rsid w:val="006D6149"/>
    <w:rsid w:val="007047C0"/>
    <w:rsid w:val="00727A6F"/>
    <w:rsid w:val="00764D32"/>
    <w:rsid w:val="00765139"/>
    <w:rsid w:val="007666F2"/>
    <w:rsid w:val="0079312C"/>
    <w:rsid w:val="00795227"/>
    <w:rsid w:val="007D1291"/>
    <w:rsid w:val="00816EB0"/>
    <w:rsid w:val="00832452"/>
    <w:rsid w:val="008346A4"/>
    <w:rsid w:val="00847457"/>
    <w:rsid w:val="008572C1"/>
    <w:rsid w:val="00875811"/>
    <w:rsid w:val="008C5EBE"/>
    <w:rsid w:val="008D3E5B"/>
    <w:rsid w:val="008E3B2E"/>
    <w:rsid w:val="00921DFE"/>
    <w:rsid w:val="00922841"/>
    <w:rsid w:val="0096034C"/>
    <w:rsid w:val="009915D7"/>
    <w:rsid w:val="009C1A32"/>
    <w:rsid w:val="009E4C66"/>
    <w:rsid w:val="00A20654"/>
    <w:rsid w:val="00A356D7"/>
    <w:rsid w:val="00A74480"/>
    <w:rsid w:val="00A9002F"/>
    <w:rsid w:val="00A97E5E"/>
    <w:rsid w:val="00AA1B56"/>
    <w:rsid w:val="00AA62A2"/>
    <w:rsid w:val="00AA6D14"/>
    <w:rsid w:val="00AC0211"/>
    <w:rsid w:val="00AC4395"/>
    <w:rsid w:val="00AF4E40"/>
    <w:rsid w:val="00B0505F"/>
    <w:rsid w:val="00B06F2D"/>
    <w:rsid w:val="00B22EDE"/>
    <w:rsid w:val="00B53C63"/>
    <w:rsid w:val="00B57A37"/>
    <w:rsid w:val="00B86EFE"/>
    <w:rsid w:val="00BA3432"/>
    <w:rsid w:val="00BB1A55"/>
    <w:rsid w:val="00BC1337"/>
    <w:rsid w:val="00BC5E60"/>
    <w:rsid w:val="00C21387"/>
    <w:rsid w:val="00C26D63"/>
    <w:rsid w:val="00C62F26"/>
    <w:rsid w:val="00C64530"/>
    <w:rsid w:val="00C647E6"/>
    <w:rsid w:val="00C95595"/>
    <w:rsid w:val="00CB2B6F"/>
    <w:rsid w:val="00CF4582"/>
    <w:rsid w:val="00D41D58"/>
    <w:rsid w:val="00D4563D"/>
    <w:rsid w:val="00D67338"/>
    <w:rsid w:val="00D72985"/>
    <w:rsid w:val="00D74ACC"/>
    <w:rsid w:val="00D86C1A"/>
    <w:rsid w:val="00D97F6C"/>
    <w:rsid w:val="00DA0198"/>
    <w:rsid w:val="00DC5B2B"/>
    <w:rsid w:val="00DE2BC6"/>
    <w:rsid w:val="00DE2EF3"/>
    <w:rsid w:val="00DE6D2E"/>
    <w:rsid w:val="00E06B2C"/>
    <w:rsid w:val="00E37089"/>
    <w:rsid w:val="00E56192"/>
    <w:rsid w:val="00E96704"/>
    <w:rsid w:val="00EA0352"/>
    <w:rsid w:val="00EA2D42"/>
    <w:rsid w:val="00EB19D9"/>
    <w:rsid w:val="00F02ACB"/>
    <w:rsid w:val="00F52844"/>
    <w:rsid w:val="00F771A9"/>
    <w:rsid w:val="00F961E5"/>
    <w:rsid w:val="00FB1599"/>
    <w:rsid w:val="00FC48AB"/>
    <w:rsid w:val="010F4928"/>
    <w:rsid w:val="01236FEE"/>
    <w:rsid w:val="01296B41"/>
    <w:rsid w:val="012B7E97"/>
    <w:rsid w:val="016232CB"/>
    <w:rsid w:val="01714D4E"/>
    <w:rsid w:val="01810683"/>
    <w:rsid w:val="020539D8"/>
    <w:rsid w:val="020747D4"/>
    <w:rsid w:val="02430AAF"/>
    <w:rsid w:val="025D08EF"/>
    <w:rsid w:val="028B464E"/>
    <w:rsid w:val="02A14D2F"/>
    <w:rsid w:val="02A30437"/>
    <w:rsid w:val="03033E22"/>
    <w:rsid w:val="03081E79"/>
    <w:rsid w:val="0326719B"/>
    <w:rsid w:val="036A1510"/>
    <w:rsid w:val="03784CD9"/>
    <w:rsid w:val="03AD119C"/>
    <w:rsid w:val="03AD7E3A"/>
    <w:rsid w:val="03B22EB7"/>
    <w:rsid w:val="03BB3C2D"/>
    <w:rsid w:val="03C26FBF"/>
    <w:rsid w:val="03D67287"/>
    <w:rsid w:val="03E20C53"/>
    <w:rsid w:val="04351B1E"/>
    <w:rsid w:val="048B7990"/>
    <w:rsid w:val="04B0219F"/>
    <w:rsid w:val="04D27848"/>
    <w:rsid w:val="04D832AD"/>
    <w:rsid w:val="050448FB"/>
    <w:rsid w:val="05084AD5"/>
    <w:rsid w:val="05151677"/>
    <w:rsid w:val="051C2CDE"/>
    <w:rsid w:val="052211AD"/>
    <w:rsid w:val="05320515"/>
    <w:rsid w:val="05E150B0"/>
    <w:rsid w:val="05E4397C"/>
    <w:rsid w:val="05EF6F7F"/>
    <w:rsid w:val="0681292C"/>
    <w:rsid w:val="06832117"/>
    <w:rsid w:val="06EA1BDD"/>
    <w:rsid w:val="06F16339"/>
    <w:rsid w:val="0742709A"/>
    <w:rsid w:val="07427442"/>
    <w:rsid w:val="075F0197"/>
    <w:rsid w:val="07731BF9"/>
    <w:rsid w:val="078156FA"/>
    <w:rsid w:val="0788572B"/>
    <w:rsid w:val="078943D9"/>
    <w:rsid w:val="078B04BA"/>
    <w:rsid w:val="07D307FF"/>
    <w:rsid w:val="07DE3E3B"/>
    <w:rsid w:val="07F07A25"/>
    <w:rsid w:val="08527372"/>
    <w:rsid w:val="08881573"/>
    <w:rsid w:val="08D926FD"/>
    <w:rsid w:val="08D93B7D"/>
    <w:rsid w:val="09272048"/>
    <w:rsid w:val="09352CD8"/>
    <w:rsid w:val="095E6401"/>
    <w:rsid w:val="09E65669"/>
    <w:rsid w:val="09F7078E"/>
    <w:rsid w:val="0A101565"/>
    <w:rsid w:val="0A306E0F"/>
    <w:rsid w:val="0A506F43"/>
    <w:rsid w:val="0A6F6FE6"/>
    <w:rsid w:val="0A7C001D"/>
    <w:rsid w:val="0A80731A"/>
    <w:rsid w:val="0A866C7D"/>
    <w:rsid w:val="0A9E36A8"/>
    <w:rsid w:val="0AEE258A"/>
    <w:rsid w:val="0AF23543"/>
    <w:rsid w:val="0B430076"/>
    <w:rsid w:val="0B84418D"/>
    <w:rsid w:val="0BA06C71"/>
    <w:rsid w:val="0BE3111F"/>
    <w:rsid w:val="0C286DB7"/>
    <w:rsid w:val="0CA0750F"/>
    <w:rsid w:val="0CB7674F"/>
    <w:rsid w:val="0CBB368B"/>
    <w:rsid w:val="0CFD0298"/>
    <w:rsid w:val="0D0E33A2"/>
    <w:rsid w:val="0D2966F2"/>
    <w:rsid w:val="0D5F19BA"/>
    <w:rsid w:val="0D6C3EDE"/>
    <w:rsid w:val="0D896946"/>
    <w:rsid w:val="0D896D32"/>
    <w:rsid w:val="0D92790F"/>
    <w:rsid w:val="0D9E32A3"/>
    <w:rsid w:val="0DA3470C"/>
    <w:rsid w:val="0DB326F1"/>
    <w:rsid w:val="0DD53E7C"/>
    <w:rsid w:val="0DF36237"/>
    <w:rsid w:val="0E317EF0"/>
    <w:rsid w:val="0E6550C8"/>
    <w:rsid w:val="0E9D5735"/>
    <w:rsid w:val="0EB317D5"/>
    <w:rsid w:val="0EF61471"/>
    <w:rsid w:val="0F1D59AD"/>
    <w:rsid w:val="0F340C0A"/>
    <w:rsid w:val="0F5D25DA"/>
    <w:rsid w:val="0FA65066"/>
    <w:rsid w:val="0FDC3FFB"/>
    <w:rsid w:val="1017657C"/>
    <w:rsid w:val="102A6B51"/>
    <w:rsid w:val="1046084F"/>
    <w:rsid w:val="10627893"/>
    <w:rsid w:val="108E564F"/>
    <w:rsid w:val="10957F70"/>
    <w:rsid w:val="10AF4CAD"/>
    <w:rsid w:val="10BE67DF"/>
    <w:rsid w:val="10E40E2E"/>
    <w:rsid w:val="11324C1A"/>
    <w:rsid w:val="118934A9"/>
    <w:rsid w:val="11AE0A62"/>
    <w:rsid w:val="11F1515A"/>
    <w:rsid w:val="120C1B68"/>
    <w:rsid w:val="125A6BF4"/>
    <w:rsid w:val="12812407"/>
    <w:rsid w:val="129F0AAB"/>
    <w:rsid w:val="12AB3B64"/>
    <w:rsid w:val="12DC4CA6"/>
    <w:rsid w:val="13573133"/>
    <w:rsid w:val="137536A2"/>
    <w:rsid w:val="13CE2553"/>
    <w:rsid w:val="13F049E5"/>
    <w:rsid w:val="1409721A"/>
    <w:rsid w:val="14176407"/>
    <w:rsid w:val="141F29EB"/>
    <w:rsid w:val="14926B19"/>
    <w:rsid w:val="14D6444F"/>
    <w:rsid w:val="14D9619F"/>
    <w:rsid w:val="14EB3408"/>
    <w:rsid w:val="14F5326A"/>
    <w:rsid w:val="150B786F"/>
    <w:rsid w:val="1521243B"/>
    <w:rsid w:val="15286FB6"/>
    <w:rsid w:val="1537321C"/>
    <w:rsid w:val="15990754"/>
    <w:rsid w:val="15BD2AE4"/>
    <w:rsid w:val="15E1411D"/>
    <w:rsid w:val="15E80966"/>
    <w:rsid w:val="16023517"/>
    <w:rsid w:val="160F4B94"/>
    <w:rsid w:val="16582B45"/>
    <w:rsid w:val="16782AC3"/>
    <w:rsid w:val="16866EE0"/>
    <w:rsid w:val="168E7629"/>
    <w:rsid w:val="173963FE"/>
    <w:rsid w:val="17400010"/>
    <w:rsid w:val="1763654B"/>
    <w:rsid w:val="17AF2B14"/>
    <w:rsid w:val="17B41E91"/>
    <w:rsid w:val="17B83864"/>
    <w:rsid w:val="17C6491F"/>
    <w:rsid w:val="18675261"/>
    <w:rsid w:val="18693EFD"/>
    <w:rsid w:val="18732910"/>
    <w:rsid w:val="18785017"/>
    <w:rsid w:val="18A96954"/>
    <w:rsid w:val="18AB7961"/>
    <w:rsid w:val="18B91B6D"/>
    <w:rsid w:val="18C66B39"/>
    <w:rsid w:val="18F94704"/>
    <w:rsid w:val="19117823"/>
    <w:rsid w:val="19442E60"/>
    <w:rsid w:val="197822DB"/>
    <w:rsid w:val="197B245A"/>
    <w:rsid w:val="19844F61"/>
    <w:rsid w:val="19AD2CFD"/>
    <w:rsid w:val="1A27385F"/>
    <w:rsid w:val="1A354DE4"/>
    <w:rsid w:val="1AB6715C"/>
    <w:rsid w:val="1AC86542"/>
    <w:rsid w:val="1ACC0C85"/>
    <w:rsid w:val="1B2B35B6"/>
    <w:rsid w:val="1BE10B34"/>
    <w:rsid w:val="1BE96299"/>
    <w:rsid w:val="1C356869"/>
    <w:rsid w:val="1C452355"/>
    <w:rsid w:val="1C9A77D5"/>
    <w:rsid w:val="1CAB66DB"/>
    <w:rsid w:val="1CBD79D2"/>
    <w:rsid w:val="1CCF3479"/>
    <w:rsid w:val="1CDA631F"/>
    <w:rsid w:val="1CED5031"/>
    <w:rsid w:val="1CFD0A46"/>
    <w:rsid w:val="1D175FB7"/>
    <w:rsid w:val="1D252D78"/>
    <w:rsid w:val="1D3D5AF7"/>
    <w:rsid w:val="1D43465E"/>
    <w:rsid w:val="1D4F5C5F"/>
    <w:rsid w:val="1DCF7836"/>
    <w:rsid w:val="1DD4127B"/>
    <w:rsid w:val="1DDD5AB0"/>
    <w:rsid w:val="1DDE0FCF"/>
    <w:rsid w:val="1E1D6468"/>
    <w:rsid w:val="1E390005"/>
    <w:rsid w:val="1E777434"/>
    <w:rsid w:val="1E91296A"/>
    <w:rsid w:val="1E9D2CFE"/>
    <w:rsid w:val="1EAC0818"/>
    <w:rsid w:val="1EBE4870"/>
    <w:rsid w:val="1EDA6867"/>
    <w:rsid w:val="1F1620F4"/>
    <w:rsid w:val="1F2C070A"/>
    <w:rsid w:val="1FA13BFE"/>
    <w:rsid w:val="2022296D"/>
    <w:rsid w:val="204565D6"/>
    <w:rsid w:val="20914D43"/>
    <w:rsid w:val="20D667DC"/>
    <w:rsid w:val="21126A49"/>
    <w:rsid w:val="213C035E"/>
    <w:rsid w:val="216726C4"/>
    <w:rsid w:val="21830F43"/>
    <w:rsid w:val="218E4CF1"/>
    <w:rsid w:val="2194268A"/>
    <w:rsid w:val="21C03E88"/>
    <w:rsid w:val="22451410"/>
    <w:rsid w:val="225E4F12"/>
    <w:rsid w:val="22B80695"/>
    <w:rsid w:val="22D55624"/>
    <w:rsid w:val="22D91A83"/>
    <w:rsid w:val="22DF6935"/>
    <w:rsid w:val="22ED1AB0"/>
    <w:rsid w:val="22EE3AE7"/>
    <w:rsid w:val="22FE3E7C"/>
    <w:rsid w:val="231612E2"/>
    <w:rsid w:val="23204E3E"/>
    <w:rsid w:val="232251B0"/>
    <w:rsid w:val="23275BE7"/>
    <w:rsid w:val="23452FD9"/>
    <w:rsid w:val="23510B15"/>
    <w:rsid w:val="23692AB1"/>
    <w:rsid w:val="239428AE"/>
    <w:rsid w:val="2397658C"/>
    <w:rsid w:val="23A54D8A"/>
    <w:rsid w:val="23AF026F"/>
    <w:rsid w:val="23B20893"/>
    <w:rsid w:val="23BC5987"/>
    <w:rsid w:val="24271400"/>
    <w:rsid w:val="24653C52"/>
    <w:rsid w:val="247C398B"/>
    <w:rsid w:val="24873F8A"/>
    <w:rsid w:val="248A7E46"/>
    <w:rsid w:val="24EB6288"/>
    <w:rsid w:val="24F57C97"/>
    <w:rsid w:val="254A7F3C"/>
    <w:rsid w:val="25575955"/>
    <w:rsid w:val="25981058"/>
    <w:rsid w:val="25CD5E61"/>
    <w:rsid w:val="25E87253"/>
    <w:rsid w:val="25F346ED"/>
    <w:rsid w:val="263D2EA4"/>
    <w:rsid w:val="264A5373"/>
    <w:rsid w:val="265A6065"/>
    <w:rsid w:val="26823871"/>
    <w:rsid w:val="26A821CC"/>
    <w:rsid w:val="26C54838"/>
    <w:rsid w:val="26D43AFD"/>
    <w:rsid w:val="26D61EC2"/>
    <w:rsid w:val="27263CFF"/>
    <w:rsid w:val="273D2914"/>
    <w:rsid w:val="275223E5"/>
    <w:rsid w:val="280251CE"/>
    <w:rsid w:val="283C1709"/>
    <w:rsid w:val="287D6310"/>
    <w:rsid w:val="28E97254"/>
    <w:rsid w:val="28EB5284"/>
    <w:rsid w:val="29023C19"/>
    <w:rsid w:val="293164A9"/>
    <w:rsid w:val="29381B9B"/>
    <w:rsid w:val="293E0A83"/>
    <w:rsid w:val="29723418"/>
    <w:rsid w:val="29913D05"/>
    <w:rsid w:val="29AD3B58"/>
    <w:rsid w:val="2A0D21A0"/>
    <w:rsid w:val="2A214A19"/>
    <w:rsid w:val="2A4820D7"/>
    <w:rsid w:val="2A6257B7"/>
    <w:rsid w:val="2A707189"/>
    <w:rsid w:val="2AA732DD"/>
    <w:rsid w:val="2AE55993"/>
    <w:rsid w:val="2B565BB5"/>
    <w:rsid w:val="2B782193"/>
    <w:rsid w:val="2B7A5E62"/>
    <w:rsid w:val="2B7D56F3"/>
    <w:rsid w:val="2B8C1C13"/>
    <w:rsid w:val="2BA411B4"/>
    <w:rsid w:val="2BE83A6F"/>
    <w:rsid w:val="2BF07325"/>
    <w:rsid w:val="2C23726B"/>
    <w:rsid w:val="2C7E5091"/>
    <w:rsid w:val="2CB15ADD"/>
    <w:rsid w:val="2CEB7168"/>
    <w:rsid w:val="2CED05C6"/>
    <w:rsid w:val="2D4A4BB1"/>
    <w:rsid w:val="2D6A08CD"/>
    <w:rsid w:val="2D754B90"/>
    <w:rsid w:val="2D7904B4"/>
    <w:rsid w:val="2D8172D3"/>
    <w:rsid w:val="2DAB592E"/>
    <w:rsid w:val="2E3B4616"/>
    <w:rsid w:val="2E6A7D0B"/>
    <w:rsid w:val="2E9226FB"/>
    <w:rsid w:val="2EA85955"/>
    <w:rsid w:val="2EA92C10"/>
    <w:rsid w:val="2F361CFC"/>
    <w:rsid w:val="2FEF54B3"/>
    <w:rsid w:val="2FF37456"/>
    <w:rsid w:val="30036294"/>
    <w:rsid w:val="304549D3"/>
    <w:rsid w:val="305B4B77"/>
    <w:rsid w:val="30814427"/>
    <w:rsid w:val="308D65AC"/>
    <w:rsid w:val="30975CF0"/>
    <w:rsid w:val="309D4BA0"/>
    <w:rsid w:val="310C6A99"/>
    <w:rsid w:val="316F3D86"/>
    <w:rsid w:val="318B5D92"/>
    <w:rsid w:val="318D4498"/>
    <w:rsid w:val="31CE1AFA"/>
    <w:rsid w:val="32130F67"/>
    <w:rsid w:val="321F5B3C"/>
    <w:rsid w:val="325A564D"/>
    <w:rsid w:val="32A86AE1"/>
    <w:rsid w:val="32B01063"/>
    <w:rsid w:val="32C21BBA"/>
    <w:rsid w:val="331E1634"/>
    <w:rsid w:val="3341553A"/>
    <w:rsid w:val="334E6181"/>
    <w:rsid w:val="336704A1"/>
    <w:rsid w:val="33B0200F"/>
    <w:rsid w:val="33CE6ABA"/>
    <w:rsid w:val="33CF2B98"/>
    <w:rsid w:val="345535D3"/>
    <w:rsid w:val="3475686F"/>
    <w:rsid w:val="3488440A"/>
    <w:rsid w:val="34A00474"/>
    <w:rsid w:val="34BD50C3"/>
    <w:rsid w:val="35242E43"/>
    <w:rsid w:val="353B55BB"/>
    <w:rsid w:val="3568414C"/>
    <w:rsid w:val="357B609F"/>
    <w:rsid w:val="35832551"/>
    <w:rsid w:val="359363B6"/>
    <w:rsid w:val="35A1008C"/>
    <w:rsid w:val="35A57C9A"/>
    <w:rsid w:val="35C375DE"/>
    <w:rsid w:val="36024A2C"/>
    <w:rsid w:val="363C6F95"/>
    <w:rsid w:val="366E2AEA"/>
    <w:rsid w:val="3682764B"/>
    <w:rsid w:val="36DD1503"/>
    <w:rsid w:val="36FC1F3B"/>
    <w:rsid w:val="36FC6D33"/>
    <w:rsid w:val="37076A9B"/>
    <w:rsid w:val="378D4D28"/>
    <w:rsid w:val="37B7401D"/>
    <w:rsid w:val="3802170F"/>
    <w:rsid w:val="38456EDD"/>
    <w:rsid w:val="38517D2F"/>
    <w:rsid w:val="386E422A"/>
    <w:rsid w:val="386F2ADA"/>
    <w:rsid w:val="38A7131D"/>
    <w:rsid w:val="38D94867"/>
    <w:rsid w:val="38DC4A4A"/>
    <w:rsid w:val="38DE3E13"/>
    <w:rsid w:val="38F005E0"/>
    <w:rsid w:val="3913140A"/>
    <w:rsid w:val="392C5E15"/>
    <w:rsid w:val="3A3E0E51"/>
    <w:rsid w:val="3A5334A9"/>
    <w:rsid w:val="3A56535B"/>
    <w:rsid w:val="3A59618C"/>
    <w:rsid w:val="3A7E5188"/>
    <w:rsid w:val="3A8D4FDE"/>
    <w:rsid w:val="3A9B5242"/>
    <w:rsid w:val="3AB26FD5"/>
    <w:rsid w:val="3ABD460E"/>
    <w:rsid w:val="3ABF1788"/>
    <w:rsid w:val="3B324D37"/>
    <w:rsid w:val="3B3A71A2"/>
    <w:rsid w:val="3B5429D6"/>
    <w:rsid w:val="3B8D6D64"/>
    <w:rsid w:val="3BB50D12"/>
    <w:rsid w:val="3BCC2EFF"/>
    <w:rsid w:val="3BCF4D52"/>
    <w:rsid w:val="3BDF7C0D"/>
    <w:rsid w:val="3BE21884"/>
    <w:rsid w:val="3C007A8F"/>
    <w:rsid w:val="3C021759"/>
    <w:rsid w:val="3C077A1F"/>
    <w:rsid w:val="3C175D68"/>
    <w:rsid w:val="3C396701"/>
    <w:rsid w:val="3C5C4A54"/>
    <w:rsid w:val="3CD42F13"/>
    <w:rsid w:val="3CF15378"/>
    <w:rsid w:val="3CF40A48"/>
    <w:rsid w:val="3D012D9E"/>
    <w:rsid w:val="3D2E1A26"/>
    <w:rsid w:val="3D5132F9"/>
    <w:rsid w:val="3D5E673E"/>
    <w:rsid w:val="3D9276D0"/>
    <w:rsid w:val="3DE64474"/>
    <w:rsid w:val="3E075179"/>
    <w:rsid w:val="3E0819D8"/>
    <w:rsid w:val="3E0F225C"/>
    <w:rsid w:val="3E156F41"/>
    <w:rsid w:val="3E1C0055"/>
    <w:rsid w:val="3E690AA0"/>
    <w:rsid w:val="3E910DA1"/>
    <w:rsid w:val="3E912E2E"/>
    <w:rsid w:val="3EAD73E1"/>
    <w:rsid w:val="3EE27F63"/>
    <w:rsid w:val="3EEF0ECA"/>
    <w:rsid w:val="3F1C6E5B"/>
    <w:rsid w:val="3F453F06"/>
    <w:rsid w:val="3F587CB4"/>
    <w:rsid w:val="3F7102DD"/>
    <w:rsid w:val="3F78691A"/>
    <w:rsid w:val="3F7D1D99"/>
    <w:rsid w:val="3FE33163"/>
    <w:rsid w:val="40050435"/>
    <w:rsid w:val="400B761D"/>
    <w:rsid w:val="406036C1"/>
    <w:rsid w:val="40750167"/>
    <w:rsid w:val="40A42DC1"/>
    <w:rsid w:val="40F73D85"/>
    <w:rsid w:val="41015B7B"/>
    <w:rsid w:val="4106235D"/>
    <w:rsid w:val="410F3FE5"/>
    <w:rsid w:val="411E3AF4"/>
    <w:rsid w:val="41464BD1"/>
    <w:rsid w:val="41496E1F"/>
    <w:rsid w:val="417D6A5A"/>
    <w:rsid w:val="41926D87"/>
    <w:rsid w:val="4195022C"/>
    <w:rsid w:val="41CA678B"/>
    <w:rsid w:val="424C3332"/>
    <w:rsid w:val="427025D1"/>
    <w:rsid w:val="428A5F01"/>
    <w:rsid w:val="42B87C26"/>
    <w:rsid w:val="43003252"/>
    <w:rsid w:val="4314369E"/>
    <w:rsid w:val="432B7293"/>
    <w:rsid w:val="4335673E"/>
    <w:rsid w:val="436B05C1"/>
    <w:rsid w:val="438D60B4"/>
    <w:rsid w:val="43AD5483"/>
    <w:rsid w:val="43DA1472"/>
    <w:rsid w:val="43F9591D"/>
    <w:rsid w:val="440108F4"/>
    <w:rsid w:val="441A1BE3"/>
    <w:rsid w:val="444330D4"/>
    <w:rsid w:val="44445FC3"/>
    <w:rsid w:val="444C0159"/>
    <w:rsid w:val="44796109"/>
    <w:rsid w:val="44B7663F"/>
    <w:rsid w:val="45C5347F"/>
    <w:rsid w:val="45DE35C0"/>
    <w:rsid w:val="45E10B02"/>
    <w:rsid w:val="460B4B64"/>
    <w:rsid w:val="461241DB"/>
    <w:rsid w:val="461F7B7D"/>
    <w:rsid w:val="4629337E"/>
    <w:rsid w:val="46860153"/>
    <w:rsid w:val="46BB2D1C"/>
    <w:rsid w:val="46CA506F"/>
    <w:rsid w:val="46E077B1"/>
    <w:rsid w:val="46F104CC"/>
    <w:rsid w:val="470A6EB4"/>
    <w:rsid w:val="473D46DD"/>
    <w:rsid w:val="47692B77"/>
    <w:rsid w:val="477A32C7"/>
    <w:rsid w:val="4783402B"/>
    <w:rsid w:val="479766EB"/>
    <w:rsid w:val="47A130DA"/>
    <w:rsid w:val="482B70A8"/>
    <w:rsid w:val="48344AE6"/>
    <w:rsid w:val="48365BFC"/>
    <w:rsid w:val="48752D0E"/>
    <w:rsid w:val="488D4031"/>
    <w:rsid w:val="48FC0E5B"/>
    <w:rsid w:val="493520B5"/>
    <w:rsid w:val="497D53DB"/>
    <w:rsid w:val="49CB37D4"/>
    <w:rsid w:val="4A3D7D54"/>
    <w:rsid w:val="4AA72AF3"/>
    <w:rsid w:val="4ABB0078"/>
    <w:rsid w:val="4ADA0164"/>
    <w:rsid w:val="4B03776B"/>
    <w:rsid w:val="4B204B33"/>
    <w:rsid w:val="4B4E500D"/>
    <w:rsid w:val="4B942F39"/>
    <w:rsid w:val="4BE36E74"/>
    <w:rsid w:val="4BE509E5"/>
    <w:rsid w:val="4C1A7FE9"/>
    <w:rsid w:val="4CE351A7"/>
    <w:rsid w:val="4CE63DBB"/>
    <w:rsid w:val="4CF5766A"/>
    <w:rsid w:val="4D1757C0"/>
    <w:rsid w:val="4D1912FF"/>
    <w:rsid w:val="4D32104D"/>
    <w:rsid w:val="4D5B0AB6"/>
    <w:rsid w:val="4D6C5A0C"/>
    <w:rsid w:val="4D7169A0"/>
    <w:rsid w:val="4DBE7657"/>
    <w:rsid w:val="4DCF0EE3"/>
    <w:rsid w:val="4E5504F8"/>
    <w:rsid w:val="4E711179"/>
    <w:rsid w:val="4E783F13"/>
    <w:rsid w:val="4E891C3D"/>
    <w:rsid w:val="4E8A2033"/>
    <w:rsid w:val="4EA67B3B"/>
    <w:rsid w:val="4EC52F9C"/>
    <w:rsid w:val="4F393347"/>
    <w:rsid w:val="4F5C42D6"/>
    <w:rsid w:val="4F842F7A"/>
    <w:rsid w:val="4F9A44F8"/>
    <w:rsid w:val="4FA9188B"/>
    <w:rsid w:val="4FB56718"/>
    <w:rsid w:val="4FE63299"/>
    <w:rsid w:val="4FFA4F5B"/>
    <w:rsid w:val="500139F9"/>
    <w:rsid w:val="50440570"/>
    <w:rsid w:val="50753700"/>
    <w:rsid w:val="50916F27"/>
    <w:rsid w:val="509604D7"/>
    <w:rsid w:val="50AF405F"/>
    <w:rsid w:val="50BC701D"/>
    <w:rsid w:val="50E76ABB"/>
    <w:rsid w:val="518402DA"/>
    <w:rsid w:val="519D4B46"/>
    <w:rsid w:val="51A72EB4"/>
    <w:rsid w:val="51AF33CB"/>
    <w:rsid w:val="51C7005F"/>
    <w:rsid w:val="51C809F5"/>
    <w:rsid w:val="51CB29E4"/>
    <w:rsid w:val="51F14EC3"/>
    <w:rsid w:val="521B4004"/>
    <w:rsid w:val="52690D7F"/>
    <w:rsid w:val="52844E1D"/>
    <w:rsid w:val="52B517E8"/>
    <w:rsid w:val="52B96A43"/>
    <w:rsid w:val="53186318"/>
    <w:rsid w:val="53412E7F"/>
    <w:rsid w:val="53A12F93"/>
    <w:rsid w:val="53BC6D78"/>
    <w:rsid w:val="53D10D98"/>
    <w:rsid w:val="53FC634B"/>
    <w:rsid w:val="5444625D"/>
    <w:rsid w:val="54A10C9C"/>
    <w:rsid w:val="54A475B3"/>
    <w:rsid w:val="54A807AE"/>
    <w:rsid w:val="54B0719E"/>
    <w:rsid w:val="54CF52FC"/>
    <w:rsid w:val="54E172D1"/>
    <w:rsid w:val="54F35BD5"/>
    <w:rsid w:val="54F42606"/>
    <w:rsid w:val="54FD7276"/>
    <w:rsid w:val="54FE4BE1"/>
    <w:rsid w:val="550C37A2"/>
    <w:rsid w:val="55137AFA"/>
    <w:rsid w:val="55206C2A"/>
    <w:rsid w:val="55793787"/>
    <w:rsid w:val="55AF07ED"/>
    <w:rsid w:val="55E25DFC"/>
    <w:rsid w:val="55EB287F"/>
    <w:rsid w:val="560857A2"/>
    <w:rsid w:val="566532F2"/>
    <w:rsid w:val="56977580"/>
    <w:rsid w:val="56B112DE"/>
    <w:rsid w:val="56CA1CA8"/>
    <w:rsid w:val="56CF5BAD"/>
    <w:rsid w:val="56E82477"/>
    <w:rsid w:val="57471253"/>
    <w:rsid w:val="574B3DB1"/>
    <w:rsid w:val="5775438D"/>
    <w:rsid w:val="578A30A4"/>
    <w:rsid w:val="57A73A0E"/>
    <w:rsid w:val="581A7F84"/>
    <w:rsid w:val="583C1922"/>
    <w:rsid w:val="587837BA"/>
    <w:rsid w:val="591F105D"/>
    <w:rsid w:val="59511B18"/>
    <w:rsid w:val="59B216C5"/>
    <w:rsid w:val="59E85E5C"/>
    <w:rsid w:val="59FC7B3F"/>
    <w:rsid w:val="5A6639A0"/>
    <w:rsid w:val="5A695D00"/>
    <w:rsid w:val="5A6C5A94"/>
    <w:rsid w:val="5AAA25A3"/>
    <w:rsid w:val="5B295152"/>
    <w:rsid w:val="5B3D4691"/>
    <w:rsid w:val="5B3E6882"/>
    <w:rsid w:val="5B432D9A"/>
    <w:rsid w:val="5B9E4C12"/>
    <w:rsid w:val="5BA45446"/>
    <w:rsid w:val="5BC86C73"/>
    <w:rsid w:val="5BEC69B1"/>
    <w:rsid w:val="5C014E40"/>
    <w:rsid w:val="5C2E2A2A"/>
    <w:rsid w:val="5C4E6722"/>
    <w:rsid w:val="5C934A44"/>
    <w:rsid w:val="5D06005D"/>
    <w:rsid w:val="5D100C44"/>
    <w:rsid w:val="5DA2314F"/>
    <w:rsid w:val="5DAE47DF"/>
    <w:rsid w:val="5DB32346"/>
    <w:rsid w:val="5DC46A6C"/>
    <w:rsid w:val="5E02003A"/>
    <w:rsid w:val="5E377E70"/>
    <w:rsid w:val="5E45039B"/>
    <w:rsid w:val="5EA07357"/>
    <w:rsid w:val="5EC24AA2"/>
    <w:rsid w:val="5ECF597B"/>
    <w:rsid w:val="5ED4079C"/>
    <w:rsid w:val="5F017B1F"/>
    <w:rsid w:val="5F0B5387"/>
    <w:rsid w:val="5F2173D6"/>
    <w:rsid w:val="5F535DEE"/>
    <w:rsid w:val="5F692364"/>
    <w:rsid w:val="5F753BCD"/>
    <w:rsid w:val="603D4B8B"/>
    <w:rsid w:val="605D6C0A"/>
    <w:rsid w:val="608701B9"/>
    <w:rsid w:val="60D02578"/>
    <w:rsid w:val="60D40AA3"/>
    <w:rsid w:val="610A166A"/>
    <w:rsid w:val="611D1C1E"/>
    <w:rsid w:val="61BD541E"/>
    <w:rsid w:val="61F75DA1"/>
    <w:rsid w:val="61F81ABC"/>
    <w:rsid w:val="62B372F3"/>
    <w:rsid w:val="62D77769"/>
    <w:rsid w:val="63886E2D"/>
    <w:rsid w:val="63B02C8A"/>
    <w:rsid w:val="63C07EDA"/>
    <w:rsid w:val="63D5657A"/>
    <w:rsid w:val="64137F7D"/>
    <w:rsid w:val="64150E92"/>
    <w:rsid w:val="64AC3153"/>
    <w:rsid w:val="64DA1D48"/>
    <w:rsid w:val="64EC331D"/>
    <w:rsid w:val="64F941A0"/>
    <w:rsid w:val="653308D7"/>
    <w:rsid w:val="65591A4D"/>
    <w:rsid w:val="656A1117"/>
    <w:rsid w:val="658A1CA0"/>
    <w:rsid w:val="65AB6E7B"/>
    <w:rsid w:val="65D97D8E"/>
    <w:rsid w:val="65E258EA"/>
    <w:rsid w:val="65EF0CEB"/>
    <w:rsid w:val="66222C46"/>
    <w:rsid w:val="663A64C2"/>
    <w:rsid w:val="666643FE"/>
    <w:rsid w:val="66AE0966"/>
    <w:rsid w:val="66CC2D91"/>
    <w:rsid w:val="66E46114"/>
    <w:rsid w:val="66FC0D02"/>
    <w:rsid w:val="67C37270"/>
    <w:rsid w:val="6808459A"/>
    <w:rsid w:val="68204298"/>
    <w:rsid w:val="68914F50"/>
    <w:rsid w:val="68B1662F"/>
    <w:rsid w:val="68E5499C"/>
    <w:rsid w:val="68FB53DA"/>
    <w:rsid w:val="690441A3"/>
    <w:rsid w:val="69370467"/>
    <w:rsid w:val="693A0F92"/>
    <w:rsid w:val="69586C11"/>
    <w:rsid w:val="699A1BFB"/>
    <w:rsid w:val="69D70D20"/>
    <w:rsid w:val="69D75403"/>
    <w:rsid w:val="69F2788A"/>
    <w:rsid w:val="6A5C442C"/>
    <w:rsid w:val="6A890F99"/>
    <w:rsid w:val="6AA12CEC"/>
    <w:rsid w:val="6ABB6223"/>
    <w:rsid w:val="6ACE19F1"/>
    <w:rsid w:val="6AFB0F75"/>
    <w:rsid w:val="6AFE29E4"/>
    <w:rsid w:val="6B0F149F"/>
    <w:rsid w:val="6B3F5F9E"/>
    <w:rsid w:val="6B543355"/>
    <w:rsid w:val="6B6D6F19"/>
    <w:rsid w:val="6B9E414D"/>
    <w:rsid w:val="6BE1648D"/>
    <w:rsid w:val="6C0F13B2"/>
    <w:rsid w:val="6C6844E2"/>
    <w:rsid w:val="6C757A27"/>
    <w:rsid w:val="6CAB3250"/>
    <w:rsid w:val="6CB239C7"/>
    <w:rsid w:val="6CE25E26"/>
    <w:rsid w:val="6D1224B4"/>
    <w:rsid w:val="6D195E81"/>
    <w:rsid w:val="6D1B5F11"/>
    <w:rsid w:val="6D35056F"/>
    <w:rsid w:val="6D403F8D"/>
    <w:rsid w:val="6D6372A1"/>
    <w:rsid w:val="6E0948CB"/>
    <w:rsid w:val="6E095345"/>
    <w:rsid w:val="6F0A5165"/>
    <w:rsid w:val="6F114FB3"/>
    <w:rsid w:val="6F192507"/>
    <w:rsid w:val="6F296BB5"/>
    <w:rsid w:val="6F345284"/>
    <w:rsid w:val="6F5C5FA6"/>
    <w:rsid w:val="6F790FD5"/>
    <w:rsid w:val="6F886322"/>
    <w:rsid w:val="700D2CBD"/>
    <w:rsid w:val="70787314"/>
    <w:rsid w:val="709169E7"/>
    <w:rsid w:val="70AB1680"/>
    <w:rsid w:val="70E72785"/>
    <w:rsid w:val="70F25CD4"/>
    <w:rsid w:val="70F84D12"/>
    <w:rsid w:val="711C42E1"/>
    <w:rsid w:val="71486F60"/>
    <w:rsid w:val="71F25676"/>
    <w:rsid w:val="71F9271D"/>
    <w:rsid w:val="723775C7"/>
    <w:rsid w:val="725229C2"/>
    <w:rsid w:val="72BE4224"/>
    <w:rsid w:val="72D770DF"/>
    <w:rsid w:val="72ED028F"/>
    <w:rsid w:val="73320E37"/>
    <w:rsid w:val="73337AA5"/>
    <w:rsid w:val="73B664A6"/>
    <w:rsid w:val="742E0CF1"/>
    <w:rsid w:val="74470143"/>
    <w:rsid w:val="74546999"/>
    <w:rsid w:val="74765F51"/>
    <w:rsid w:val="74870B8F"/>
    <w:rsid w:val="7496643F"/>
    <w:rsid w:val="74C82A7D"/>
    <w:rsid w:val="74CE1160"/>
    <w:rsid w:val="74F02791"/>
    <w:rsid w:val="74F914C5"/>
    <w:rsid w:val="75490B36"/>
    <w:rsid w:val="75A87014"/>
    <w:rsid w:val="75AF392E"/>
    <w:rsid w:val="75B07AB1"/>
    <w:rsid w:val="76627FB8"/>
    <w:rsid w:val="766C3D0D"/>
    <w:rsid w:val="768C5D79"/>
    <w:rsid w:val="76A94D2E"/>
    <w:rsid w:val="76EA20A1"/>
    <w:rsid w:val="76F84D0E"/>
    <w:rsid w:val="77913952"/>
    <w:rsid w:val="77C3638A"/>
    <w:rsid w:val="77D6672B"/>
    <w:rsid w:val="78097818"/>
    <w:rsid w:val="78435AA2"/>
    <w:rsid w:val="7877062D"/>
    <w:rsid w:val="78B31C8E"/>
    <w:rsid w:val="78CF2E1A"/>
    <w:rsid w:val="78D17EF1"/>
    <w:rsid w:val="78EF7450"/>
    <w:rsid w:val="79021FEE"/>
    <w:rsid w:val="7919739E"/>
    <w:rsid w:val="791A254B"/>
    <w:rsid w:val="791B0F19"/>
    <w:rsid w:val="79F61A79"/>
    <w:rsid w:val="7A41556E"/>
    <w:rsid w:val="7A774E53"/>
    <w:rsid w:val="7AB96AF7"/>
    <w:rsid w:val="7AE82DAB"/>
    <w:rsid w:val="7B932BB6"/>
    <w:rsid w:val="7BA21D92"/>
    <w:rsid w:val="7BB11537"/>
    <w:rsid w:val="7BC573B8"/>
    <w:rsid w:val="7BFC2199"/>
    <w:rsid w:val="7BFC5041"/>
    <w:rsid w:val="7C037AE8"/>
    <w:rsid w:val="7C0A5F7A"/>
    <w:rsid w:val="7C4E1A9F"/>
    <w:rsid w:val="7C584BF1"/>
    <w:rsid w:val="7C977656"/>
    <w:rsid w:val="7CA822A3"/>
    <w:rsid w:val="7CB824CA"/>
    <w:rsid w:val="7D1813F6"/>
    <w:rsid w:val="7D4729E6"/>
    <w:rsid w:val="7D862418"/>
    <w:rsid w:val="7DA35E41"/>
    <w:rsid w:val="7E070256"/>
    <w:rsid w:val="7E4B2AC3"/>
    <w:rsid w:val="7E903204"/>
    <w:rsid w:val="7EB904BE"/>
    <w:rsid w:val="7EDB1209"/>
    <w:rsid w:val="7F9D3F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ind w:firstLine="1044" w:firstLineChars="200"/>
      <w:jc w:val="both"/>
    </w:pPr>
    <w:rPr>
      <w:rFonts w:ascii="宋体" w:hAnsi="宋体" w:eastAsia="宋体" w:cs="宋体"/>
      <w:spacing w:val="11"/>
      <w:kern w:val="2"/>
      <w:sz w:val="24"/>
      <w:szCs w:val="24"/>
      <w:lang w:val="en-US" w:eastAsia="zh-CN" w:bidi="ar-SA"/>
    </w:rPr>
  </w:style>
  <w:style w:type="paragraph" w:styleId="4">
    <w:name w:val="heading 1"/>
    <w:basedOn w:val="1"/>
    <w:next w:val="1"/>
    <w:qFormat/>
    <w:uiPriority w:val="0"/>
    <w:pPr>
      <w:pageBreakBefore/>
      <w:numPr>
        <w:ilvl w:val="0"/>
        <w:numId w:val="1"/>
      </w:numPr>
      <w:spacing w:before="50" w:beforeLines="50" w:after="50" w:afterLines="50" w:line="360" w:lineRule="auto"/>
      <w:ind w:firstLineChars="0"/>
      <w:jc w:val="left"/>
      <w:outlineLvl w:val="0"/>
    </w:pPr>
    <w:rPr>
      <w:rFonts w:hint="eastAsia" w:eastAsia="黑体"/>
      <w:b/>
      <w:snapToGrid w:val="0"/>
      <w:kern w:val="0"/>
      <w:sz w:val="44"/>
    </w:rPr>
  </w:style>
  <w:style w:type="paragraph" w:styleId="5">
    <w:name w:val="heading 2"/>
    <w:basedOn w:val="1"/>
    <w:next w:val="1"/>
    <w:unhideWhenUsed/>
    <w:qFormat/>
    <w:uiPriority w:val="0"/>
    <w:pPr>
      <w:keepNext/>
      <w:numPr>
        <w:ilvl w:val="1"/>
        <w:numId w:val="1"/>
      </w:numPr>
      <w:spacing w:before="50" w:beforeLines="50" w:after="50" w:afterLines="50" w:line="360" w:lineRule="auto"/>
      <w:ind w:firstLineChars="0"/>
      <w:outlineLvl w:val="1"/>
    </w:pPr>
    <w:rPr>
      <w:rFonts w:hint="eastAsia" w:ascii="黑体" w:hAnsi="黑体" w:eastAsia="黑体"/>
      <w:b/>
      <w:snapToGrid w:val="0"/>
      <w:kern w:val="0"/>
      <w:sz w:val="36"/>
    </w:rPr>
  </w:style>
  <w:style w:type="paragraph" w:styleId="6">
    <w:name w:val="heading 3"/>
    <w:basedOn w:val="1"/>
    <w:next w:val="1"/>
    <w:unhideWhenUsed/>
    <w:qFormat/>
    <w:uiPriority w:val="0"/>
    <w:pPr>
      <w:keepNext/>
      <w:numPr>
        <w:ilvl w:val="2"/>
        <w:numId w:val="1"/>
      </w:numPr>
      <w:spacing w:before="50" w:beforeLines="50" w:after="50" w:afterLines="50" w:line="360" w:lineRule="auto"/>
      <w:ind w:firstLineChars="0"/>
      <w:outlineLvl w:val="2"/>
    </w:pPr>
    <w:rPr>
      <w:rFonts w:ascii="Arial" w:hAnsi="Arial" w:eastAsia="黑体"/>
      <w:b/>
      <w:snapToGrid w:val="0"/>
      <w:kern w:val="0"/>
      <w:sz w:val="32"/>
    </w:rPr>
  </w:style>
  <w:style w:type="paragraph" w:styleId="7">
    <w:name w:val="heading 4"/>
    <w:basedOn w:val="1"/>
    <w:next w:val="1"/>
    <w:unhideWhenUsed/>
    <w:qFormat/>
    <w:uiPriority w:val="0"/>
    <w:pPr>
      <w:keepNext/>
      <w:numPr>
        <w:ilvl w:val="3"/>
        <w:numId w:val="1"/>
      </w:numPr>
      <w:tabs>
        <w:tab w:val="left" w:pos="0"/>
      </w:tabs>
      <w:spacing w:before="50" w:beforeLines="50" w:after="50" w:afterLines="50" w:line="360" w:lineRule="auto"/>
      <w:ind w:firstLineChars="0"/>
      <w:outlineLvl w:val="3"/>
    </w:pPr>
    <w:rPr>
      <w:rFonts w:hint="eastAsia" w:ascii="Arial" w:hAnsi="Arial" w:eastAsia="黑体"/>
      <w:b/>
      <w:snapToGrid w:val="0"/>
      <w:kern w:val="0"/>
      <w:sz w:val="30"/>
    </w:rPr>
  </w:style>
  <w:style w:type="paragraph" w:styleId="8">
    <w:name w:val="heading 5"/>
    <w:basedOn w:val="1"/>
    <w:next w:val="1"/>
    <w:unhideWhenUsed/>
    <w:qFormat/>
    <w:uiPriority w:val="0"/>
    <w:pPr>
      <w:keepNext/>
      <w:keepLines/>
      <w:numPr>
        <w:ilvl w:val="4"/>
        <w:numId w:val="1"/>
      </w:numPr>
      <w:spacing w:line="360" w:lineRule="auto"/>
      <w:ind w:firstLineChars="0"/>
      <w:outlineLvl w:val="4"/>
    </w:pPr>
    <w:rPr>
      <w:rFonts w:ascii="黑体" w:hAnsi="黑体" w:eastAsia="黑体"/>
      <w:b/>
      <w:sz w:val="28"/>
    </w:rPr>
  </w:style>
  <w:style w:type="paragraph" w:styleId="9">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10">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11">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2">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style>
  <w:style w:type="paragraph" w:styleId="3">
    <w:name w:val="Body Text Indent"/>
    <w:basedOn w:val="1"/>
    <w:next w:val="1"/>
    <w:unhideWhenUsed/>
    <w:qFormat/>
    <w:uiPriority w:val="99"/>
    <w:pPr>
      <w:spacing w:after="120" w:afterLines="0" w:afterAutospacing="0"/>
      <w:ind w:left="420" w:leftChars="200"/>
    </w:pPr>
  </w:style>
  <w:style w:type="paragraph" w:styleId="13">
    <w:name w:val="Normal Indent"/>
    <w:basedOn w:val="1"/>
    <w:qFormat/>
    <w:uiPriority w:val="0"/>
    <w:pPr>
      <w:ind w:firstLine="420"/>
    </w:pPr>
    <w:rPr>
      <w:rFonts w:ascii="Arial" w:hAnsi="Arial"/>
      <w:kern w:val="0"/>
      <w:szCs w:val="32"/>
    </w:rPr>
  </w:style>
  <w:style w:type="paragraph" w:styleId="14">
    <w:name w:val="caption"/>
    <w:basedOn w:val="1"/>
    <w:next w:val="1"/>
    <w:semiHidden/>
    <w:unhideWhenUsed/>
    <w:qFormat/>
    <w:uiPriority w:val="0"/>
    <w:pPr>
      <w:keepNext/>
      <w:spacing w:before="100" w:beforeLines="100" w:line="360" w:lineRule="auto"/>
      <w:jc w:val="center"/>
    </w:pPr>
    <w:rPr>
      <w:rFonts w:ascii="宋体" w:hAnsi="宋体"/>
      <w:snapToGrid w:val="0"/>
      <w:spacing w:val="11"/>
      <w:kern w:val="0"/>
      <w:sz w:val="21"/>
    </w:rPr>
  </w:style>
  <w:style w:type="paragraph" w:styleId="15">
    <w:name w:val="annotation text"/>
    <w:basedOn w:val="1"/>
    <w:qFormat/>
    <w:uiPriority w:val="0"/>
    <w:pPr>
      <w:jc w:val="left"/>
    </w:pPr>
  </w:style>
  <w:style w:type="paragraph" w:styleId="16">
    <w:name w:val="Body Text"/>
    <w:basedOn w:val="1"/>
    <w:next w:val="1"/>
    <w:qFormat/>
    <w:uiPriority w:val="99"/>
    <w:pPr>
      <w:spacing w:after="120"/>
    </w:pPr>
    <w:rPr>
      <w:kern w:val="0"/>
      <w:sz w:val="20"/>
    </w:rPr>
  </w:style>
  <w:style w:type="paragraph" w:styleId="17">
    <w:name w:val="toc 3"/>
    <w:basedOn w:val="1"/>
    <w:next w:val="1"/>
    <w:qFormat/>
    <w:uiPriority w:val="0"/>
    <w:pPr>
      <w:tabs>
        <w:tab w:val="left" w:leader="dot" w:pos="8295"/>
      </w:tabs>
      <w:spacing w:line="360" w:lineRule="auto"/>
      <w:ind w:left="840" w:leftChars="350"/>
    </w:pPr>
    <w:rPr>
      <w:rFonts w:ascii="宋体" w:hAnsi="宋体"/>
      <w:snapToGrid w:val="0"/>
      <w:kern w:val="0"/>
      <w:sz w:val="24"/>
    </w:rPr>
  </w:style>
  <w:style w:type="paragraph" w:styleId="18">
    <w:name w:val="Plain Text"/>
    <w:basedOn w:val="1"/>
    <w:qFormat/>
    <w:uiPriority w:val="0"/>
    <w:rPr>
      <w:rFonts w:ascii="宋体" w:hAnsi="Courier New"/>
    </w:rPr>
  </w:style>
  <w:style w:type="paragraph" w:styleId="19">
    <w:name w:val="Body Text Indent 2"/>
    <w:basedOn w:val="1"/>
    <w:semiHidden/>
    <w:unhideWhenUsed/>
    <w:qFormat/>
    <w:uiPriority w:val="99"/>
    <w:pPr>
      <w:spacing w:after="120" w:afterLines="0" w:afterAutospacing="0" w:line="480" w:lineRule="auto"/>
      <w:ind w:left="420" w:leftChars="200"/>
    </w:pPr>
  </w:style>
  <w:style w:type="paragraph" w:styleId="20">
    <w:name w:val="footer"/>
    <w:basedOn w:val="1"/>
    <w:qFormat/>
    <w:uiPriority w:val="0"/>
    <w:pPr>
      <w:tabs>
        <w:tab w:val="center" w:pos="4153"/>
        <w:tab w:val="right" w:pos="8306"/>
      </w:tabs>
      <w:ind w:firstLine="0" w:firstLineChars="0"/>
      <w:jc w:val="center"/>
    </w:pPr>
    <w:rPr>
      <w:rFonts w:hint="eastAsia" w:ascii="宋体" w:hAnsi="宋体" w:eastAsia="宋体"/>
      <w:snapToGrid w:val="0"/>
      <w:kern w:val="0"/>
      <w:sz w:val="18"/>
    </w:rPr>
  </w:style>
  <w:style w:type="paragraph" w:styleId="21">
    <w:name w:val="header"/>
    <w:basedOn w:val="1"/>
    <w:qFormat/>
    <w:uiPriority w:val="0"/>
    <w:pPr>
      <w:tabs>
        <w:tab w:val="center" w:pos="4153"/>
        <w:tab w:val="right" w:pos="8306"/>
      </w:tabs>
      <w:jc w:val="right"/>
    </w:pPr>
    <w:rPr>
      <w:rFonts w:ascii="宋体" w:hAnsi="宋体"/>
      <w:snapToGrid w:val="0"/>
      <w:kern w:val="0"/>
      <w:sz w:val="18"/>
    </w:rPr>
  </w:style>
  <w:style w:type="paragraph" w:styleId="22">
    <w:name w:val="toc 1"/>
    <w:basedOn w:val="1"/>
    <w:next w:val="1"/>
    <w:qFormat/>
    <w:uiPriority w:val="0"/>
    <w:pPr>
      <w:tabs>
        <w:tab w:val="left" w:leader="dot" w:pos="8296"/>
      </w:tabs>
      <w:spacing w:line="360" w:lineRule="auto"/>
    </w:pPr>
    <w:rPr>
      <w:rFonts w:hint="eastAsia" w:ascii="宋体" w:hAnsi="宋体"/>
      <w:snapToGrid w:val="0"/>
      <w:kern w:val="0"/>
      <w:sz w:val="24"/>
    </w:rPr>
  </w:style>
  <w:style w:type="paragraph" w:styleId="23">
    <w:name w:val="table of figures"/>
    <w:basedOn w:val="1"/>
    <w:next w:val="1"/>
    <w:qFormat/>
    <w:uiPriority w:val="0"/>
    <w:pPr>
      <w:ind w:left="200" w:leftChars="200" w:hanging="200" w:hangingChars="200"/>
    </w:pPr>
  </w:style>
  <w:style w:type="paragraph" w:styleId="24">
    <w:name w:val="toc 2"/>
    <w:basedOn w:val="1"/>
    <w:next w:val="1"/>
    <w:qFormat/>
    <w:uiPriority w:val="0"/>
    <w:pPr>
      <w:tabs>
        <w:tab w:val="left" w:leader="dot" w:pos="8295"/>
      </w:tabs>
      <w:spacing w:line="360" w:lineRule="auto"/>
      <w:ind w:left="480" w:leftChars="200"/>
    </w:pPr>
    <w:rPr>
      <w:rFonts w:ascii="宋体" w:hAnsi="宋体"/>
      <w:snapToGrid w:val="0"/>
      <w:kern w:val="0"/>
      <w:sz w:val="24"/>
    </w:rPr>
  </w:style>
  <w:style w:type="paragraph" w:styleId="25">
    <w:name w:val="Body Text 2"/>
    <w:basedOn w:val="1"/>
    <w:qFormat/>
    <w:uiPriority w:val="0"/>
    <w:pPr>
      <w:spacing w:after="120" w:line="480" w:lineRule="auto"/>
    </w:pPr>
  </w:style>
  <w:style w:type="paragraph" w:styleId="26">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27">
    <w:name w:val="Body Text First Indent"/>
    <w:basedOn w:val="16"/>
    <w:next w:val="2"/>
    <w:qFormat/>
    <w:uiPriority w:val="0"/>
    <w:pPr>
      <w:widowControl/>
      <w:ind w:firstLine="420" w:firstLineChars="100"/>
      <w:jc w:val="left"/>
    </w:pPr>
    <w:rPr>
      <w:rFonts w:eastAsia="仿宋_GB2312"/>
      <w:sz w:val="24"/>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qFormat/>
    <w:uiPriority w:val="0"/>
    <w:rPr>
      <w:b/>
      <w:bCs/>
    </w:rPr>
  </w:style>
  <w:style w:type="character" w:styleId="32">
    <w:name w:val="Hyperlink"/>
    <w:basedOn w:val="30"/>
    <w:qFormat/>
    <w:uiPriority w:val="0"/>
    <w:rPr>
      <w:color w:val="0000FF"/>
      <w:u w:val="single"/>
    </w:rPr>
  </w:style>
  <w:style w:type="paragraph" w:customStyle="1" w:styleId="33">
    <w:name w:val="目录标题"/>
    <w:basedOn w:val="1"/>
    <w:qFormat/>
    <w:uiPriority w:val="0"/>
    <w:pPr>
      <w:spacing w:before="50" w:beforeLines="50" w:after="50" w:afterLines="50" w:line="360" w:lineRule="auto"/>
      <w:jc w:val="center"/>
      <w:outlineLvl w:val="9"/>
    </w:pPr>
    <w:rPr>
      <w:rFonts w:ascii="黑体" w:hAnsi="黑体" w:eastAsia="黑体"/>
      <w:snapToGrid w:val="0"/>
      <w:kern w:val="0"/>
      <w:sz w:val="44"/>
    </w:rPr>
  </w:style>
  <w:style w:type="paragraph" w:customStyle="1" w:styleId="34">
    <w:name w:val="6图编号"/>
    <w:basedOn w:val="1"/>
    <w:qFormat/>
    <w:uiPriority w:val="0"/>
  </w:style>
  <w:style w:type="character" w:customStyle="1" w:styleId="35">
    <w:name w:val="表格编号 Char"/>
    <w:link w:val="36"/>
    <w:qFormat/>
    <w:locked/>
    <w:uiPriority w:val="0"/>
    <w:rPr>
      <w:rFonts w:ascii="宋体" w:hAnsi="宋体" w:eastAsia="宋体"/>
      <w:snapToGrid w:val="0"/>
      <w:sz w:val="21"/>
      <w:szCs w:val="22"/>
    </w:rPr>
  </w:style>
  <w:style w:type="paragraph" w:customStyle="1" w:styleId="36">
    <w:name w:val="5表格编号"/>
    <w:basedOn w:val="37"/>
    <w:next w:val="1"/>
    <w:link w:val="35"/>
    <w:qFormat/>
    <w:uiPriority w:val="0"/>
    <w:pPr>
      <w:keepNext/>
      <w:widowControl w:val="0"/>
      <w:numPr>
        <w:numId w:val="2"/>
      </w:numPr>
      <w:tabs>
        <w:tab w:val="left" w:pos="420"/>
      </w:tabs>
      <w:snapToGrid w:val="0"/>
      <w:spacing w:before="100" w:beforeLines="100" w:line="360" w:lineRule="auto"/>
      <w:ind w:left="0" w:firstLine="0" w:firstLineChars="0"/>
      <w:jc w:val="center"/>
    </w:pPr>
    <w:rPr>
      <w:rFonts w:ascii="宋体" w:hAnsi="宋体" w:eastAsia="宋体" w:cs="Times New Roman"/>
      <w:snapToGrid w:val="0"/>
      <w:szCs w:val="22"/>
    </w:rPr>
  </w:style>
  <w:style w:type="paragraph" w:customStyle="1" w:styleId="37">
    <w:name w:val="图案编号"/>
    <w:basedOn w:val="1"/>
    <w:qFormat/>
    <w:uiPriority w:val="0"/>
    <w:pPr>
      <w:numPr>
        <w:ilvl w:val="0"/>
        <w:numId w:val="3"/>
      </w:numPr>
      <w:spacing w:line="240" w:lineRule="auto"/>
      <w:jc w:val="center"/>
      <w:textAlignment w:val="center"/>
    </w:pPr>
    <w:rPr>
      <w:rFonts w:ascii="宋体" w:hAnsi="宋体" w:eastAsia="宋体"/>
      <w:sz w:val="21"/>
    </w:rPr>
  </w:style>
  <w:style w:type="paragraph" w:customStyle="1" w:styleId="38">
    <w:name w:val="正文（缩进）"/>
    <w:basedOn w:val="1"/>
    <w:next w:val="1"/>
    <w:qFormat/>
    <w:uiPriority w:val="0"/>
    <w:pPr>
      <w:snapToGrid/>
      <w:spacing w:before="156" w:after="156"/>
      <w:ind w:firstLine="480"/>
    </w:pPr>
  </w:style>
  <w:style w:type="paragraph" w:customStyle="1" w:styleId="39">
    <w:name w:val="样式 样式 正文（首行缩进两字） + 首行缩进:  2 字符 + (符号) Times New Roman 两端对齐 首行缩..."/>
    <w:basedOn w:val="1"/>
    <w:qFormat/>
    <w:uiPriority w:val="0"/>
    <w:pPr>
      <w:adjustRightInd w:val="0"/>
      <w:snapToGrid w:val="0"/>
    </w:pPr>
    <w:rPr>
      <w:snapToGrid w:val="0"/>
      <w:spacing w:val="10"/>
    </w:rPr>
  </w:style>
  <w:style w:type="paragraph" w:customStyle="1" w:styleId="40">
    <w:name w:val="3表格编号"/>
    <w:basedOn w:val="37"/>
    <w:next w:val="1"/>
    <w:qFormat/>
    <w:uiPriority w:val="0"/>
    <w:pPr>
      <w:keepNext/>
      <w:widowControl w:val="0"/>
      <w:numPr>
        <w:numId w:val="4"/>
      </w:numPr>
      <w:snapToGrid w:val="0"/>
      <w:spacing w:before="100" w:beforeLines="100" w:line="360" w:lineRule="auto"/>
      <w:ind w:left="0" w:firstLine="0" w:firstLineChars="0"/>
      <w:jc w:val="center"/>
    </w:pPr>
    <w:rPr>
      <w:rFonts w:ascii="宋体" w:hAnsi="宋体" w:eastAsia="宋体"/>
      <w:snapToGrid w:val="0"/>
    </w:rPr>
  </w:style>
  <w:style w:type="paragraph" w:customStyle="1" w:styleId="41">
    <w:name w:val="3图编号"/>
    <w:basedOn w:val="1"/>
    <w:qFormat/>
    <w:uiPriority w:val="0"/>
    <w:pPr>
      <w:numPr>
        <w:ilvl w:val="0"/>
        <w:numId w:val="5"/>
      </w:numPr>
      <w:snapToGrid/>
      <w:spacing w:before="50" w:beforeLines="50" w:after="100" w:afterLines="100"/>
      <w:ind w:firstLine="0" w:firstLineChars="0"/>
      <w:jc w:val="center"/>
      <w:outlineLvl w:val="9"/>
    </w:pPr>
    <w:rPr>
      <w:rFonts w:hint="eastAsia" w:ascii="宋体" w:hAnsi="宋体" w:eastAsia="宋体"/>
      <w:sz w:val="21"/>
    </w:rPr>
  </w:style>
  <w:style w:type="paragraph" w:customStyle="1" w:styleId="42">
    <w:name w:val="4图号"/>
    <w:basedOn w:val="43"/>
    <w:next w:val="43"/>
    <w:qFormat/>
    <w:uiPriority w:val="0"/>
    <w:pPr>
      <w:numPr>
        <w:ilvl w:val="0"/>
        <w:numId w:val="6"/>
      </w:numPr>
      <w:spacing w:before="50" w:beforeLines="50" w:after="100" w:afterLines="100"/>
      <w:ind w:firstLine="0" w:firstLineChars="0"/>
      <w:jc w:val="center"/>
    </w:pPr>
    <w:rPr>
      <w:rFonts w:ascii="宋体" w:hAnsi="宋体" w:eastAsia="宋体"/>
      <w:spacing w:val="0"/>
      <w:sz w:val="21"/>
    </w:rPr>
  </w:style>
  <w:style w:type="paragraph" w:customStyle="1" w:styleId="43">
    <w:name w:val="样式  + 首行缩进:  2 字符"/>
    <w:basedOn w:val="1"/>
    <w:next w:val="1"/>
    <w:link w:val="52"/>
    <w:qFormat/>
    <w:uiPriority w:val="0"/>
    <w:pPr>
      <w:adjustRightInd w:val="0"/>
      <w:spacing w:line="360" w:lineRule="auto"/>
      <w:ind w:firstLine="524" w:firstLineChars="200"/>
    </w:pPr>
    <w:rPr>
      <w:rFonts w:ascii="宋体" w:hAnsi="宋体"/>
      <w:snapToGrid w:val="0"/>
      <w:spacing w:val="11"/>
      <w:kern w:val="0"/>
      <w:sz w:val="24"/>
      <w:szCs w:val="24"/>
    </w:rPr>
  </w:style>
  <w:style w:type="paragraph" w:customStyle="1" w:styleId="44">
    <w:name w:val="5插图编号"/>
    <w:basedOn w:val="43"/>
    <w:next w:val="43"/>
    <w:qFormat/>
    <w:uiPriority w:val="0"/>
    <w:pPr>
      <w:numPr>
        <w:ilvl w:val="0"/>
        <w:numId w:val="7"/>
      </w:numPr>
      <w:spacing w:before="50" w:beforeLines="50" w:after="100" w:afterLines="100"/>
      <w:ind w:firstLine="0" w:firstLineChars="0"/>
      <w:jc w:val="center"/>
    </w:pPr>
    <w:rPr>
      <w:rFonts w:ascii="宋体" w:hAnsi="宋体" w:eastAsia="宋体"/>
      <w:spacing w:val="0"/>
      <w:sz w:val="21"/>
    </w:rPr>
  </w:style>
  <w:style w:type="paragraph" w:customStyle="1" w:styleId="45">
    <w:name w:val="6表格"/>
    <w:basedOn w:val="1"/>
    <w:qFormat/>
    <w:uiPriority w:val="0"/>
    <w:pPr>
      <w:numPr>
        <w:ilvl w:val="0"/>
        <w:numId w:val="8"/>
      </w:numPr>
      <w:snapToGrid w:val="0"/>
      <w:spacing w:before="100" w:beforeLines="100" w:line="360" w:lineRule="auto"/>
      <w:ind w:left="0" w:firstLine="0" w:firstLineChars="0"/>
      <w:jc w:val="center"/>
    </w:pPr>
    <w:rPr>
      <w:rFonts w:ascii="Times New Roman" w:hAnsi="Times New Roman" w:eastAsia="宋体"/>
      <w:kern w:val="0"/>
      <w:sz w:val="21"/>
      <w:szCs w:val="20"/>
    </w:rPr>
  </w:style>
  <w:style w:type="paragraph" w:customStyle="1" w:styleId="46">
    <w:name w:val="7表格_编号"/>
    <w:basedOn w:val="47"/>
    <w:qFormat/>
    <w:uiPriority w:val="0"/>
    <w:pPr>
      <w:keepNext/>
      <w:numPr>
        <w:ilvl w:val="0"/>
        <w:numId w:val="9"/>
      </w:numPr>
      <w:tabs>
        <w:tab w:val="left" w:pos="113"/>
        <w:tab w:val="clear" w:pos="0"/>
      </w:tabs>
      <w:snapToGrid/>
      <w:spacing w:before="100" w:beforeLines="100" w:line="360" w:lineRule="auto"/>
      <w:ind w:firstLine="0"/>
      <w:jc w:val="center"/>
      <w:textAlignment w:val="baseline"/>
    </w:pPr>
    <w:rPr>
      <w:rFonts w:ascii="宋体" w:hAnsi="宋体" w:eastAsia="宋体"/>
      <w:spacing w:val="4"/>
      <w:sz w:val="21"/>
    </w:rPr>
  </w:style>
  <w:style w:type="paragraph" w:customStyle="1" w:styleId="47">
    <w:name w:val="文档正文"/>
    <w:basedOn w:val="1"/>
    <w:qFormat/>
    <w:uiPriority w:val="0"/>
    <w:pPr>
      <w:ind w:firstLine="561" w:firstLineChars="0"/>
    </w:pPr>
    <w:rPr>
      <w:rFonts w:eastAsia="仿宋_GB2312"/>
      <w:kern w:val="0"/>
      <w:sz w:val="28"/>
      <w:szCs w:val="20"/>
    </w:rPr>
  </w:style>
  <w:style w:type="paragraph" w:customStyle="1" w:styleId="48">
    <w:name w:val="9表编号"/>
    <w:basedOn w:val="1"/>
    <w:qFormat/>
    <w:uiPriority w:val="0"/>
    <w:pPr>
      <w:keepNext/>
      <w:numPr>
        <w:ilvl w:val="0"/>
        <w:numId w:val="10"/>
      </w:numPr>
      <w:tabs>
        <w:tab w:val="left" w:pos="420"/>
        <w:tab w:val="clear" w:pos="0"/>
      </w:tabs>
      <w:adjustRightInd w:val="0"/>
      <w:spacing w:before="100" w:beforeLines="100"/>
      <w:ind w:firstLine="0" w:firstLineChars="0"/>
      <w:jc w:val="center"/>
    </w:pPr>
    <w:rPr>
      <w:rFonts w:hint="eastAsia" w:ascii="宋体" w:hAnsi="宋体" w:cs="Times New Roman"/>
      <w:snapToGrid w:val="0"/>
      <w:spacing w:val="11"/>
      <w:sz w:val="21"/>
      <w:szCs w:val="22"/>
    </w:rPr>
  </w:style>
  <w:style w:type="paragraph" w:customStyle="1" w:styleId="49">
    <w:name w:val="2插图编号"/>
    <w:basedOn w:val="1"/>
    <w:qFormat/>
    <w:uiPriority w:val="0"/>
    <w:pPr>
      <w:numPr>
        <w:ilvl w:val="0"/>
        <w:numId w:val="11"/>
      </w:numPr>
      <w:snapToGrid/>
      <w:spacing w:before="50" w:beforeLines="50" w:after="100" w:afterLines="100"/>
      <w:ind w:firstLine="0" w:firstLineChars="0"/>
      <w:jc w:val="center"/>
      <w:outlineLvl w:val="9"/>
    </w:pPr>
    <w:rPr>
      <w:rFonts w:hint="eastAsia" w:ascii="宋体" w:hAnsi="宋体"/>
      <w:sz w:val="21"/>
    </w:rPr>
  </w:style>
  <w:style w:type="paragraph" w:customStyle="1" w:styleId="50">
    <w:name w:val="8表编号"/>
    <w:basedOn w:val="1"/>
    <w:qFormat/>
    <w:uiPriority w:val="0"/>
    <w:pPr>
      <w:keepNext/>
      <w:numPr>
        <w:ilvl w:val="0"/>
        <w:numId w:val="12"/>
      </w:numPr>
      <w:tabs>
        <w:tab w:val="left" w:pos="420"/>
        <w:tab w:val="clear" w:pos="0"/>
      </w:tabs>
      <w:adjustRightInd w:val="0"/>
      <w:spacing w:before="100" w:beforeLines="100"/>
      <w:ind w:firstLine="0" w:firstLineChars="0"/>
      <w:jc w:val="center"/>
    </w:pPr>
    <w:rPr>
      <w:rFonts w:hint="eastAsia" w:ascii="宋体" w:hAnsi="宋体" w:eastAsia="宋体" w:cs="Times New Roman"/>
      <w:snapToGrid w:val="0"/>
      <w:spacing w:val="11"/>
      <w:sz w:val="21"/>
      <w:szCs w:val="22"/>
    </w:rPr>
  </w:style>
  <w:style w:type="paragraph" w:customStyle="1" w:styleId="51">
    <w:name w:val="8图编号"/>
    <w:basedOn w:val="1"/>
    <w:qFormat/>
    <w:uiPriority w:val="0"/>
    <w:pPr>
      <w:numPr>
        <w:ilvl w:val="0"/>
        <w:numId w:val="13"/>
      </w:numPr>
      <w:adjustRightInd w:val="0"/>
      <w:spacing w:before="50" w:beforeLines="50" w:after="100" w:afterLines="100"/>
      <w:ind w:firstLine="0" w:firstLineChars="0"/>
      <w:jc w:val="center"/>
    </w:pPr>
    <w:rPr>
      <w:rFonts w:hint="eastAsia" w:ascii="宋体" w:hAnsi="宋体" w:eastAsia="宋体"/>
      <w:snapToGrid w:val="0"/>
      <w:kern w:val="0"/>
      <w:sz w:val="21"/>
    </w:rPr>
  </w:style>
  <w:style w:type="character" w:customStyle="1" w:styleId="52">
    <w:name w:val="样式  + 首行缩进:  2 字符 Char"/>
    <w:link w:val="43"/>
    <w:qFormat/>
    <w:locked/>
    <w:uiPriority w:val="0"/>
    <w:rPr>
      <w:rFonts w:ascii="宋体" w:hAnsi="宋体" w:eastAsia="宋体"/>
      <w:snapToGrid w:val="0"/>
      <w:spacing w:val="11"/>
      <w:sz w:val="24"/>
      <w:szCs w:val="24"/>
    </w:rPr>
  </w:style>
  <w:style w:type="paragraph" w:customStyle="1" w:styleId="53">
    <w:name w:val="封面2标题"/>
    <w:qFormat/>
    <w:uiPriority w:val="0"/>
    <w:pPr>
      <w:widowControl w:val="0"/>
      <w:snapToGrid w:val="0"/>
      <w:spacing w:line="360" w:lineRule="auto"/>
      <w:jc w:val="center"/>
    </w:pPr>
    <w:rPr>
      <w:rFonts w:ascii="隶书" w:hAnsi="隶书" w:eastAsia="隶书" w:cs="Times New Roman"/>
      <w:b/>
      <w:snapToGrid w:val="0"/>
      <w:sz w:val="44"/>
      <w:szCs w:val="22"/>
      <w:lang w:val="en-US" w:eastAsia="zh-CN" w:bidi="ar-SA"/>
    </w:rPr>
  </w:style>
  <w:style w:type="paragraph" w:customStyle="1" w:styleId="54">
    <w:name w:val="封面2设计编号等"/>
    <w:qFormat/>
    <w:uiPriority w:val="0"/>
    <w:pPr>
      <w:widowControl w:val="0"/>
      <w:snapToGrid w:val="0"/>
      <w:spacing w:line="360" w:lineRule="auto"/>
      <w:ind w:left="1587"/>
      <w:jc w:val="both"/>
    </w:pPr>
    <w:rPr>
      <w:rFonts w:ascii="Arial" w:hAnsi="Arial" w:eastAsia="楷体_GB2312" w:cs="Times New Roman"/>
      <w:snapToGrid w:val="0"/>
      <w:sz w:val="32"/>
      <w:szCs w:val="22"/>
      <w:lang w:val="en-US" w:eastAsia="zh-CN" w:bidi="ar-SA"/>
    </w:rPr>
  </w:style>
  <w:style w:type="paragraph" w:customStyle="1" w:styleId="55">
    <w:name w:val="封面2底部-公司名称"/>
    <w:qFormat/>
    <w:uiPriority w:val="0"/>
    <w:pPr>
      <w:widowControl w:val="0"/>
      <w:snapToGrid w:val="0"/>
      <w:spacing w:line="360" w:lineRule="auto"/>
      <w:jc w:val="center"/>
    </w:pPr>
    <w:rPr>
      <w:rFonts w:ascii="隶书" w:hAnsi="隶书" w:eastAsia="隶书" w:cs="Times New Roman"/>
      <w:b/>
      <w:snapToGrid w:val="0"/>
      <w:spacing w:val="34"/>
      <w:sz w:val="30"/>
      <w:szCs w:val="22"/>
      <w:lang w:val="en-US" w:eastAsia="zh-CN" w:bidi="ar-SA"/>
    </w:rPr>
  </w:style>
  <w:style w:type="paragraph" w:customStyle="1" w:styleId="56">
    <w:name w:val="封面2底部-日期"/>
    <w:qFormat/>
    <w:uiPriority w:val="0"/>
    <w:pPr>
      <w:widowControl w:val="0"/>
      <w:snapToGrid w:val="0"/>
      <w:spacing w:before="78" w:after="78" w:line="336" w:lineRule="auto"/>
      <w:jc w:val="center"/>
    </w:pPr>
    <w:rPr>
      <w:rFonts w:ascii="隶书" w:hAnsi="隶书" w:eastAsia="隶书" w:cs="Times New Roman"/>
      <w:b/>
      <w:snapToGrid w:val="0"/>
      <w:spacing w:val="34"/>
      <w:sz w:val="28"/>
      <w:szCs w:val="22"/>
      <w:lang w:val="en-US" w:eastAsia="zh-CN" w:bidi="ar-SA"/>
    </w:rPr>
  </w:style>
  <w:style w:type="paragraph" w:customStyle="1" w:styleId="57">
    <w:name w:val="封面3表格内文字-左"/>
    <w:qFormat/>
    <w:uiPriority w:val="0"/>
    <w:pPr>
      <w:widowControl w:val="0"/>
      <w:snapToGrid w:val="0"/>
      <w:jc w:val="distribute"/>
    </w:pPr>
    <w:rPr>
      <w:rFonts w:ascii="宋体" w:hAnsi="宋体" w:eastAsia="宋体" w:cs="Times New Roman"/>
      <w:snapToGrid w:val="0"/>
      <w:sz w:val="32"/>
      <w:szCs w:val="22"/>
      <w:lang w:val="en-US" w:eastAsia="zh-CN" w:bidi="ar-SA"/>
    </w:rPr>
  </w:style>
  <w:style w:type="paragraph" w:customStyle="1" w:styleId="58">
    <w:name w:val="封面3表格内文字-右"/>
    <w:qFormat/>
    <w:uiPriority w:val="0"/>
    <w:pPr>
      <w:widowControl w:val="0"/>
      <w:snapToGrid w:val="0"/>
    </w:pPr>
    <w:rPr>
      <w:rFonts w:ascii="隶书" w:hAnsi="隶书" w:eastAsia="隶书" w:cs="Times New Roman"/>
      <w:b/>
      <w:snapToGrid w:val="0"/>
      <w:sz w:val="32"/>
      <w:szCs w:val="22"/>
      <w:lang w:val="en-US" w:eastAsia="zh-CN" w:bidi="ar-SA"/>
    </w:rPr>
  </w:style>
  <w:style w:type="paragraph" w:customStyle="1" w:styleId="59">
    <w:name w:val="文件分发表标题"/>
    <w:qFormat/>
    <w:uiPriority w:val="0"/>
    <w:pPr>
      <w:widowControl w:val="0"/>
      <w:snapToGrid w:val="0"/>
      <w:spacing w:line="360" w:lineRule="auto"/>
      <w:jc w:val="center"/>
    </w:pPr>
    <w:rPr>
      <w:rFonts w:hint="eastAsia" w:ascii="宋体" w:hAnsi="宋体" w:eastAsia="宋体" w:cs="Times New Roman"/>
      <w:b/>
      <w:snapToGrid w:val="0"/>
      <w:sz w:val="28"/>
      <w:szCs w:val="22"/>
      <w:lang w:val="en-US" w:eastAsia="zh-CN" w:bidi="ar-SA"/>
    </w:rPr>
  </w:style>
  <w:style w:type="paragraph" w:customStyle="1" w:styleId="60">
    <w:name w:val="表格内文字"/>
    <w:link w:val="61"/>
    <w:qFormat/>
    <w:uiPriority w:val="0"/>
    <w:pPr>
      <w:widowControl w:val="0"/>
      <w:snapToGrid w:val="0"/>
      <w:ind w:left="60" w:leftChars="25" w:right="60" w:rightChars="25"/>
      <w:jc w:val="center"/>
    </w:pPr>
    <w:rPr>
      <w:rFonts w:hint="eastAsia" w:ascii="宋体" w:hAnsi="宋体" w:eastAsia="宋体" w:cs="Times New Roman"/>
      <w:snapToGrid w:val="0"/>
      <w:sz w:val="21"/>
      <w:szCs w:val="22"/>
      <w:lang w:val="en-US" w:eastAsia="zh-CN" w:bidi="ar-SA"/>
    </w:rPr>
  </w:style>
  <w:style w:type="character" w:customStyle="1" w:styleId="61">
    <w:name w:val="表格内文字 Char"/>
    <w:link w:val="60"/>
    <w:qFormat/>
    <w:locked/>
    <w:uiPriority w:val="0"/>
    <w:rPr>
      <w:rFonts w:ascii="宋体" w:hAnsi="宋体" w:eastAsia="宋体"/>
      <w:snapToGrid w:val="0"/>
      <w:sz w:val="21"/>
      <w:szCs w:val="22"/>
    </w:rPr>
  </w:style>
  <w:style w:type="paragraph" w:customStyle="1" w:styleId="62">
    <w:name w:val="设计正文"/>
    <w:basedOn w:val="1"/>
    <w:next w:val="1"/>
    <w:qFormat/>
    <w:uiPriority w:val="0"/>
    <w:pPr>
      <w:spacing w:line="360" w:lineRule="auto"/>
      <w:ind w:firstLine="200" w:firstLineChars="200"/>
    </w:pPr>
    <w:rPr>
      <w:sz w:val="24"/>
      <w:szCs w:val="28"/>
    </w:rPr>
  </w:style>
  <w:style w:type="paragraph" w:customStyle="1" w:styleId="63">
    <w:name w:val="*正文"/>
    <w:basedOn w:val="1"/>
    <w:qFormat/>
    <w:uiPriority w:val="0"/>
    <w:pPr>
      <w:widowControl/>
      <w:adjustRightInd w:val="0"/>
      <w:snapToGrid w:val="0"/>
      <w:ind w:firstLine="200"/>
    </w:pPr>
    <w:rPr>
      <w:rFonts w:ascii="宋体" w:hAnsi="宋体"/>
      <w:spacing w:val="10"/>
      <w:szCs w:val="28"/>
    </w:rPr>
  </w:style>
  <w:style w:type="paragraph" w:customStyle="1" w:styleId="64">
    <w:name w:val="1"/>
    <w:basedOn w:val="1"/>
    <w:next w:val="13"/>
    <w:qFormat/>
    <w:uiPriority w:val="0"/>
    <w:pPr>
      <w:autoSpaceDE w:val="0"/>
      <w:autoSpaceDN w:val="0"/>
      <w:adjustRightInd w:val="0"/>
      <w:spacing w:line="300" w:lineRule="auto"/>
      <w:ind w:firstLine="420"/>
    </w:pPr>
    <w:rPr>
      <w:color w:val="000000"/>
    </w:rPr>
  </w:style>
  <w:style w:type="paragraph" w:customStyle="1" w:styleId="65">
    <w:name w:val="样式 首行缩进:  0.74 厘米"/>
    <w:basedOn w:val="1"/>
    <w:qFormat/>
    <w:uiPriority w:val="0"/>
    <w:pPr>
      <w:spacing w:line="360" w:lineRule="auto"/>
      <w:ind w:firstLine="420"/>
    </w:pPr>
    <w:rPr>
      <w:sz w:val="24"/>
    </w:rPr>
  </w:style>
  <w:style w:type="paragraph" w:customStyle="1" w:styleId="66">
    <w:name w:val="样式 正文缩进 + 首行缩进:  2 字符"/>
    <w:basedOn w:val="13"/>
    <w:qFormat/>
    <w:uiPriority w:val="0"/>
    <w:pPr>
      <w:ind w:firstLine="200"/>
    </w:pPr>
    <w:rPr>
      <w:rFonts w:ascii="Times New Roman" w:hAnsi="Times New Roman"/>
      <w:szCs w:val="20"/>
    </w:rPr>
  </w:style>
  <w:style w:type="paragraph" w:customStyle="1" w:styleId="67">
    <w:name w:val="Default"/>
    <w:qFormat/>
    <w:uiPriority w:val="0"/>
    <w:pPr>
      <w:widowControl w:val="0"/>
      <w:autoSpaceDE w:val="0"/>
      <w:autoSpaceDN w:val="0"/>
      <w:adjustRightInd w:val="0"/>
      <w:spacing w:line="360" w:lineRule="auto"/>
      <w:ind w:firstLine="200" w:firstLineChars="200"/>
      <w:jc w:val="both"/>
    </w:pPr>
    <w:rPr>
      <w:rFonts w:ascii="仿宋_GB2312" w:hAnsi="Times New Roman" w:eastAsia="仿宋_GB2312" w:cs="仿宋_GB2312"/>
      <w:color w:val="000000"/>
      <w:sz w:val="24"/>
      <w:szCs w:val="24"/>
      <w:lang w:val="en-US" w:eastAsia="zh-CN" w:bidi="ar-SA"/>
    </w:rPr>
  </w:style>
  <w:style w:type="paragraph" w:customStyle="1" w:styleId="68">
    <w:name w:val="my"/>
    <w:basedOn w:val="1"/>
    <w:qFormat/>
    <w:uiPriority w:val="0"/>
    <w:pPr>
      <w:ind w:firstLine="200"/>
    </w:pPr>
  </w:style>
  <w:style w:type="paragraph" w:customStyle="1" w:styleId="69">
    <w:name w:val="小编号"/>
    <w:basedOn w:val="1"/>
    <w:qFormat/>
    <w:uiPriority w:val="99"/>
    <w:pPr>
      <w:autoSpaceDE w:val="0"/>
      <w:autoSpaceDN w:val="0"/>
      <w:adjustRightInd w:val="0"/>
      <w:ind w:firstLine="0" w:firstLineChars="0"/>
    </w:pPr>
    <w:rPr>
      <w:rFonts w:ascii="宋体" w:hAnsi="宋体"/>
      <w:szCs w:val="28"/>
    </w:rPr>
  </w:style>
  <w:style w:type="paragraph" w:customStyle="1" w:styleId="70">
    <w:name w:val="报告正文文字"/>
    <w:basedOn w:val="1"/>
    <w:qFormat/>
    <w:uiPriority w:val="0"/>
    <w:pPr>
      <w:ind w:firstLine="560"/>
    </w:pPr>
    <w:rPr>
      <w:sz w:val="28"/>
    </w:rPr>
  </w:style>
  <w:style w:type="paragraph" w:customStyle="1" w:styleId="71">
    <w:name w:val="电建正文"/>
    <w:basedOn w:val="1"/>
    <w:qFormat/>
    <w:uiPriority w:val="0"/>
    <w:pPr>
      <w:widowControl/>
      <w:tabs>
        <w:tab w:val="left" w:pos="720"/>
      </w:tabs>
      <w:overflowPunct w:val="0"/>
      <w:autoSpaceDE w:val="0"/>
      <w:autoSpaceDN w:val="0"/>
      <w:adjustRightInd w:val="0"/>
      <w:snapToGrid/>
      <w:ind w:firstLine="200"/>
      <w:jc w:val="left"/>
      <w:textAlignment w:val="baseline"/>
    </w:pPr>
    <w:rPr>
      <w:rFonts w:ascii="Tahoma" w:hAnsi="Tahoma" w:cs="Times New Roman"/>
      <w:snapToGrid/>
      <w:spacing w:val="0"/>
      <w:szCs w:val="20"/>
    </w:rPr>
  </w:style>
  <w:style w:type="character" w:customStyle="1" w:styleId="72">
    <w:name w:val="font51"/>
    <w:basedOn w:val="30"/>
    <w:qFormat/>
    <w:uiPriority w:val="0"/>
    <w:rPr>
      <w:rFonts w:hint="eastAsia" w:ascii="宋体" w:hAnsi="宋体" w:eastAsia="宋体" w:cs="宋体"/>
      <w:b/>
      <w:bCs/>
      <w:color w:val="000000"/>
      <w:sz w:val="16"/>
      <w:szCs w:val="16"/>
      <w:u w:val="none"/>
    </w:rPr>
  </w:style>
  <w:style w:type="character" w:customStyle="1" w:styleId="73">
    <w:name w:val="font101"/>
    <w:basedOn w:val="30"/>
    <w:qFormat/>
    <w:uiPriority w:val="0"/>
    <w:rPr>
      <w:rFonts w:ascii="MingLiU" w:hAnsi="MingLiU" w:eastAsia="MingLiU" w:cs="MingLiU"/>
      <w:b/>
      <w:bCs/>
      <w:color w:val="000000"/>
      <w:sz w:val="16"/>
      <w:szCs w:val="16"/>
      <w:u w:val="none"/>
    </w:rPr>
  </w:style>
  <w:style w:type="character" w:customStyle="1" w:styleId="74">
    <w:name w:val="font61"/>
    <w:basedOn w:val="30"/>
    <w:qFormat/>
    <w:uiPriority w:val="0"/>
    <w:rPr>
      <w:rFonts w:hint="eastAsia" w:ascii="宋体" w:hAnsi="宋体" w:eastAsia="宋体" w:cs="宋体"/>
      <w:b/>
      <w:bCs/>
      <w:color w:val="000000"/>
      <w:sz w:val="18"/>
      <w:szCs w:val="18"/>
      <w:u w:val="none"/>
    </w:rPr>
  </w:style>
  <w:style w:type="character" w:customStyle="1" w:styleId="75">
    <w:name w:val="font141"/>
    <w:basedOn w:val="30"/>
    <w:qFormat/>
    <w:uiPriority w:val="0"/>
    <w:rPr>
      <w:rFonts w:hint="default" w:ascii="MingLiU" w:hAnsi="MingLiU" w:eastAsia="MingLiU" w:cs="MingLiU"/>
      <w:b/>
      <w:bCs/>
      <w:color w:val="000000"/>
      <w:sz w:val="18"/>
      <w:szCs w:val="18"/>
      <w:u w:val="none"/>
    </w:rPr>
  </w:style>
  <w:style w:type="character" w:customStyle="1" w:styleId="76">
    <w:name w:val="font71"/>
    <w:basedOn w:val="30"/>
    <w:qFormat/>
    <w:uiPriority w:val="0"/>
    <w:rPr>
      <w:rFonts w:hint="default" w:ascii="MingLiU" w:hAnsi="MingLiU" w:eastAsia="MingLiU" w:cs="MingLiU"/>
      <w:color w:val="000000"/>
      <w:sz w:val="16"/>
      <w:szCs w:val="16"/>
      <w:u w:val="none"/>
    </w:rPr>
  </w:style>
  <w:style w:type="character" w:customStyle="1" w:styleId="77">
    <w:name w:val="font81"/>
    <w:basedOn w:val="30"/>
    <w:qFormat/>
    <w:uiPriority w:val="0"/>
    <w:rPr>
      <w:rFonts w:hint="eastAsia" w:ascii="宋体" w:hAnsi="宋体" w:eastAsia="宋体" w:cs="宋体"/>
      <w:color w:val="000000"/>
      <w:sz w:val="20"/>
      <w:szCs w:val="20"/>
      <w:u w:val="none"/>
    </w:rPr>
  </w:style>
  <w:style w:type="character" w:customStyle="1" w:styleId="78">
    <w:name w:val="font91"/>
    <w:basedOn w:val="30"/>
    <w:qFormat/>
    <w:uiPriority w:val="0"/>
    <w:rPr>
      <w:rFonts w:hint="default" w:ascii="MingLiU" w:hAnsi="MingLiU" w:eastAsia="MingLiU" w:cs="MingLiU"/>
      <w:color w:val="000000"/>
      <w:sz w:val="20"/>
      <w:szCs w:val="20"/>
      <w:u w:val="none"/>
    </w:rPr>
  </w:style>
  <w:style w:type="character" w:customStyle="1" w:styleId="79">
    <w:name w:val="font151"/>
    <w:basedOn w:val="30"/>
    <w:qFormat/>
    <w:uiPriority w:val="0"/>
    <w:rPr>
      <w:rFonts w:ascii="宋体" w:hAnsi="宋体" w:eastAsia="宋体" w:cs="宋体"/>
      <w:color w:val="000000"/>
      <w:sz w:val="20"/>
      <w:szCs w:val="20"/>
      <w:u w:val="none"/>
    </w:rPr>
  </w:style>
  <w:style w:type="paragraph" w:styleId="80">
    <w:name w:val="List Paragraph"/>
    <w:basedOn w:val="1"/>
    <w:qFormat/>
    <w:uiPriority w:val="34"/>
    <w:pPr>
      <w:numPr>
        <w:ilvl w:val="0"/>
        <w:numId w:val="14"/>
      </w:numPr>
      <w:ind w:left="0" w:firstLine="1044"/>
    </w:pPr>
    <w:rPr>
      <w:kern w:val="0"/>
      <w:szCs w:val="20"/>
    </w:rPr>
  </w:style>
  <w:style w:type="paragraph" w:customStyle="1" w:styleId="81">
    <w:name w:val="第五章图的编号"/>
    <w:basedOn w:val="1"/>
    <w:qFormat/>
    <w:uiPriority w:val="0"/>
    <w:pPr>
      <w:numPr>
        <w:ilvl w:val="0"/>
        <w:numId w:val="15"/>
      </w:numPr>
      <w:spacing w:before="50" w:beforeLines="50" w:after="100" w:afterLines="100"/>
      <w:ind w:left="0" w:firstLine="0" w:firstLineChars="0"/>
      <w:jc w:val="center"/>
    </w:pPr>
    <w:rPr>
      <w:rFonts w:hint="eastAsia" w:ascii="宋体" w:hAnsi="宋体" w:eastAsia="宋体" w:cs="宋体"/>
      <w:sz w:val="21"/>
      <w:szCs w:val="21"/>
    </w:rPr>
  </w:style>
  <w:style w:type="paragraph" w:customStyle="1" w:styleId="82">
    <w:name w:val="FC正文"/>
    <w:basedOn w:val="1"/>
    <w:qFormat/>
    <w:uiPriority w:val="0"/>
    <w:pPr>
      <w:autoSpaceDE w:val="0"/>
      <w:autoSpaceDN w:val="0"/>
      <w:adjustRightInd w:val="0"/>
      <w:spacing w:line="360" w:lineRule="auto"/>
      <w:ind w:firstLine="200" w:firstLineChars="200"/>
    </w:pPr>
    <w:rPr>
      <w:rFonts w:ascii="宋体" w:hAnsi="宋体"/>
      <w:kern w:val="0"/>
      <w:sz w:val="24"/>
      <w:szCs w:val="28"/>
    </w:rPr>
  </w:style>
  <w:style w:type="paragraph" w:customStyle="1" w:styleId="83">
    <w:name w:val="表格_编号"/>
    <w:basedOn w:val="47"/>
    <w:qFormat/>
    <w:uiPriority w:val="0"/>
    <w:pPr>
      <w:keepNext/>
      <w:tabs>
        <w:tab w:val="left" w:pos="113"/>
      </w:tabs>
      <w:snapToGrid/>
      <w:spacing w:before="50" w:beforeLines="50" w:line="240" w:lineRule="auto"/>
      <w:ind w:firstLine="0"/>
      <w:jc w:val="center"/>
      <w:textAlignment w:val="baseline"/>
    </w:pPr>
    <w:rPr>
      <w:rFonts w:eastAsia="宋体"/>
      <w:spacing w:val="4"/>
      <w:sz w:val="21"/>
    </w:rPr>
  </w:style>
  <w:style w:type="paragraph" w:customStyle="1" w:styleId="84">
    <w:name w:val="列出段落11"/>
    <w:basedOn w:val="1"/>
    <w:qFormat/>
    <w:uiPriority w:val="0"/>
    <w:pPr>
      <w:snapToGrid w:val="0"/>
      <w:ind w:firstLine="420" w:firstLineChars="200"/>
    </w:pPr>
    <w:rPr>
      <w:rFonts w:hint="eastAsia" w:ascii="宋体" w:hAnsi="宋体" w:eastAsia="宋体" w:cs="Times New Roman"/>
      <w:kern w:val="0"/>
      <w:sz w:val="20"/>
      <w:szCs w:val="20"/>
    </w:rPr>
  </w:style>
  <w:style w:type="paragraph" w:customStyle="1" w:styleId="85">
    <w:name w:val="列出段落1"/>
    <w:basedOn w:val="1"/>
    <w:qFormat/>
    <w:uiPriority w:val="0"/>
    <w:pPr>
      <w:ind w:firstLine="200" w:firstLineChars="200"/>
    </w:pPr>
    <w:rPr>
      <w:rFonts w:ascii="Calibri" w:hAnsi="Calibri" w:eastAsia="仿宋" w:cs="Times New Roman"/>
      <w:sz w:val="24"/>
      <w:szCs w:val="22"/>
    </w:rPr>
  </w:style>
  <w:style w:type="character" w:customStyle="1" w:styleId="86">
    <w:name w:val="font11"/>
    <w:basedOn w:val="30"/>
    <w:qFormat/>
    <w:uiPriority w:val="0"/>
    <w:rPr>
      <w:rFonts w:hint="eastAsia" w:ascii="宋体" w:hAnsi="宋体" w:eastAsia="宋体" w:cs="宋体"/>
      <w:b/>
      <w:bCs/>
      <w:color w:val="000000"/>
      <w:sz w:val="21"/>
      <w:szCs w:val="21"/>
      <w:u w:val="none"/>
    </w:rPr>
  </w:style>
  <w:style w:type="character" w:customStyle="1" w:styleId="87">
    <w:name w:val="font21"/>
    <w:basedOn w:val="30"/>
    <w:qFormat/>
    <w:uiPriority w:val="0"/>
    <w:rPr>
      <w:rFonts w:hint="eastAsia" w:ascii="宋体" w:hAnsi="宋体" w:eastAsia="宋体" w:cs="宋体"/>
      <w:color w:val="000000"/>
      <w:sz w:val="21"/>
      <w:szCs w:val="21"/>
      <w:u w:val="none"/>
    </w:rPr>
  </w:style>
  <w:style w:type="character" w:customStyle="1" w:styleId="88">
    <w:name w:val="font01"/>
    <w:basedOn w:val="30"/>
    <w:qFormat/>
    <w:uiPriority w:val="0"/>
    <w:rPr>
      <w:rFonts w:hint="eastAsia" w:ascii="宋体" w:hAnsi="宋体" w:eastAsia="宋体" w:cs="宋体"/>
      <w:color w:val="000000"/>
      <w:sz w:val="21"/>
      <w:szCs w:val="21"/>
      <w:u w:val="none"/>
    </w:rPr>
  </w:style>
  <w:style w:type="character" w:customStyle="1" w:styleId="89">
    <w:name w:val="font31"/>
    <w:basedOn w:val="30"/>
    <w:qFormat/>
    <w:uiPriority w:val="0"/>
    <w:rPr>
      <w:rFonts w:hint="eastAsia" w:ascii="宋体" w:hAnsi="宋体" w:eastAsia="宋体" w:cs="宋体"/>
      <w:color w:val="000000"/>
      <w:sz w:val="20"/>
      <w:szCs w:val="20"/>
      <w:u w:val="none"/>
    </w:rPr>
  </w:style>
  <w:style w:type="character" w:customStyle="1" w:styleId="90">
    <w:name w:val="font41"/>
    <w:basedOn w:val="30"/>
    <w:qFormat/>
    <w:uiPriority w:val="0"/>
    <w:rPr>
      <w:rFonts w:hint="eastAsia" w:ascii="宋体" w:hAnsi="宋体" w:eastAsia="宋体" w:cs="宋体"/>
      <w:i/>
      <w:iCs/>
      <w:color w:val="000000"/>
      <w:sz w:val="15"/>
      <w:szCs w:val="15"/>
      <w:u w:val="none"/>
    </w:rPr>
  </w:style>
  <w:style w:type="paragraph" w:customStyle="1" w:styleId="91">
    <w:name w:val="Body text|1"/>
    <w:basedOn w:val="1"/>
    <w:qFormat/>
    <w:uiPriority w:val="0"/>
    <w:pPr>
      <w:widowControl w:val="0"/>
      <w:shd w:val="clear" w:color="auto" w:fill="auto"/>
      <w:spacing w:line="434" w:lineRule="auto"/>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4.emf"/><Relationship Id="rId17" Type="http://schemas.openxmlformats.org/officeDocument/2006/relationships/oleObject" Target="embeddings/oleObject3.bin"/><Relationship Id="rId16" Type="http://schemas.openxmlformats.org/officeDocument/2006/relationships/image" Target="media/image3.emf"/><Relationship Id="rId15" Type="http://schemas.openxmlformats.org/officeDocument/2006/relationships/oleObject" Target="embeddings/oleObject2.bin"/><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154</Pages>
  <Words>64422</Words>
  <Characters>70431</Characters>
  <Lines>401</Lines>
  <Paragraphs>113</Paragraphs>
  <TotalTime>0</TotalTime>
  <ScaleCrop>false</ScaleCrop>
  <LinksUpToDate>false</LinksUpToDate>
  <CharactersWithSpaces>71663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2018-03-27T01:12:00Z</dcterms:created>
  <dc:creator>。。。。。。</dc:creator>
  <cp:lastModifiedBy>忙碌的陳师傅</cp:lastModifiedBy>
  <cp:lastPrinted>2023-07-12T01:32:00Z</cp:lastPrinted>
  <dcterms:modified xsi:type="dcterms:W3CDTF">2023-08-31T07:05:55Z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7404200D3AE94E71878D04DB619D340D_13</vt:lpwstr>
  </property>
</Properties>
</file>