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716F" w:rsidRPr="00AA617E" w:rsidRDefault="0019716F" w:rsidP="0019716F">
      <w:pPr>
        <w:widowControl/>
        <w:spacing w:before="100" w:beforeAutospacing="1" w:after="100" w:afterAutospacing="1" w:line="330" w:lineRule="atLeast"/>
        <w:jc w:val="left"/>
        <w:rPr>
          <w:rFonts w:ascii="Times New Roman" w:eastAsia="华文中宋" w:hAnsi="Times New Roman"/>
          <w:snapToGrid w:val="0"/>
          <w:spacing w:val="38"/>
          <w:kern w:val="0"/>
          <w:sz w:val="28"/>
          <w:szCs w:val="28"/>
        </w:rPr>
      </w:pPr>
      <w:bookmarkStart w:id="0" w:name="_GoBack"/>
      <w:bookmarkEnd w:id="0"/>
      <w:r w:rsidRPr="00AA617E">
        <w:rPr>
          <w:rFonts w:ascii="Times New Roman" w:eastAsia="华文中宋" w:hAnsi="Times New Roman"/>
          <w:snapToGrid w:val="0"/>
          <w:spacing w:val="38"/>
          <w:kern w:val="0"/>
          <w:sz w:val="28"/>
          <w:szCs w:val="28"/>
        </w:rPr>
        <w:t>2019</w:t>
      </w:r>
      <w:r w:rsidRPr="00AA617E">
        <w:rPr>
          <w:rFonts w:ascii="Times New Roman" w:eastAsia="华文中宋" w:hAnsi="Times New Roman"/>
          <w:snapToGrid w:val="0"/>
          <w:spacing w:val="38"/>
          <w:kern w:val="0"/>
          <w:sz w:val="28"/>
          <w:szCs w:val="28"/>
        </w:rPr>
        <w:t>年改发案件评析管理机制经验交流之二</w:t>
      </w:r>
    </w:p>
    <w:p w:rsidR="0019716F" w:rsidRPr="00AA617E" w:rsidRDefault="0019716F" w:rsidP="0019716F">
      <w:pPr>
        <w:widowControl/>
        <w:spacing w:before="100" w:beforeAutospacing="1" w:after="100" w:afterAutospacing="1" w:line="330" w:lineRule="atLeast"/>
        <w:jc w:val="left"/>
        <w:rPr>
          <w:rFonts w:ascii="Times New Roman" w:eastAsia="华文中宋" w:hAnsi="Times New Roman"/>
          <w:snapToGrid w:val="0"/>
          <w:spacing w:val="38"/>
          <w:kern w:val="0"/>
        </w:rPr>
      </w:pPr>
    </w:p>
    <w:p w:rsidR="0019716F" w:rsidRPr="00AA617E" w:rsidRDefault="0019716F" w:rsidP="0019716F">
      <w:pPr>
        <w:widowControl/>
        <w:spacing w:before="100" w:beforeAutospacing="1" w:after="100" w:afterAutospacing="1" w:line="330" w:lineRule="atLeast"/>
        <w:jc w:val="center"/>
        <w:rPr>
          <w:rFonts w:ascii="Times New Roman" w:eastAsia="方正小标宋简体" w:hAnsi="Times New Roman"/>
          <w:color w:val="FF0000"/>
          <w:kern w:val="0"/>
          <w:sz w:val="120"/>
          <w:szCs w:val="120"/>
        </w:rPr>
      </w:pPr>
      <w:r w:rsidRPr="00AA617E">
        <w:rPr>
          <w:rFonts w:ascii="Times New Roman" w:eastAsia="方正小标宋简体" w:hAnsi="Times New Roman"/>
          <w:snapToGrid w:val="0"/>
          <w:color w:val="FF0000"/>
          <w:spacing w:val="38"/>
          <w:kern w:val="0"/>
          <w:sz w:val="120"/>
          <w:szCs w:val="120"/>
        </w:rPr>
        <w:t>重庆审判管理</w:t>
      </w:r>
    </w:p>
    <w:p w:rsidR="0019716F" w:rsidRPr="00AA617E" w:rsidRDefault="0019716F" w:rsidP="00672699">
      <w:pPr>
        <w:widowControl/>
        <w:adjustRightInd w:val="0"/>
        <w:snapToGrid w:val="0"/>
        <w:spacing w:beforeLines="200" w:after="100" w:afterAutospacing="1" w:line="330" w:lineRule="atLeast"/>
        <w:jc w:val="center"/>
        <w:rPr>
          <w:rFonts w:ascii="Times New Roman" w:eastAsia="楷体_GB2312" w:hAnsi="Times New Roman"/>
          <w:bCs/>
          <w:kern w:val="0"/>
          <w:sz w:val="32"/>
          <w:szCs w:val="32"/>
        </w:rPr>
      </w:pPr>
      <w:r w:rsidRPr="00AA617E">
        <w:rPr>
          <w:rFonts w:ascii="Times New Roman" w:eastAsia="楷体_GB2312" w:hAnsi="Times New Roman"/>
          <w:kern w:val="0"/>
          <w:sz w:val="32"/>
          <w:szCs w:val="32"/>
        </w:rPr>
        <w:t>工作动态专刊</w:t>
      </w:r>
      <w:r w:rsidRPr="00AA617E">
        <w:rPr>
          <w:rFonts w:ascii="Times New Roman" w:eastAsia="楷体_GB2312" w:hAnsi="Times New Roman"/>
          <w:bCs/>
          <w:kern w:val="0"/>
          <w:sz w:val="32"/>
          <w:szCs w:val="32"/>
        </w:rPr>
        <w:t>2019</w:t>
      </w:r>
      <w:r w:rsidRPr="00AA617E">
        <w:rPr>
          <w:rFonts w:ascii="Times New Roman" w:eastAsia="楷体_GB2312" w:hAnsi="Times New Roman"/>
          <w:bCs/>
          <w:kern w:val="0"/>
          <w:sz w:val="32"/>
          <w:szCs w:val="32"/>
        </w:rPr>
        <w:t>年第</w:t>
      </w:r>
      <w:r w:rsidR="00236469">
        <w:rPr>
          <w:rFonts w:ascii="Times New Roman" w:eastAsia="楷体_GB2312" w:hAnsi="Times New Roman" w:hint="eastAsia"/>
          <w:bCs/>
          <w:kern w:val="0"/>
          <w:sz w:val="32"/>
          <w:szCs w:val="32"/>
        </w:rPr>
        <w:t>23</w:t>
      </w:r>
      <w:r w:rsidRPr="00AA617E">
        <w:rPr>
          <w:rFonts w:ascii="Times New Roman" w:eastAsia="楷体_GB2312" w:hAnsi="Times New Roman"/>
          <w:bCs/>
          <w:kern w:val="0"/>
          <w:sz w:val="32"/>
          <w:szCs w:val="32"/>
        </w:rPr>
        <w:t>期</w:t>
      </w:r>
    </w:p>
    <w:p w:rsidR="0019716F" w:rsidRPr="00AA617E" w:rsidRDefault="0019716F" w:rsidP="0019716F">
      <w:pPr>
        <w:widowControl/>
        <w:adjustRightInd w:val="0"/>
        <w:snapToGrid w:val="0"/>
        <w:spacing w:before="100" w:beforeAutospacing="1" w:after="100" w:afterAutospacing="1" w:line="330" w:lineRule="atLeast"/>
        <w:jc w:val="center"/>
        <w:rPr>
          <w:rFonts w:ascii="Times New Roman" w:eastAsia="楷体_GB2312" w:hAnsi="Times New Roman"/>
          <w:bCs/>
          <w:kern w:val="0"/>
          <w:sz w:val="32"/>
          <w:szCs w:val="32"/>
        </w:rPr>
      </w:pPr>
      <w:r w:rsidRPr="00AA617E">
        <w:rPr>
          <w:rFonts w:ascii="Times New Roman" w:eastAsia="楷体_GB2312" w:hAnsi="Times New Roman"/>
          <w:bCs/>
          <w:kern w:val="0"/>
          <w:sz w:val="32"/>
          <w:szCs w:val="32"/>
        </w:rPr>
        <w:t>（总第</w:t>
      </w:r>
      <w:r w:rsidR="00236469">
        <w:rPr>
          <w:rFonts w:ascii="Times New Roman" w:eastAsia="楷体_GB2312" w:hAnsi="Times New Roman" w:hint="eastAsia"/>
          <w:bCs/>
          <w:kern w:val="0"/>
          <w:sz w:val="32"/>
          <w:szCs w:val="32"/>
        </w:rPr>
        <w:t>173</w:t>
      </w:r>
      <w:r w:rsidRPr="00AA617E">
        <w:rPr>
          <w:rFonts w:ascii="Times New Roman" w:eastAsia="楷体_GB2312" w:hAnsi="Times New Roman"/>
          <w:bCs/>
          <w:kern w:val="0"/>
          <w:sz w:val="32"/>
          <w:szCs w:val="32"/>
        </w:rPr>
        <w:t>期）</w:t>
      </w:r>
    </w:p>
    <w:p w:rsidR="0019716F" w:rsidRPr="00AA617E" w:rsidRDefault="003B6640" w:rsidP="0019716F">
      <w:pPr>
        <w:widowControl/>
        <w:adjustRightInd w:val="0"/>
        <w:snapToGrid w:val="0"/>
        <w:spacing w:before="100" w:beforeAutospacing="1" w:after="100" w:afterAutospacing="1" w:line="330" w:lineRule="atLeast"/>
        <w:jc w:val="center"/>
        <w:rPr>
          <w:rFonts w:ascii="Times New Roman" w:eastAsia="楷体_GB2312" w:hAnsi="Times New Roman"/>
          <w:kern w:val="0"/>
          <w:sz w:val="32"/>
          <w:szCs w:val="32"/>
        </w:rPr>
      </w:pPr>
      <w:r w:rsidRPr="003B6640">
        <w:rPr>
          <w:rFonts w:ascii="Times New Roman" w:eastAsia="楷体_GB2312" w:hAnsi="Times New Roman"/>
          <w:b/>
          <w:noProof/>
          <w:sz w:val="32"/>
          <w:szCs w:val="32"/>
        </w:rPr>
        <w:pict>
          <v:shape id="Freeform 2" o:spid="_x0000_s1026" style="position:absolute;left:0;text-align:left;margin-left:10.6pt;margin-top:25.7pt;width:425.2pt;height: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057,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" path="m,l9057,27e" filled="f" strokecolor="red" strokeweight="2.25pt">
            <v:path arrowok="t" o:connecttype="custom" o:connectlocs="0,0;5400040,17145" o:connectangles="0,0"/>
          </v:shape>
        </w:pict>
      </w:r>
      <w:r w:rsidR="0019716F" w:rsidRPr="00AA617E">
        <w:rPr>
          <w:rFonts w:ascii="Times New Roman" w:eastAsia="楷体_GB2312" w:hAnsi="Times New Roman"/>
          <w:bCs/>
          <w:kern w:val="0"/>
          <w:sz w:val="32"/>
          <w:szCs w:val="32"/>
        </w:rPr>
        <w:t>重庆市高级人民法院审判管理办公室</w:t>
      </w:r>
      <w:r w:rsidR="0019716F" w:rsidRPr="00AA617E">
        <w:rPr>
          <w:rFonts w:ascii="Times New Roman" w:eastAsia="楷体_GB2312" w:hAnsi="Times New Roman"/>
          <w:bCs/>
          <w:kern w:val="0"/>
          <w:sz w:val="32"/>
          <w:szCs w:val="32"/>
        </w:rPr>
        <w:t xml:space="preserve">    2019</w:t>
      </w:r>
      <w:r w:rsidR="0019716F" w:rsidRPr="00AA617E">
        <w:rPr>
          <w:rFonts w:ascii="Times New Roman" w:eastAsia="楷体_GB2312" w:hAnsi="Times New Roman"/>
          <w:bCs/>
          <w:kern w:val="0"/>
          <w:sz w:val="32"/>
          <w:szCs w:val="32"/>
        </w:rPr>
        <w:t>年</w:t>
      </w:r>
      <w:r w:rsidR="0019716F" w:rsidRPr="00AA617E">
        <w:rPr>
          <w:rFonts w:ascii="Times New Roman" w:eastAsia="楷体_GB2312" w:hAnsi="Times New Roman"/>
          <w:bCs/>
          <w:kern w:val="0"/>
          <w:sz w:val="32"/>
          <w:szCs w:val="32"/>
        </w:rPr>
        <w:t>12</w:t>
      </w:r>
      <w:r w:rsidR="0019716F" w:rsidRPr="00AA617E">
        <w:rPr>
          <w:rFonts w:ascii="Times New Roman" w:eastAsia="楷体_GB2312" w:hAnsi="Times New Roman"/>
          <w:bCs/>
          <w:kern w:val="0"/>
          <w:sz w:val="32"/>
          <w:szCs w:val="32"/>
        </w:rPr>
        <w:t>月</w:t>
      </w:r>
      <w:r w:rsidR="00236469">
        <w:rPr>
          <w:rFonts w:ascii="Times New Roman" w:eastAsia="楷体_GB2312" w:hAnsi="Times New Roman" w:hint="eastAsia"/>
          <w:bCs/>
          <w:kern w:val="0"/>
          <w:sz w:val="32"/>
          <w:szCs w:val="32"/>
        </w:rPr>
        <w:t>3</w:t>
      </w:r>
      <w:r w:rsidR="0019716F" w:rsidRPr="00AA617E">
        <w:rPr>
          <w:rFonts w:ascii="Times New Roman" w:eastAsia="楷体_GB2312" w:hAnsi="Times New Roman"/>
          <w:bCs/>
          <w:kern w:val="0"/>
          <w:sz w:val="32"/>
          <w:szCs w:val="32"/>
        </w:rPr>
        <w:t>日</w:t>
      </w:r>
    </w:p>
    <w:p w:rsidR="0019716F" w:rsidRPr="00AA617E" w:rsidRDefault="0019716F" w:rsidP="0019716F">
      <w:pPr>
        <w:spacing w:line="580" w:lineRule="exact"/>
        <w:jc w:val="center"/>
        <w:rPr>
          <w:rFonts w:ascii="Times New Roman" w:eastAsia="黑体" w:hAnsi="Times New Roman"/>
          <w:b/>
          <w:sz w:val="32"/>
          <w:szCs w:val="32"/>
        </w:rPr>
      </w:pPr>
    </w:p>
    <w:p w:rsidR="004F5587" w:rsidRDefault="0019716F" w:rsidP="0019716F">
      <w:pPr>
        <w:rPr>
          <w:rFonts w:ascii="Times New Roman" w:eastAsia="方正仿宋_GBK" w:hAnsi="Times New Roman"/>
          <w:kern w:val="0"/>
          <w:sz w:val="32"/>
          <w:szCs w:val="32"/>
          <w:lang w:val="zh-CN"/>
        </w:rPr>
      </w:pPr>
      <w:r w:rsidRPr="00AA617E">
        <w:rPr>
          <w:rFonts w:ascii="Times New Roman" w:eastAsia="方正仿宋_GBK" w:hAnsi="Times New Roman"/>
          <w:sz w:val="32"/>
          <w:szCs w:val="32"/>
        </w:rPr>
        <w:t>【编者按】</w:t>
      </w:r>
      <w:r w:rsidRPr="00AA617E">
        <w:rPr>
          <w:rFonts w:ascii="Times New Roman" w:eastAsia="方正仿宋_GBK" w:hAnsi="Times New Roman"/>
          <w:kern w:val="0"/>
          <w:sz w:val="32"/>
          <w:szCs w:val="32"/>
          <w:lang w:val="zh-CN"/>
        </w:rPr>
        <w:t>为发挥优秀回复报告的示范作用，市高法院审管办推选</w:t>
      </w:r>
      <w:r w:rsidRPr="00AA617E">
        <w:rPr>
          <w:rFonts w:ascii="Times New Roman" w:eastAsia="方正仿宋_GBK" w:hAnsi="Times New Roman"/>
          <w:kern w:val="0"/>
          <w:sz w:val="32"/>
          <w:szCs w:val="32"/>
          <w:lang w:val="zh-CN"/>
        </w:rPr>
        <w:t>5</w:t>
      </w:r>
      <w:r w:rsidRPr="00AA617E">
        <w:rPr>
          <w:rFonts w:ascii="Times New Roman" w:eastAsia="方正仿宋_GBK" w:hAnsi="Times New Roman"/>
          <w:kern w:val="0"/>
          <w:sz w:val="32"/>
          <w:szCs w:val="32"/>
          <w:lang w:val="zh-CN"/>
        </w:rPr>
        <w:t>篇较好的回复报告予以刊发，供全市法院学习参考。</w:t>
      </w:r>
    </w:p>
    <w:p w:rsidR="00645401" w:rsidRDefault="00645401" w:rsidP="0019716F">
      <w:pPr>
        <w:rPr>
          <w:rFonts w:ascii="Times New Roman" w:eastAsia="方正仿宋_GBK" w:hAnsi="Times New Roman"/>
          <w:kern w:val="0"/>
          <w:sz w:val="32"/>
          <w:szCs w:val="32"/>
          <w:lang w:val="zh-CN"/>
        </w:rPr>
      </w:pPr>
    </w:p>
    <w:p w:rsidR="00645401" w:rsidRDefault="00645401" w:rsidP="0019716F">
      <w:pPr>
        <w:rPr>
          <w:rFonts w:ascii="Times New Roman" w:eastAsia="方正仿宋_GBK" w:hAnsi="Times New Roman"/>
          <w:kern w:val="0"/>
          <w:sz w:val="32"/>
          <w:szCs w:val="32"/>
          <w:lang w:val="zh-CN"/>
        </w:rPr>
      </w:pPr>
    </w:p>
    <w:p w:rsidR="00645401" w:rsidRDefault="00645401" w:rsidP="0019716F">
      <w:pPr>
        <w:rPr>
          <w:rFonts w:ascii="Times New Roman" w:eastAsia="方正仿宋_GBK" w:hAnsi="Times New Roman"/>
          <w:kern w:val="0"/>
          <w:sz w:val="32"/>
          <w:szCs w:val="32"/>
          <w:lang w:val="zh-CN"/>
        </w:rPr>
      </w:pPr>
    </w:p>
    <w:p w:rsidR="00645401" w:rsidRDefault="00645401" w:rsidP="0019716F">
      <w:pPr>
        <w:rPr>
          <w:rFonts w:ascii="Times New Roman" w:eastAsia="方正仿宋_GBK" w:hAnsi="Times New Roman"/>
          <w:kern w:val="0"/>
          <w:sz w:val="32"/>
          <w:szCs w:val="32"/>
          <w:lang w:val="zh-CN"/>
        </w:rPr>
      </w:pPr>
    </w:p>
    <w:p w:rsidR="00645401" w:rsidRDefault="00645401" w:rsidP="0019716F">
      <w:pPr>
        <w:rPr>
          <w:rFonts w:ascii="Times New Roman" w:eastAsia="方正仿宋_GBK" w:hAnsi="Times New Roman"/>
          <w:kern w:val="0"/>
          <w:sz w:val="32"/>
          <w:szCs w:val="32"/>
          <w:lang w:val="zh-CN"/>
        </w:rPr>
      </w:pPr>
    </w:p>
    <w:p w:rsidR="00645401" w:rsidRDefault="00645401" w:rsidP="0019716F">
      <w:pPr>
        <w:rPr>
          <w:rFonts w:ascii="Times New Roman" w:eastAsia="方正仿宋_GBK" w:hAnsi="Times New Roman"/>
          <w:kern w:val="0"/>
          <w:sz w:val="32"/>
          <w:szCs w:val="32"/>
          <w:lang w:val="zh-CN"/>
        </w:rPr>
      </w:pPr>
    </w:p>
    <w:p w:rsidR="00645401" w:rsidRDefault="00645401" w:rsidP="0019716F">
      <w:pPr>
        <w:rPr>
          <w:rFonts w:ascii="Times New Roman" w:eastAsia="方正仿宋_GBK" w:hAnsi="Times New Roman"/>
          <w:kern w:val="0"/>
          <w:sz w:val="32"/>
          <w:szCs w:val="32"/>
          <w:lang w:val="zh-CN"/>
        </w:rPr>
      </w:pPr>
    </w:p>
    <w:p w:rsidR="00645401" w:rsidRDefault="00645401" w:rsidP="0019716F">
      <w:pPr>
        <w:rPr>
          <w:rFonts w:ascii="Times New Roman" w:eastAsia="方正仿宋_GBK" w:hAnsi="Times New Roman"/>
          <w:kern w:val="0"/>
          <w:sz w:val="32"/>
          <w:szCs w:val="32"/>
          <w:lang w:val="zh-CN"/>
        </w:rPr>
      </w:pPr>
    </w:p>
    <w:p w:rsidR="00645401" w:rsidRDefault="00645401" w:rsidP="0019716F">
      <w:pPr>
        <w:rPr>
          <w:rFonts w:ascii="Times New Roman" w:eastAsia="方正仿宋_GBK" w:hAnsi="Times New Roman"/>
          <w:kern w:val="0"/>
          <w:sz w:val="32"/>
          <w:szCs w:val="32"/>
          <w:lang w:val="zh-CN"/>
        </w:rPr>
      </w:pPr>
    </w:p>
    <w:p w:rsidR="00645401" w:rsidRPr="00AA617E" w:rsidRDefault="00645401" w:rsidP="00645401">
      <w:pPr>
        <w:spacing w:line="600" w:lineRule="exact"/>
        <w:jc w:val="center"/>
        <w:rPr>
          <w:rFonts w:ascii="Times New Roman" w:eastAsia="方正小标宋_GBK" w:hAnsi="Times New Roman"/>
          <w:b/>
          <w:sz w:val="40"/>
          <w:szCs w:val="40"/>
        </w:rPr>
      </w:pPr>
      <w:r w:rsidRPr="00AA617E">
        <w:rPr>
          <w:rFonts w:ascii="Times New Roman" w:eastAsia="方正小标宋_GBK" w:hAnsi="Times New Roman"/>
          <w:b/>
          <w:sz w:val="40"/>
          <w:szCs w:val="40"/>
        </w:rPr>
        <w:lastRenderedPageBreak/>
        <w:t>1</w:t>
      </w:r>
      <w:r w:rsidRPr="00AA617E">
        <w:rPr>
          <w:rFonts w:ascii="Times New Roman" w:eastAsia="方正小标宋_GBK" w:hAnsi="Times New Roman"/>
          <w:b/>
          <w:sz w:val="40"/>
          <w:szCs w:val="40"/>
        </w:rPr>
        <w:t>、市一中法院对大足区法院</w:t>
      </w:r>
      <w:r w:rsidR="00AD1073">
        <w:rPr>
          <w:rFonts w:ascii="Times New Roman" w:eastAsia="方正小标宋_GBK" w:hAnsi="Times New Roman" w:hint="eastAsia"/>
          <w:b/>
          <w:sz w:val="40"/>
          <w:szCs w:val="40"/>
        </w:rPr>
        <w:t>（</w:t>
      </w:r>
      <w:r w:rsidR="00AD1073">
        <w:rPr>
          <w:rFonts w:ascii="Times New Roman" w:eastAsia="方正小标宋_GBK" w:hAnsi="Times New Roman"/>
          <w:b/>
          <w:sz w:val="40"/>
          <w:szCs w:val="40"/>
        </w:rPr>
        <w:t>2019</w:t>
      </w:r>
      <w:r w:rsidR="00AD1073">
        <w:rPr>
          <w:rFonts w:ascii="Times New Roman" w:eastAsia="方正小标宋_GBK" w:hAnsi="Times New Roman" w:hint="eastAsia"/>
          <w:b/>
          <w:sz w:val="40"/>
          <w:szCs w:val="40"/>
        </w:rPr>
        <w:t>）</w:t>
      </w:r>
      <w:r w:rsidRPr="00AA617E">
        <w:rPr>
          <w:rFonts w:ascii="Times New Roman" w:eastAsia="方正小标宋_GBK" w:hAnsi="Times New Roman"/>
          <w:b/>
          <w:sz w:val="40"/>
          <w:szCs w:val="40"/>
        </w:rPr>
        <w:t>渝</w:t>
      </w:r>
      <w:r w:rsidRPr="00AA617E">
        <w:rPr>
          <w:rFonts w:ascii="Times New Roman" w:eastAsia="方正小标宋_GBK" w:hAnsi="Times New Roman"/>
          <w:b/>
          <w:sz w:val="40"/>
          <w:szCs w:val="40"/>
        </w:rPr>
        <w:t>0111</w:t>
      </w:r>
      <w:r w:rsidRPr="00AA617E">
        <w:rPr>
          <w:rFonts w:ascii="Times New Roman" w:eastAsia="方正小标宋_GBK" w:hAnsi="Times New Roman"/>
          <w:b/>
          <w:sz w:val="40"/>
          <w:szCs w:val="40"/>
        </w:rPr>
        <w:t>民初</w:t>
      </w:r>
      <w:r w:rsidRPr="00AA617E">
        <w:rPr>
          <w:rFonts w:ascii="Times New Roman" w:eastAsia="方正小标宋_GBK" w:hAnsi="Times New Roman"/>
          <w:b/>
          <w:sz w:val="40"/>
          <w:szCs w:val="40"/>
        </w:rPr>
        <w:t>3319</w:t>
      </w:r>
      <w:r w:rsidRPr="00AA617E">
        <w:rPr>
          <w:rFonts w:ascii="Times New Roman" w:eastAsia="方正小标宋_GBK" w:hAnsi="Times New Roman"/>
          <w:b/>
          <w:sz w:val="40"/>
          <w:szCs w:val="40"/>
        </w:rPr>
        <w:t>号案件申辩情况的回复</w:t>
      </w:r>
    </w:p>
    <w:p w:rsidR="00645401" w:rsidRPr="00AA617E" w:rsidRDefault="00645401" w:rsidP="00645401">
      <w:pPr>
        <w:spacing w:line="600" w:lineRule="exact"/>
        <w:rPr>
          <w:rFonts w:ascii="Times New Roman" w:eastAsia="仿宋_GB2312" w:hAnsi="Times New Roman"/>
          <w:color w:val="000000"/>
          <w:sz w:val="28"/>
          <w:szCs w:val="32"/>
        </w:rPr>
      </w:pPr>
    </w:p>
    <w:p w:rsidR="00645401" w:rsidRPr="00AA617E" w:rsidRDefault="00645401" w:rsidP="00645401">
      <w:pPr>
        <w:spacing w:line="600" w:lineRule="exact"/>
        <w:rPr>
          <w:rFonts w:ascii="Times New Roman" w:eastAsia="方正仿宋_GBK" w:hAnsi="Times New Roman"/>
          <w:sz w:val="32"/>
          <w:szCs w:val="32"/>
        </w:rPr>
      </w:pPr>
      <w:r w:rsidRPr="00AA617E">
        <w:rPr>
          <w:rFonts w:ascii="Times New Roman" w:eastAsia="方正仿宋_GBK" w:hAnsi="Times New Roman"/>
          <w:sz w:val="32"/>
          <w:szCs w:val="32"/>
        </w:rPr>
        <w:t>大足区人民法院双桥人民法庭：</w:t>
      </w:r>
    </w:p>
    <w:p w:rsidR="00645401" w:rsidRPr="00AA617E" w:rsidRDefault="00645401" w:rsidP="00645401">
      <w:pPr>
        <w:spacing w:line="600" w:lineRule="exact"/>
        <w:rPr>
          <w:rFonts w:ascii="Times New Roman" w:eastAsia="方正仿宋_GBK" w:hAnsi="Times New Roman"/>
          <w:sz w:val="32"/>
          <w:szCs w:val="32"/>
        </w:rPr>
      </w:pPr>
      <w:r w:rsidRPr="00AA617E">
        <w:rPr>
          <w:rFonts w:ascii="Times New Roman" w:eastAsia="方正仿宋_GBK" w:hAnsi="Times New Roman"/>
          <w:sz w:val="32"/>
          <w:szCs w:val="32"/>
        </w:rPr>
        <w:t>陈贵英与重庆石船建设开发有限公司商品房预售合同纠纷管辖权异议一案，你庭作出的</w:t>
      </w:r>
      <w:r w:rsidRPr="00AA617E">
        <w:rPr>
          <w:rFonts w:ascii="Times New Roman" w:eastAsia="方正仿宋_GBK" w:hAnsi="Times New Roman"/>
          <w:sz w:val="32"/>
          <w:szCs w:val="32"/>
        </w:rPr>
        <w:t>(2019)</w:t>
      </w:r>
      <w:r w:rsidRPr="00AA617E">
        <w:rPr>
          <w:rFonts w:ascii="Times New Roman" w:eastAsia="方正仿宋_GBK" w:hAnsi="Times New Roman"/>
          <w:sz w:val="32"/>
          <w:szCs w:val="32"/>
        </w:rPr>
        <w:t>渝</w:t>
      </w:r>
      <w:r w:rsidRPr="00AA617E">
        <w:rPr>
          <w:rFonts w:ascii="Times New Roman" w:eastAsia="方正仿宋_GBK" w:hAnsi="Times New Roman"/>
          <w:sz w:val="32"/>
          <w:szCs w:val="32"/>
        </w:rPr>
        <w:t>0111</w:t>
      </w:r>
      <w:r w:rsidRPr="00AA617E">
        <w:rPr>
          <w:rFonts w:ascii="Times New Roman" w:eastAsia="方正仿宋_GBK" w:hAnsi="Times New Roman"/>
          <w:sz w:val="32"/>
          <w:szCs w:val="32"/>
        </w:rPr>
        <w:t>民初</w:t>
      </w:r>
      <w:r w:rsidRPr="00AA617E">
        <w:rPr>
          <w:rFonts w:ascii="Times New Roman" w:eastAsia="方正仿宋_GBK" w:hAnsi="Times New Roman"/>
          <w:sz w:val="32"/>
          <w:szCs w:val="32"/>
        </w:rPr>
        <w:t>3319</w:t>
      </w:r>
      <w:r w:rsidRPr="00AA617E">
        <w:rPr>
          <w:rFonts w:ascii="Times New Roman" w:eastAsia="方正仿宋_GBK" w:hAnsi="Times New Roman"/>
          <w:sz w:val="32"/>
          <w:szCs w:val="32"/>
        </w:rPr>
        <w:t>号民事裁定被本院作出的</w:t>
      </w:r>
      <w:r w:rsidRPr="00AA617E">
        <w:rPr>
          <w:rFonts w:ascii="Times New Roman" w:eastAsia="方正仿宋_GBK" w:hAnsi="Times New Roman"/>
          <w:sz w:val="32"/>
          <w:szCs w:val="32"/>
        </w:rPr>
        <w:t>(2019)</w:t>
      </w:r>
      <w:r w:rsidRPr="00AA617E">
        <w:rPr>
          <w:rFonts w:ascii="Times New Roman" w:eastAsia="方正仿宋_GBK" w:hAnsi="Times New Roman"/>
          <w:sz w:val="32"/>
          <w:szCs w:val="32"/>
        </w:rPr>
        <w:t>渝</w:t>
      </w:r>
      <w:r w:rsidRPr="00AA617E">
        <w:rPr>
          <w:rFonts w:ascii="Times New Roman" w:eastAsia="方正仿宋_GBK" w:hAnsi="Times New Roman"/>
          <w:sz w:val="32"/>
          <w:szCs w:val="32"/>
        </w:rPr>
        <w:t>01</w:t>
      </w:r>
      <w:r w:rsidRPr="00AA617E">
        <w:rPr>
          <w:rFonts w:ascii="Times New Roman" w:eastAsia="方正仿宋_GBK" w:hAnsi="Times New Roman"/>
          <w:sz w:val="32"/>
          <w:szCs w:val="32"/>
        </w:rPr>
        <w:t>民辖终</w:t>
      </w:r>
      <w:r w:rsidRPr="00AA617E">
        <w:rPr>
          <w:rFonts w:ascii="Times New Roman" w:eastAsia="方正仿宋_GBK" w:hAnsi="Times New Roman"/>
          <w:sz w:val="32"/>
          <w:szCs w:val="32"/>
        </w:rPr>
        <w:t>953</w:t>
      </w:r>
      <w:r w:rsidRPr="00AA617E">
        <w:rPr>
          <w:rFonts w:ascii="Times New Roman" w:eastAsia="方正仿宋_GBK" w:hAnsi="Times New Roman"/>
          <w:sz w:val="32"/>
          <w:szCs w:val="32"/>
        </w:rPr>
        <w:t>号民事裁定予以改判。你庭于</w:t>
      </w:r>
      <w:r w:rsidRPr="00AA617E">
        <w:rPr>
          <w:rFonts w:ascii="Times New Roman" w:eastAsia="方正仿宋_GBK" w:hAnsi="Times New Roman"/>
          <w:sz w:val="32"/>
          <w:szCs w:val="32"/>
        </w:rPr>
        <w:t>2019</w:t>
      </w:r>
      <w:r w:rsidRPr="00AA617E">
        <w:rPr>
          <w:rFonts w:ascii="Times New Roman" w:eastAsia="方正仿宋_GBK" w:hAnsi="Times New Roman"/>
          <w:sz w:val="32"/>
          <w:szCs w:val="32"/>
        </w:rPr>
        <w:t>年</w:t>
      </w:r>
      <w:r w:rsidRPr="00AA617E">
        <w:rPr>
          <w:rFonts w:ascii="Times New Roman" w:eastAsia="方正仿宋_GBK" w:hAnsi="Times New Roman"/>
          <w:sz w:val="32"/>
          <w:szCs w:val="32"/>
        </w:rPr>
        <w:t>9</w:t>
      </w:r>
      <w:r w:rsidRPr="00AA617E">
        <w:rPr>
          <w:rFonts w:ascii="Times New Roman" w:eastAsia="方正仿宋_GBK" w:hAnsi="Times New Roman"/>
          <w:sz w:val="32"/>
          <w:szCs w:val="32"/>
        </w:rPr>
        <w:t>月</w:t>
      </w:r>
      <w:r w:rsidRPr="00AA617E">
        <w:rPr>
          <w:rFonts w:ascii="Times New Roman" w:eastAsia="方正仿宋_GBK" w:hAnsi="Times New Roman"/>
          <w:sz w:val="32"/>
          <w:szCs w:val="32"/>
        </w:rPr>
        <w:t>2</w:t>
      </w:r>
      <w:r>
        <w:rPr>
          <w:rFonts w:ascii="Times New Roman" w:eastAsia="方正仿宋_GBK" w:hAnsi="Times New Roman"/>
          <w:sz w:val="32"/>
          <w:szCs w:val="32"/>
        </w:rPr>
        <w:t>日向本院提出申辩，本院立案庭收到后，合议庭成员与</w:t>
      </w:r>
      <w:r w:rsidRPr="00AA617E">
        <w:rPr>
          <w:rFonts w:ascii="Times New Roman" w:eastAsia="方正仿宋_GBK" w:hAnsi="Times New Roman"/>
          <w:sz w:val="32"/>
          <w:szCs w:val="32"/>
        </w:rPr>
        <w:t>庭领导进行了认真研究。现答复如下：</w:t>
      </w:r>
    </w:p>
    <w:p w:rsidR="00645401" w:rsidRPr="00AA617E" w:rsidRDefault="00645401" w:rsidP="00645401">
      <w:pPr>
        <w:spacing w:line="600" w:lineRule="exact"/>
        <w:ind w:firstLineChars="200" w:firstLine="640"/>
        <w:rPr>
          <w:rFonts w:ascii="Times New Roman" w:eastAsia="黑体" w:hAnsi="Times New Roman"/>
          <w:sz w:val="32"/>
          <w:szCs w:val="32"/>
        </w:rPr>
      </w:pPr>
      <w:r w:rsidRPr="00AA617E">
        <w:rPr>
          <w:rFonts w:ascii="Times New Roman" w:eastAsia="黑体" w:hAnsi="Times New Roman"/>
          <w:sz w:val="32"/>
          <w:szCs w:val="32"/>
        </w:rPr>
        <w:t>一、申辩主要异议及理由</w:t>
      </w:r>
    </w:p>
    <w:p w:rsidR="00645401" w:rsidRPr="00AA617E" w:rsidRDefault="00645401" w:rsidP="00645401">
      <w:pPr>
        <w:spacing w:line="600" w:lineRule="exact"/>
        <w:ind w:firstLineChars="200" w:firstLine="640"/>
        <w:rPr>
          <w:rFonts w:ascii="Times New Roman" w:eastAsia="方正仿宋_GBK" w:hAnsi="Times New Roman"/>
          <w:sz w:val="32"/>
          <w:szCs w:val="32"/>
        </w:rPr>
      </w:pPr>
      <w:r w:rsidRPr="00AA617E">
        <w:rPr>
          <w:rFonts w:ascii="Times New Roman" w:eastAsia="方正仿宋_GBK" w:hAnsi="Times New Roman"/>
          <w:sz w:val="32"/>
          <w:szCs w:val="32"/>
        </w:rPr>
        <w:t>一审承办人认为，该案立案变更属于一、二审法院对法律理解不一致，认为不属于自身原因导致案件被立案变更。</w:t>
      </w:r>
    </w:p>
    <w:p w:rsidR="00645401" w:rsidRPr="00AA617E" w:rsidRDefault="00645401" w:rsidP="00645401">
      <w:pPr>
        <w:spacing w:line="600" w:lineRule="exact"/>
        <w:ind w:firstLineChars="200" w:firstLine="640"/>
        <w:rPr>
          <w:rFonts w:ascii="Times New Roman" w:eastAsia="方正仿宋_GBK" w:hAnsi="Times New Roman"/>
          <w:sz w:val="32"/>
          <w:szCs w:val="32"/>
        </w:rPr>
      </w:pPr>
      <w:r w:rsidRPr="00AA617E">
        <w:rPr>
          <w:rFonts w:ascii="Times New Roman" w:eastAsia="黑体" w:hAnsi="Times New Roman"/>
          <w:sz w:val="32"/>
          <w:szCs w:val="32"/>
        </w:rPr>
        <w:t>二、两级法院主要分歧</w:t>
      </w:r>
    </w:p>
    <w:p w:rsidR="00645401" w:rsidRPr="00AA617E" w:rsidRDefault="00645401" w:rsidP="00645401">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两级法院</w:t>
      </w:r>
      <w:r w:rsidRPr="00AA617E">
        <w:rPr>
          <w:rFonts w:ascii="Times New Roman" w:eastAsia="方正仿宋_GBK" w:hAnsi="Times New Roman"/>
          <w:sz w:val="32"/>
          <w:szCs w:val="32"/>
        </w:rPr>
        <w:t>主要分歧点为：是否适用不动产专属管辖规定及合同履行地的确定。</w:t>
      </w:r>
    </w:p>
    <w:p w:rsidR="00645401" w:rsidRPr="00AA617E" w:rsidRDefault="00645401" w:rsidP="00645401">
      <w:pPr>
        <w:spacing w:line="600" w:lineRule="exact"/>
        <w:ind w:firstLineChars="200" w:firstLine="640"/>
        <w:rPr>
          <w:rFonts w:ascii="Times New Roman" w:eastAsia="方正仿宋_GBK" w:hAnsi="Times New Roman"/>
          <w:sz w:val="32"/>
          <w:szCs w:val="32"/>
        </w:rPr>
      </w:pPr>
      <w:r w:rsidRPr="00AA617E">
        <w:rPr>
          <w:rFonts w:ascii="Times New Roman" w:eastAsia="方正仿宋_GBK" w:hAnsi="Times New Roman"/>
          <w:sz w:val="32"/>
          <w:szCs w:val="32"/>
        </w:rPr>
        <w:t>一审法院认为，本案系商品房预售合同纠纷，依照《中华人民共和国民事诉讼法》第三十三条第一款</w:t>
      </w:r>
      <w:r w:rsidRPr="00AA617E">
        <w:rPr>
          <w:rFonts w:ascii="Times New Roman" w:eastAsia="方正仿宋_GBK" w:hAnsi="Times New Roman"/>
          <w:sz w:val="32"/>
          <w:szCs w:val="32"/>
        </w:rPr>
        <w:t>“</w:t>
      </w:r>
      <w:r w:rsidRPr="00AA617E">
        <w:rPr>
          <w:rFonts w:ascii="Times New Roman" w:eastAsia="方正仿宋_GBK" w:hAnsi="Times New Roman"/>
          <w:sz w:val="32"/>
          <w:szCs w:val="32"/>
        </w:rPr>
        <w:t>（一）因不动产纠纷提起的诉讼，由不动产所在地人民法院管辖</w:t>
      </w:r>
      <w:r w:rsidRPr="00AA617E">
        <w:rPr>
          <w:rFonts w:ascii="Times New Roman" w:eastAsia="方正仿宋_GBK" w:hAnsi="Times New Roman"/>
          <w:sz w:val="32"/>
          <w:szCs w:val="32"/>
        </w:rPr>
        <w:t>”</w:t>
      </w:r>
      <w:r w:rsidRPr="00AA617E">
        <w:rPr>
          <w:rFonts w:ascii="Times New Roman" w:eastAsia="方正仿宋_GBK" w:hAnsi="Times New Roman"/>
          <w:sz w:val="32"/>
          <w:szCs w:val="32"/>
        </w:rPr>
        <w:t>规定，案涉《重庆市商品房买卖合同》，争议的商品房位置坐落于重庆市双桥经开区经开大道</w:t>
      </w:r>
      <w:r w:rsidRPr="00AA617E">
        <w:rPr>
          <w:rFonts w:ascii="Times New Roman" w:eastAsia="方正仿宋_GBK" w:hAnsi="Times New Roman"/>
          <w:sz w:val="32"/>
          <w:szCs w:val="32"/>
        </w:rPr>
        <w:t>3</w:t>
      </w:r>
      <w:r w:rsidRPr="00AA617E">
        <w:rPr>
          <w:rFonts w:ascii="Times New Roman" w:eastAsia="方正仿宋_GBK" w:hAnsi="Times New Roman"/>
          <w:sz w:val="32"/>
          <w:szCs w:val="32"/>
        </w:rPr>
        <w:t>号附</w:t>
      </w:r>
      <w:r w:rsidRPr="00AA617E">
        <w:rPr>
          <w:rFonts w:ascii="Times New Roman" w:eastAsia="方正仿宋_GBK" w:hAnsi="Times New Roman"/>
          <w:sz w:val="32"/>
          <w:szCs w:val="32"/>
        </w:rPr>
        <w:t>7</w:t>
      </w:r>
      <w:r w:rsidRPr="00AA617E">
        <w:rPr>
          <w:rFonts w:ascii="Times New Roman" w:eastAsia="方正仿宋_GBK" w:hAnsi="Times New Roman"/>
          <w:sz w:val="32"/>
          <w:szCs w:val="32"/>
        </w:rPr>
        <w:t>号</w:t>
      </w:r>
      <w:r w:rsidRPr="00AA617E">
        <w:rPr>
          <w:rFonts w:ascii="Times New Roman" w:eastAsia="方正仿宋_GBK" w:hAnsi="Times New Roman"/>
          <w:sz w:val="32"/>
          <w:szCs w:val="32"/>
        </w:rPr>
        <w:t>2-1-3</w:t>
      </w:r>
      <w:r w:rsidRPr="00AA617E">
        <w:rPr>
          <w:rFonts w:ascii="Times New Roman" w:eastAsia="方正仿宋_GBK" w:hAnsi="Times New Roman"/>
          <w:sz w:val="32"/>
          <w:szCs w:val="32"/>
        </w:rPr>
        <w:t>，不动产的所在地为重庆市大足区，故重庆市大足区人民法院具有管辖权。据此驳回重庆石船建设开发有限公司的管辖权异议。</w:t>
      </w:r>
    </w:p>
    <w:p w:rsidR="00645401" w:rsidRPr="00AA617E" w:rsidRDefault="00645401" w:rsidP="00645401">
      <w:pPr>
        <w:spacing w:line="600" w:lineRule="exact"/>
        <w:rPr>
          <w:rFonts w:ascii="Times New Roman" w:eastAsia="黑体" w:hAnsi="Times New Roman"/>
          <w:sz w:val="32"/>
          <w:szCs w:val="32"/>
        </w:rPr>
      </w:pPr>
      <w:r w:rsidRPr="00AA617E">
        <w:rPr>
          <w:rFonts w:ascii="Times New Roman" w:eastAsia="黑体" w:hAnsi="Times New Roman"/>
          <w:sz w:val="32"/>
          <w:szCs w:val="32"/>
        </w:rPr>
        <w:lastRenderedPageBreak/>
        <w:t>三、二审研究情况</w:t>
      </w:r>
    </w:p>
    <w:p w:rsidR="00645401" w:rsidRPr="00AA617E" w:rsidRDefault="00645401" w:rsidP="00645401">
      <w:pPr>
        <w:spacing w:line="600" w:lineRule="exact"/>
        <w:rPr>
          <w:rFonts w:ascii="Times New Roman" w:eastAsia="方正仿宋_GBK" w:hAnsi="Times New Roman"/>
          <w:sz w:val="32"/>
          <w:szCs w:val="32"/>
        </w:rPr>
      </w:pPr>
      <w:r w:rsidRPr="00AA617E">
        <w:rPr>
          <w:rFonts w:ascii="Times New Roman" w:eastAsia="方正仿宋_GBK" w:hAnsi="Times New Roman"/>
          <w:sz w:val="32"/>
          <w:szCs w:val="32"/>
        </w:rPr>
        <w:t>我院二审审查认为，本案系商品房预售合同纠纷，不适用不动产专属管辖。双方当事人未举示协议管辖证据，被上诉人依据案涉《重庆市商品房买卖合同》，起诉主张解除合同，并由上诉人退还购房款、契税款及资金占用损失等，本案应依据《中华人民共和国民事诉讼法》第二十三条</w:t>
      </w:r>
      <w:r w:rsidRPr="00AA617E">
        <w:rPr>
          <w:rFonts w:ascii="Times New Roman" w:eastAsia="方正仿宋_GBK" w:hAnsi="Times New Roman"/>
          <w:sz w:val="32"/>
          <w:szCs w:val="32"/>
        </w:rPr>
        <w:t>“</w:t>
      </w:r>
      <w:r w:rsidRPr="00AA617E">
        <w:rPr>
          <w:rFonts w:ascii="Times New Roman" w:eastAsia="方正仿宋_GBK" w:hAnsi="Times New Roman"/>
          <w:sz w:val="32"/>
          <w:szCs w:val="32"/>
        </w:rPr>
        <w:t>因合同纠纷提起的诉讼，由被告住所地或者合同履行地人民法院管辖</w:t>
      </w:r>
      <w:r w:rsidRPr="00AA617E">
        <w:rPr>
          <w:rFonts w:ascii="Times New Roman" w:eastAsia="方正仿宋_GBK" w:hAnsi="Times New Roman"/>
          <w:sz w:val="32"/>
          <w:szCs w:val="32"/>
        </w:rPr>
        <w:t>”</w:t>
      </w:r>
      <w:r w:rsidRPr="00AA617E">
        <w:rPr>
          <w:rFonts w:ascii="Times New Roman" w:eastAsia="方正仿宋_GBK" w:hAnsi="Times New Roman"/>
          <w:sz w:val="32"/>
          <w:szCs w:val="32"/>
        </w:rPr>
        <w:t>的规定确定管辖。</w:t>
      </w:r>
    </w:p>
    <w:p w:rsidR="00645401" w:rsidRPr="00AA617E" w:rsidRDefault="00645401" w:rsidP="00645401">
      <w:pPr>
        <w:spacing w:line="600" w:lineRule="exact"/>
        <w:ind w:firstLineChars="200" w:firstLine="640"/>
        <w:rPr>
          <w:rFonts w:ascii="Times New Roman" w:eastAsia="方正仿宋_GBK" w:hAnsi="Times New Roman"/>
          <w:sz w:val="32"/>
          <w:szCs w:val="32"/>
        </w:rPr>
      </w:pPr>
      <w:r w:rsidRPr="00AA617E">
        <w:rPr>
          <w:rFonts w:ascii="Times New Roman" w:eastAsia="方正仿宋_GBK" w:hAnsi="Times New Roman"/>
          <w:sz w:val="32"/>
          <w:szCs w:val="32"/>
        </w:rPr>
        <w:t>本案中，双方当事人在案涉合同中未约定合同履行地，根据《最高人民法院关于适用〈中华人民共和国民事诉讼法〉的解释》第十八条第二款的规定，合同履行地应依据争议标的确定，该条款中的</w:t>
      </w:r>
      <w:r w:rsidRPr="00AA617E">
        <w:rPr>
          <w:rFonts w:ascii="Times New Roman" w:eastAsia="方正仿宋_GBK" w:hAnsi="Times New Roman"/>
          <w:sz w:val="32"/>
          <w:szCs w:val="32"/>
        </w:rPr>
        <w:t>“</w:t>
      </w:r>
      <w:r w:rsidRPr="00AA617E">
        <w:rPr>
          <w:rFonts w:ascii="Times New Roman" w:eastAsia="方正仿宋_GBK" w:hAnsi="Times New Roman"/>
          <w:sz w:val="32"/>
          <w:szCs w:val="32"/>
        </w:rPr>
        <w:t>争议标的</w:t>
      </w:r>
      <w:r w:rsidRPr="00AA617E">
        <w:rPr>
          <w:rFonts w:ascii="Times New Roman" w:eastAsia="方正仿宋_GBK" w:hAnsi="Times New Roman"/>
          <w:sz w:val="32"/>
          <w:szCs w:val="32"/>
        </w:rPr>
        <w:t>”</w:t>
      </w:r>
      <w:r w:rsidRPr="00AA617E">
        <w:rPr>
          <w:rFonts w:ascii="Times New Roman" w:eastAsia="方正仿宋_GBK" w:hAnsi="Times New Roman"/>
          <w:sz w:val="32"/>
          <w:szCs w:val="32"/>
        </w:rPr>
        <w:t>是指诉讼请求所指向的合同义务内容，争议标的履行地是指诉讼请求所指向的合同义务内容的履行地。被上诉人起诉主张解除合同，并由上诉人退还购房款、契税款及资金占用损失等，争议标的属于</w:t>
      </w:r>
      <w:r w:rsidRPr="00AA617E">
        <w:rPr>
          <w:rFonts w:ascii="Times New Roman" w:eastAsia="方正仿宋_GBK" w:hAnsi="Times New Roman"/>
          <w:sz w:val="32"/>
          <w:szCs w:val="32"/>
        </w:rPr>
        <w:t>“</w:t>
      </w:r>
      <w:r w:rsidRPr="00AA617E">
        <w:rPr>
          <w:rFonts w:ascii="Times New Roman" w:eastAsia="方正仿宋_GBK" w:hAnsi="Times New Roman"/>
          <w:sz w:val="32"/>
          <w:szCs w:val="32"/>
        </w:rPr>
        <w:t>其他标的</w:t>
      </w:r>
      <w:r w:rsidRPr="00AA617E">
        <w:rPr>
          <w:rFonts w:ascii="Times New Roman" w:eastAsia="方正仿宋_GBK" w:hAnsi="Times New Roman"/>
          <w:sz w:val="32"/>
          <w:szCs w:val="32"/>
        </w:rPr>
        <w:t>”</w:t>
      </w:r>
      <w:r w:rsidRPr="00AA617E">
        <w:rPr>
          <w:rFonts w:ascii="Times New Roman" w:eastAsia="方正仿宋_GBK" w:hAnsi="Times New Roman"/>
          <w:sz w:val="32"/>
          <w:szCs w:val="32"/>
        </w:rPr>
        <w:t>的情形，故本案合同履行地为履行义务一方即上诉人住所地。因本案合同履行地及上诉人住所地均在重庆市渝北区，故一审法院对本案不具有管辖权，上诉人认为本案应移送重庆市渝北区人民法院审理的上诉理由成立，本院予以支持。一审裁定适用法律错误，本院予以纠正。</w:t>
      </w:r>
    </w:p>
    <w:p w:rsidR="00645401" w:rsidRPr="00AA617E" w:rsidRDefault="00645401" w:rsidP="00645401">
      <w:pPr>
        <w:spacing w:line="600" w:lineRule="exact"/>
        <w:ind w:left="640"/>
        <w:rPr>
          <w:rFonts w:ascii="Times New Roman" w:eastAsia="黑体" w:hAnsi="Times New Roman"/>
          <w:sz w:val="32"/>
          <w:szCs w:val="32"/>
        </w:rPr>
      </w:pPr>
      <w:r w:rsidRPr="00AA617E">
        <w:rPr>
          <w:rFonts w:ascii="Times New Roman" w:eastAsia="黑体" w:hAnsi="Times New Roman"/>
          <w:sz w:val="32"/>
          <w:szCs w:val="32"/>
        </w:rPr>
        <w:t>四、结论</w:t>
      </w:r>
    </w:p>
    <w:p w:rsidR="00645401" w:rsidRPr="00AA617E" w:rsidRDefault="00645401" w:rsidP="00645401">
      <w:pPr>
        <w:spacing w:line="600" w:lineRule="exact"/>
        <w:ind w:firstLineChars="200" w:firstLine="640"/>
        <w:rPr>
          <w:rFonts w:ascii="Times New Roman" w:eastAsia="方正仿宋_GBK" w:hAnsi="Times New Roman"/>
          <w:sz w:val="32"/>
          <w:szCs w:val="32"/>
        </w:rPr>
      </w:pPr>
      <w:r w:rsidRPr="00AA617E">
        <w:rPr>
          <w:rFonts w:ascii="Times New Roman" w:eastAsia="方正仿宋_GBK" w:hAnsi="Times New Roman"/>
          <w:sz w:val="32"/>
          <w:szCs w:val="32"/>
        </w:rPr>
        <w:t>１．你庭认为商品房买卖合同纠纷适用专属管辖存在争议，这个是不正确的，新民诉法及司法解释中对适用不动产</w:t>
      </w:r>
      <w:r w:rsidRPr="00AA617E">
        <w:rPr>
          <w:rFonts w:ascii="Times New Roman" w:eastAsia="方正仿宋_GBK" w:hAnsi="Times New Roman"/>
          <w:sz w:val="32"/>
          <w:szCs w:val="32"/>
        </w:rPr>
        <w:lastRenderedPageBreak/>
        <w:t>专属管辖有明确的规定。</w:t>
      </w:r>
    </w:p>
    <w:p w:rsidR="00645401" w:rsidRPr="00AA617E" w:rsidRDefault="00645401" w:rsidP="00645401">
      <w:pPr>
        <w:spacing w:line="600" w:lineRule="exact"/>
        <w:ind w:firstLineChars="200" w:firstLine="640"/>
        <w:rPr>
          <w:rFonts w:ascii="Times New Roman" w:eastAsia="方正仿宋_GBK" w:hAnsi="Times New Roman"/>
          <w:sz w:val="32"/>
          <w:szCs w:val="32"/>
        </w:rPr>
      </w:pPr>
      <w:r w:rsidRPr="00AA617E">
        <w:rPr>
          <w:rFonts w:ascii="Times New Roman" w:eastAsia="方正仿宋_GBK" w:hAnsi="Times New Roman"/>
          <w:sz w:val="32"/>
          <w:szCs w:val="32"/>
        </w:rPr>
        <w:t>２．合同履行地的确定，应依据民诉法解释第十八条第二款的规定来确定履行地，一审法院对法律理解不准确。</w:t>
      </w:r>
    </w:p>
    <w:p w:rsidR="00645401" w:rsidRPr="00AA617E" w:rsidRDefault="00645401" w:rsidP="00645401">
      <w:pPr>
        <w:spacing w:line="600" w:lineRule="exact"/>
        <w:ind w:firstLineChars="200" w:firstLine="640"/>
        <w:rPr>
          <w:rFonts w:ascii="Times New Roman" w:eastAsia="方正仿宋_GBK" w:hAnsi="Times New Roman"/>
          <w:sz w:val="32"/>
          <w:szCs w:val="32"/>
        </w:rPr>
      </w:pPr>
      <w:r w:rsidRPr="00AA617E">
        <w:rPr>
          <w:rFonts w:ascii="Times New Roman" w:eastAsia="方正仿宋_GBK" w:hAnsi="Times New Roman"/>
          <w:sz w:val="32"/>
          <w:szCs w:val="32"/>
        </w:rPr>
        <w:t>请认真学习和理解新民诉法及司法解释中关于合同履行地和不动产专属管辖的相关规定。</w:t>
      </w:r>
    </w:p>
    <w:p w:rsidR="00645401" w:rsidRPr="00AA617E" w:rsidRDefault="00645401" w:rsidP="00645401">
      <w:pPr>
        <w:spacing w:line="600" w:lineRule="exact"/>
        <w:ind w:firstLineChars="200" w:firstLine="640"/>
        <w:rPr>
          <w:rFonts w:ascii="Times New Roman" w:eastAsia="方正仿宋_GBK" w:hAnsi="Times New Roman"/>
          <w:sz w:val="32"/>
          <w:szCs w:val="32"/>
        </w:rPr>
      </w:pPr>
      <w:r w:rsidRPr="00AA617E">
        <w:rPr>
          <w:rFonts w:ascii="Times New Roman" w:eastAsia="方正仿宋_GBK" w:hAnsi="Times New Roman"/>
          <w:sz w:val="32"/>
          <w:szCs w:val="32"/>
        </w:rPr>
        <w:t>综上，你庭的申辩意见不成立。</w:t>
      </w:r>
    </w:p>
    <w:p w:rsidR="00645401" w:rsidRPr="00AA617E" w:rsidRDefault="00645401" w:rsidP="00645401">
      <w:pPr>
        <w:spacing w:line="600" w:lineRule="exact"/>
        <w:ind w:firstLineChars="200" w:firstLine="640"/>
        <w:rPr>
          <w:rFonts w:ascii="Times New Roman" w:eastAsia="方正仿宋_GBK" w:hAnsi="Times New Roman"/>
          <w:sz w:val="32"/>
          <w:szCs w:val="32"/>
        </w:rPr>
      </w:pPr>
    </w:p>
    <w:p w:rsidR="00672699" w:rsidRDefault="00672699" w:rsidP="00672699">
      <w:pPr>
        <w:spacing w:line="600" w:lineRule="exact"/>
        <w:ind w:firstLineChars="1450" w:firstLine="4060"/>
        <w:rPr>
          <w:rFonts w:ascii="Times New Roman" w:eastAsia="仿宋_GB2312" w:hAnsi="Times New Roman" w:hint="eastAsia"/>
          <w:color w:val="000000"/>
          <w:sz w:val="28"/>
          <w:szCs w:val="32"/>
        </w:rPr>
      </w:pPr>
    </w:p>
    <w:p w:rsidR="00645401" w:rsidRPr="00672699" w:rsidRDefault="00672699" w:rsidP="00672699">
      <w:pPr>
        <w:spacing w:line="600" w:lineRule="exact"/>
        <w:ind w:firstLineChars="1450" w:firstLine="4640"/>
        <w:rPr>
          <w:rFonts w:ascii="Times New Roman" w:eastAsia="方正仿宋_GBK" w:hAnsi="Times New Roman"/>
          <w:sz w:val="32"/>
          <w:szCs w:val="32"/>
        </w:rPr>
      </w:pPr>
      <w:r w:rsidRPr="00672699">
        <w:rPr>
          <w:rFonts w:ascii="Times New Roman" w:eastAsia="方正仿宋_GBK" w:hAnsi="Times New Roman" w:hint="eastAsia"/>
          <w:sz w:val="32"/>
          <w:szCs w:val="32"/>
        </w:rPr>
        <w:t xml:space="preserve"> </w:t>
      </w:r>
      <w:r w:rsidR="00645401" w:rsidRPr="00672699">
        <w:rPr>
          <w:rFonts w:ascii="Times New Roman" w:eastAsia="方正仿宋_GBK" w:hAnsi="Times New Roman"/>
          <w:sz w:val="32"/>
          <w:szCs w:val="32"/>
        </w:rPr>
        <w:t>二〇一九年九月十九日</w:t>
      </w:r>
    </w:p>
    <w:p w:rsidR="00645401" w:rsidRPr="00AA617E" w:rsidRDefault="00645401" w:rsidP="00645401">
      <w:pPr>
        <w:adjustRightInd w:val="0"/>
        <w:snapToGrid w:val="0"/>
        <w:spacing w:line="600" w:lineRule="exact"/>
        <w:ind w:right="640" w:firstLineChars="218" w:firstLine="698"/>
        <w:jc w:val="center"/>
        <w:rPr>
          <w:rFonts w:ascii="Times New Roman" w:eastAsia="方正仿宋_GBK" w:hAnsi="Times New Roman"/>
          <w:sz w:val="32"/>
          <w:szCs w:val="32"/>
        </w:rPr>
      </w:pPr>
    </w:p>
    <w:p w:rsidR="00645401" w:rsidRPr="00AA617E" w:rsidRDefault="00645401" w:rsidP="00645401">
      <w:pPr>
        <w:widowControl/>
        <w:spacing w:line="600" w:lineRule="exact"/>
        <w:rPr>
          <w:rFonts w:ascii="Times New Roman" w:eastAsia="方正仿宋_GBK" w:hAnsi="Times New Roman"/>
          <w:sz w:val="32"/>
          <w:szCs w:val="32"/>
        </w:rPr>
        <w:sectPr w:rsidR="00645401" w:rsidRPr="00AA617E" w:rsidSect="00C14CFA">
          <w:footerReference w:type="default" r:id="rId6"/>
          <w:pgSz w:w="11906" w:h="16838"/>
          <w:pgMar w:top="1440" w:right="1797" w:bottom="1440" w:left="1797" w:header="851" w:footer="992" w:gutter="0"/>
          <w:pgNumType w:start="1"/>
          <w:cols w:space="720"/>
          <w:docGrid w:type="lines" w:linePitch="312"/>
        </w:sectPr>
      </w:pPr>
    </w:p>
    <w:p w:rsidR="00645401" w:rsidRPr="00AA617E" w:rsidRDefault="00645401" w:rsidP="00645401">
      <w:pPr>
        <w:spacing w:line="600" w:lineRule="exact"/>
        <w:jc w:val="center"/>
        <w:rPr>
          <w:rFonts w:ascii="Times New Roman" w:eastAsia="方正小标宋_GBK" w:hAnsi="Times New Roman"/>
          <w:b/>
          <w:sz w:val="40"/>
          <w:szCs w:val="40"/>
        </w:rPr>
      </w:pPr>
      <w:r w:rsidRPr="00AA617E">
        <w:rPr>
          <w:rFonts w:ascii="Times New Roman" w:eastAsia="方正小标宋_GBK" w:hAnsi="Times New Roman"/>
          <w:b/>
          <w:sz w:val="40"/>
          <w:szCs w:val="40"/>
        </w:rPr>
        <w:lastRenderedPageBreak/>
        <w:t>2</w:t>
      </w:r>
      <w:r w:rsidRPr="00AA617E">
        <w:rPr>
          <w:rFonts w:ascii="Times New Roman" w:eastAsia="方正小标宋_GBK" w:hAnsi="Times New Roman"/>
          <w:b/>
          <w:sz w:val="40"/>
          <w:szCs w:val="40"/>
        </w:rPr>
        <w:t>、市一中法院对渝北区法院</w:t>
      </w:r>
      <w:r w:rsidR="00AD1073">
        <w:rPr>
          <w:rFonts w:ascii="Times New Roman" w:eastAsia="方正小标宋_GBK" w:hAnsi="Times New Roman" w:hint="eastAsia"/>
          <w:b/>
          <w:sz w:val="40"/>
          <w:szCs w:val="40"/>
        </w:rPr>
        <w:t>（</w:t>
      </w:r>
      <w:r w:rsidR="00AD1073">
        <w:rPr>
          <w:rFonts w:ascii="Times New Roman" w:eastAsia="方正小标宋_GBK" w:hAnsi="Times New Roman"/>
          <w:b/>
          <w:sz w:val="40"/>
          <w:szCs w:val="40"/>
        </w:rPr>
        <w:t>2018</w:t>
      </w:r>
      <w:r w:rsidR="00AD1073">
        <w:rPr>
          <w:rFonts w:ascii="Times New Roman" w:eastAsia="方正小标宋_GBK" w:hAnsi="Times New Roman" w:hint="eastAsia"/>
          <w:b/>
          <w:sz w:val="40"/>
          <w:szCs w:val="40"/>
        </w:rPr>
        <w:t>）</w:t>
      </w:r>
      <w:r w:rsidRPr="00AA617E">
        <w:rPr>
          <w:rFonts w:ascii="Times New Roman" w:eastAsia="方正小标宋_GBK" w:hAnsi="Times New Roman"/>
          <w:b/>
          <w:sz w:val="40"/>
          <w:szCs w:val="40"/>
        </w:rPr>
        <w:t>渝</w:t>
      </w:r>
      <w:r w:rsidRPr="00AA617E">
        <w:rPr>
          <w:rFonts w:ascii="Times New Roman" w:eastAsia="方正小标宋_GBK" w:hAnsi="Times New Roman"/>
          <w:b/>
          <w:sz w:val="40"/>
          <w:szCs w:val="40"/>
        </w:rPr>
        <w:t>0112</w:t>
      </w:r>
      <w:r w:rsidRPr="00AA617E">
        <w:rPr>
          <w:rFonts w:ascii="Times New Roman" w:eastAsia="方正小标宋_GBK" w:hAnsi="Times New Roman"/>
          <w:b/>
          <w:sz w:val="40"/>
          <w:szCs w:val="40"/>
        </w:rPr>
        <w:t>民初</w:t>
      </w:r>
      <w:r w:rsidRPr="00AA617E">
        <w:rPr>
          <w:rFonts w:ascii="Times New Roman" w:eastAsia="方正小标宋_GBK" w:hAnsi="Times New Roman"/>
          <w:b/>
          <w:sz w:val="40"/>
          <w:szCs w:val="40"/>
        </w:rPr>
        <w:t>23964</w:t>
      </w:r>
      <w:r w:rsidRPr="00AA617E">
        <w:rPr>
          <w:rFonts w:ascii="Times New Roman" w:eastAsia="方正小标宋_GBK" w:hAnsi="Times New Roman"/>
          <w:b/>
          <w:sz w:val="40"/>
          <w:szCs w:val="40"/>
        </w:rPr>
        <w:t>号案件申辩情况的答复</w:t>
      </w:r>
    </w:p>
    <w:p w:rsidR="00645401" w:rsidRPr="00AA617E" w:rsidRDefault="00645401" w:rsidP="00645401">
      <w:pPr>
        <w:spacing w:line="600" w:lineRule="exact"/>
        <w:rPr>
          <w:rFonts w:ascii="Times New Roman" w:eastAsia="仿宋_GB2312" w:hAnsi="Times New Roman"/>
          <w:color w:val="000000"/>
          <w:sz w:val="28"/>
          <w:szCs w:val="32"/>
        </w:rPr>
      </w:pPr>
    </w:p>
    <w:p w:rsidR="00645401" w:rsidRPr="00AA617E" w:rsidRDefault="00645401" w:rsidP="00645401">
      <w:pPr>
        <w:spacing w:line="600" w:lineRule="exact"/>
        <w:rPr>
          <w:rFonts w:ascii="Times New Roman" w:eastAsia="方正仿宋_GBK" w:hAnsi="Times New Roman"/>
          <w:sz w:val="32"/>
          <w:szCs w:val="32"/>
        </w:rPr>
      </w:pPr>
      <w:r w:rsidRPr="00AA617E">
        <w:rPr>
          <w:rFonts w:ascii="Times New Roman" w:eastAsia="方正仿宋_GBK" w:hAnsi="Times New Roman"/>
          <w:sz w:val="32"/>
          <w:szCs w:val="32"/>
        </w:rPr>
        <w:t>渝北区人民法院民三庭：</w:t>
      </w:r>
    </w:p>
    <w:p w:rsidR="00645401" w:rsidRPr="00AA617E" w:rsidRDefault="00645401" w:rsidP="00645401">
      <w:pPr>
        <w:spacing w:line="600" w:lineRule="exact"/>
        <w:rPr>
          <w:rFonts w:ascii="Times New Roman" w:eastAsia="方正仿宋_GBK" w:hAnsi="Times New Roman"/>
          <w:sz w:val="32"/>
          <w:szCs w:val="32"/>
        </w:rPr>
      </w:pPr>
      <w:r w:rsidRPr="00AA617E">
        <w:rPr>
          <w:rFonts w:ascii="Times New Roman" w:eastAsia="方正仿宋_GBK" w:hAnsi="Times New Roman"/>
          <w:sz w:val="32"/>
          <w:szCs w:val="32"/>
        </w:rPr>
        <w:t xml:space="preserve">　　你庭提交的关于</w:t>
      </w:r>
      <w:r w:rsidRPr="00AA617E">
        <w:rPr>
          <w:rFonts w:ascii="Times New Roman" w:eastAsia="方正仿宋_GBK" w:hAnsi="Times New Roman"/>
          <w:sz w:val="32"/>
          <w:szCs w:val="32"/>
        </w:rPr>
        <w:t>(2018)</w:t>
      </w:r>
      <w:r w:rsidRPr="00AA617E">
        <w:rPr>
          <w:rFonts w:ascii="Times New Roman" w:eastAsia="方正仿宋_GBK" w:hAnsi="Times New Roman"/>
          <w:sz w:val="32"/>
          <w:szCs w:val="32"/>
        </w:rPr>
        <w:t>渝</w:t>
      </w:r>
      <w:r w:rsidRPr="00AA617E">
        <w:rPr>
          <w:rFonts w:ascii="Times New Roman" w:eastAsia="方正仿宋_GBK" w:hAnsi="Times New Roman"/>
          <w:sz w:val="32"/>
          <w:szCs w:val="32"/>
        </w:rPr>
        <w:t>0112</w:t>
      </w:r>
      <w:r w:rsidRPr="00AA617E">
        <w:rPr>
          <w:rFonts w:ascii="Times New Roman" w:eastAsia="方正仿宋_GBK" w:hAnsi="Times New Roman"/>
          <w:sz w:val="32"/>
          <w:szCs w:val="32"/>
        </w:rPr>
        <w:t>民初</w:t>
      </w:r>
      <w:r w:rsidRPr="00AA617E">
        <w:rPr>
          <w:rFonts w:ascii="Times New Roman" w:eastAsia="方正仿宋_GBK" w:hAnsi="Times New Roman"/>
          <w:sz w:val="32"/>
          <w:szCs w:val="32"/>
        </w:rPr>
        <w:t>23964</w:t>
      </w:r>
      <w:r w:rsidRPr="00AA617E">
        <w:rPr>
          <w:rFonts w:ascii="Times New Roman" w:eastAsia="方正仿宋_GBK" w:hAnsi="Times New Roman"/>
          <w:sz w:val="32"/>
          <w:szCs w:val="32"/>
        </w:rPr>
        <w:t>号陈宇与重庆市金科实业集团弘景房地产开发有限公司商品房销售合同纠纷一案的申辩报告已收悉，经讨论研究，现答复如下。</w:t>
      </w:r>
    </w:p>
    <w:p w:rsidR="00645401" w:rsidRPr="00AA617E" w:rsidRDefault="00645401" w:rsidP="00645401">
      <w:pPr>
        <w:spacing w:line="600" w:lineRule="exact"/>
        <w:rPr>
          <w:rFonts w:ascii="Times New Roman" w:eastAsia="黑体" w:hAnsi="Times New Roman"/>
          <w:sz w:val="32"/>
          <w:szCs w:val="32"/>
        </w:rPr>
      </w:pPr>
      <w:r w:rsidRPr="00AA617E">
        <w:rPr>
          <w:rFonts w:ascii="Times New Roman" w:eastAsia="方正仿宋_GBK" w:hAnsi="Times New Roman"/>
          <w:sz w:val="32"/>
          <w:szCs w:val="32"/>
        </w:rPr>
        <w:t xml:space="preserve">　　</w:t>
      </w:r>
      <w:r w:rsidRPr="00AA617E">
        <w:rPr>
          <w:rFonts w:ascii="Times New Roman" w:eastAsia="黑体" w:hAnsi="Times New Roman"/>
          <w:sz w:val="32"/>
          <w:szCs w:val="32"/>
        </w:rPr>
        <w:t>一、一审申辩理由</w:t>
      </w:r>
    </w:p>
    <w:p w:rsidR="00645401" w:rsidRPr="00AA617E" w:rsidRDefault="00645401" w:rsidP="00645401">
      <w:pPr>
        <w:spacing w:line="600" w:lineRule="exact"/>
        <w:rPr>
          <w:rFonts w:ascii="Times New Roman" w:eastAsia="方正仿宋_GBK" w:hAnsi="Times New Roman"/>
          <w:sz w:val="32"/>
          <w:szCs w:val="32"/>
        </w:rPr>
      </w:pPr>
      <w:r w:rsidRPr="00AA617E">
        <w:rPr>
          <w:rFonts w:ascii="Times New Roman" w:eastAsia="方正仿宋_GBK" w:hAnsi="Times New Roman"/>
          <w:sz w:val="32"/>
          <w:szCs w:val="32"/>
        </w:rPr>
        <w:t xml:space="preserve">　　一审法院认为，一审法院案件数量较大，对于管辖权的审理审查存在不够细致，且存在审理查明及本院认为论述过于简单的问题</w:t>
      </w:r>
      <w:r>
        <w:rPr>
          <w:rFonts w:ascii="Times New Roman" w:eastAsia="方正仿宋_GBK" w:hAnsi="Times New Roman" w:hint="eastAsia"/>
          <w:sz w:val="32"/>
          <w:szCs w:val="32"/>
        </w:rPr>
        <w:t>，同时</w:t>
      </w:r>
      <w:r w:rsidRPr="00AA617E">
        <w:rPr>
          <w:rFonts w:ascii="Times New Roman" w:eastAsia="方正仿宋_GBK" w:hAnsi="Times New Roman"/>
          <w:sz w:val="32"/>
          <w:szCs w:val="32"/>
        </w:rPr>
        <w:t>认为，渝北区人民法院对该案享有管辖权。一审法院在审理查明中，未将本案的房屋已经办理过户手续，现登记在陈宇名下，且已经实际交付的情形进行明确，因未将该事实列明，可能导致了二审法院的错误判断，认为该案的解除合同，仅系合同解除问题，不存在不动产交付的情形，确属一审法院对管辖权异议案件的审理及表述不够细致</w:t>
      </w:r>
      <w:r>
        <w:rPr>
          <w:rFonts w:ascii="Times New Roman" w:eastAsia="方正仿宋_GBK" w:hAnsi="Times New Roman" w:hint="eastAsia"/>
          <w:sz w:val="32"/>
          <w:szCs w:val="32"/>
        </w:rPr>
        <w:t>所致</w:t>
      </w:r>
      <w:r w:rsidRPr="00AA617E">
        <w:rPr>
          <w:rFonts w:ascii="Times New Roman" w:eastAsia="方正仿宋_GBK" w:hAnsi="Times New Roman"/>
          <w:sz w:val="32"/>
          <w:szCs w:val="32"/>
        </w:rPr>
        <w:t>。一审法院还认为，房屋买卖合同纠纷，多数均涉及案涉物业交付，即使</w:t>
      </w:r>
      <w:r>
        <w:rPr>
          <w:rFonts w:ascii="Times New Roman" w:eastAsia="方正仿宋_GBK" w:hAnsi="Times New Roman" w:hint="eastAsia"/>
          <w:sz w:val="32"/>
          <w:szCs w:val="32"/>
        </w:rPr>
        <w:t>诉讼</w:t>
      </w:r>
      <w:r w:rsidRPr="00AA617E">
        <w:rPr>
          <w:rFonts w:ascii="Times New Roman" w:eastAsia="方正仿宋_GBK" w:hAnsi="Times New Roman"/>
          <w:sz w:val="32"/>
          <w:szCs w:val="32"/>
        </w:rPr>
        <w:t>请求不涉及物业交付问题，仅</w:t>
      </w:r>
      <w:r>
        <w:rPr>
          <w:rFonts w:ascii="Times New Roman" w:eastAsia="方正仿宋_GBK" w:hAnsi="Times New Roman" w:hint="eastAsia"/>
          <w:sz w:val="32"/>
          <w:szCs w:val="32"/>
        </w:rPr>
        <w:t>起诉</w:t>
      </w:r>
      <w:r w:rsidRPr="00AA617E">
        <w:rPr>
          <w:rFonts w:ascii="Times New Roman" w:eastAsia="方正仿宋_GBK" w:hAnsi="Times New Roman"/>
          <w:sz w:val="32"/>
          <w:szCs w:val="32"/>
        </w:rPr>
        <w:t>要求违约金等问题，但房屋买卖合同系以物业的交付过户为主要履行义务，认定合同履行地为物业坐落地较为合理。</w:t>
      </w:r>
    </w:p>
    <w:p w:rsidR="00645401" w:rsidRPr="00AA617E" w:rsidRDefault="00645401" w:rsidP="00645401">
      <w:pPr>
        <w:spacing w:line="600" w:lineRule="exact"/>
        <w:rPr>
          <w:rFonts w:ascii="Times New Roman" w:eastAsia="方正仿宋_GBK" w:hAnsi="Times New Roman"/>
          <w:sz w:val="32"/>
          <w:szCs w:val="32"/>
        </w:rPr>
      </w:pPr>
      <w:r w:rsidRPr="00AA617E">
        <w:rPr>
          <w:rFonts w:ascii="Times New Roman" w:eastAsia="方正仿宋_GBK" w:hAnsi="Times New Roman"/>
          <w:sz w:val="32"/>
          <w:szCs w:val="32"/>
        </w:rPr>
        <w:t xml:space="preserve">　　</w:t>
      </w:r>
      <w:r w:rsidRPr="00AA617E">
        <w:rPr>
          <w:rFonts w:ascii="Times New Roman" w:eastAsia="黑体" w:hAnsi="Times New Roman"/>
          <w:sz w:val="32"/>
          <w:szCs w:val="32"/>
        </w:rPr>
        <w:t>二、一审和二审主要分歧</w:t>
      </w:r>
    </w:p>
    <w:p w:rsidR="00645401" w:rsidRPr="00AA617E" w:rsidRDefault="00645401" w:rsidP="00645401">
      <w:pPr>
        <w:spacing w:line="600" w:lineRule="exact"/>
        <w:rPr>
          <w:rFonts w:ascii="Times New Roman" w:eastAsia="方正仿宋_GBK" w:hAnsi="Times New Roman"/>
          <w:sz w:val="32"/>
          <w:szCs w:val="32"/>
        </w:rPr>
      </w:pPr>
      <w:r w:rsidRPr="00AA617E">
        <w:rPr>
          <w:rFonts w:ascii="Times New Roman" w:eastAsia="方正仿宋_GBK" w:hAnsi="Times New Roman"/>
          <w:sz w:val="32"/>
          <w:szCs w:val="32"/>
        </w:rPr>
        <w:t>房屋买卖合同的合同履行地如何确定。</w:t>
      </w:r>
    </w:p>
    <w:p w:rsidR="00645401" w:rsidRPr="00AA617E" w:rsidRDefault="00645401" w:rsidP="00645401">
      <w:pPr>
        <w:spacing w:line="600" w:lineRule="exact"/>
        <w:rPr>
          <w:rFonts w:ascii="Times New Roman" w:eastAsia="方正仿宋_GBK" w:hAnsi="Times New Roman"/>
          <w:sz w:val="32"/>
          <w:szCs w:val="32"/>
        </w:rPr>
      </w:pPr>
      <w:r w:rsidRPr="00AA617E">
        <w:rPr>
          <w:rFonts w:ascii="Times New Roman" w:eastAsia="黑体" w:hAnsi="Times New Roman"/>
          <w:sz w:val="32"/>
          <w:szCs w:val="32"/>
        </w:rPr>
        <w:t>三、二审研究情况</w:t>
      </w:r>
    </w:p>
    <w:p w:rsidR="00645401" w:rsidRPr="00AA617E" w:rsidRDefault="00645401" w:rsidP="00645401">
      <w:pPr>
        <w:spacing w:line="600" w:lineRule="exact"/>
        <w:rPr>
          <w:rFonts w:ascii="Times New Roman" w:eastAsia="方正仿宋_GBK" w:hAnsi="Times New Roman"/>
          <w:sz w:val="32"/>
          <w:szCs w:val="32"/>
        </w:rPr>
      </w:pPr>
      <w:r w:rsidRPr="00AA617E">
        <w:rPr>
          <w:rFonts w:ascii="Times New Roman" w:eastAsia="方正仿宋_GBK" w:hAnsi="Times New Roman"/>
          <w:sz w:val="32"/>
          <w:szCs w:val="32"/>
        </w:rPr>
        <w:lastRenderedPageBreak/>
        <w:t xml:space="preserve">　　关于</w:t>
      </w:r>
      <w:r w:rsidRPr="00AA617E">
        <w:rPr>
          <w:rFonts w:ascii="Times New Roman" w:eastAsia="方正仿宋_GBK" w:hAnsi="Times New Roman"/>
          <w:sz w:val="32"/>
          <w:szCs w:val="32"/>
        </w:rPr>
        <w:t>“</w:t>
      </w:r>
      <w:r w:rsidRPr="00AA617E">
        <w:rPr>
          <w:rFonts w:ascii="Times New Roman" w:eastAsia="方正仿宋_GBK" w:hAnsi="Times New Roman"/>
          <w:sz w:val="32"/>
          <w:szCs w:val="32"/>
        </w:rPr>
        <w:t>合同履行地</w:t>
      </w:r>
      <w:r w:rsidRPr="00AA617E">
        <w:rPr>
          <w:rFonts w:ascii="Times New Roman" w:eastAsia="方正仿宋_GBK" w:hAnsi="Times New Roman"/>
          <w:sz w:val="32"/>
          <w:szCs w:val="32"/>
        </w:rPr>
        <w:t>”</w:t>
      </w:r>
      <w:r w:rsidRPr="00AA617E">
        <w:rPr>
          <w:rFonts w:ascii="Times New Roman" w:eastAsia="方正仿宋_GBK" w:hAnsi="Times New Roman"/>
          <w:sz w:val="32"/>
          <w:szCs w:val="32"/>
        </w:rPr>
        <w:t>如何确定，民诉法解释中专门进行了规定，对《</w:t>
      </w:r>
      <w:r w:rsidRPr="00AA617E">
        <w:rPr>
          <w:rFonts w:ascii="Times New Roman" w:eastAsia="方正仿宋_GBK" w:hAnsi="Times New Roman"/>
          <w:sz w:val="32"/>
          <w:szCs w:val="32"/>
        </w:rPr>
        <w:t>92</w:t>
      </w:r>
      <w:r w:rsidRPr="00AA617E">
        <w:rPr>
          <w:rFonts w:ascii="Times New Roman" w:eastAsia="方正仿宋_GBK" w:hAnsi="Times New Roman"/>
          <w:sz w:val="32"/>
          <w:szCs w:val="32"/>
        </w:rPr>
        <w:t>年意见》的规定进行了修订，确定了</w:t>
      </w:r>
      <w:r w:rsidRPr="00AA617E">
        <w:rPr>
          <w:rFonts w:ascii="Times New Roman" w:eastAsia="方正仿宋_GBK" w:hAnsi="Times New Roman"/>
          <w:sz w:val="32"/>
          <w:szCs w:val="32"/>
        </w:rPr>
        <w:t>“</w:t>
      </w:r>
      <w:r w:rsidRPr="00AA617E">
        <w:rPr>
          <w:rFonts w:ascii="Times New Roman" w:eastAsia="方正仿宋_GBK" w:hAnsi="Times New Roman"/>
          <w:sz w:val="32"/>
          <w:szCs w:val="32"/>
        </w:rPr>
        <w:t>有约定依约定，没有约定或约定不明确的，按照争议标的为接收货币、交付不动产、其他标的三类，分别确定</w:t>
      </w:r>
      <w:r w:rsidRPr="00AA617E">
        <w:rPr>
          <w:rFonts w:ascii="Times New Roman" w:eastAsia="方正仿宋_GBK" w:hAnsi="Times New Roman"/>
          <w:sz w:val="32"/>
          <w:szCs w:val="32"/>
        </w:rPr>
        <w:t>”</w:t>
      </w:r>
      <w:r w:rsidRPr="00AA617E">
        <w:rPr>
          <w:rFonts w:ascii="Times New Roman" w:eastAsia="方正仿宋_GBK" w:hAnsi="Times New Roman"/>
          <w:sz w:val="32"/>
          <w:szCs w:val="32"/>
        </w:rPr>
        <w:t>的规则，改变了原有的合同</w:t>
      </w:r>
      <w:r w:rsidRPr="00AA617E">
        <w:rPr>
          <w:rFonts w:ascii="Times New Roman" w:eastAsia="方正仿宋_GBK" w:hAnsi="Times New Roman"/>
          <w:sz w:val="32"/>
          <w:szCs w:val="32"/>
        </w:rPr>
        <w:t>“</w:t>
      </w:r>
      <w:r w:rsidRPr="00AA617E">
        <w:rPr>
          <w:rFonts w:ascii="Times New Roman" w:eastAsia="方正仿宋_GBK" w:hAnsi="Times New Roman"/>
          <w:sz w:val="32"/>
          <w:szCs w:val="32"/>
        </w:rPr>
        <w:t>特征履行地</w:t>
      </w:r>
      <w:r w:rsidRPr="00AA617E">
        <w:rPr>
          <w:rFonts w:ascii="Times New Roman" w:eastAsia="方正仿宋_GBK" w:hAnsi="Times New Roman"/>
          <w:sz w:val="32"/>
          <w:szCs w:val="32"/>
        </w:rPr>
        <w:t>”</w:t>
      </w:r>
      <w:r w:rsidRPr="00AA617E">
        <w:rPr>
          <w:rFonts w:ascii="Times New Roman" w:eastAsia="方正仿宋_GBK" w:hAnsi="Times New Roman"/>
          <w:sz w:val="32"/>
          <w:szCs w:val="32"/>
        </w:rPr>
        <w:t>原则。</w:t>
      </w:r>
    </w:p>
    <w:p w:rsidR="00645401" w:rsidRPr="00AA617E" w:rsidRDefault="00645401" w:rsidP="00645401">
      <w:pPr>
        <w:spacing w:line="600" w:lineRule="exact"/>
        <w:ind w:firstLineChars="196" w:firstLine="627"/>
        <w:rPr>
          <w:rFonts w:ascii="Times New Roman" w:eastAsia="方正仿宋_GBK" w:hAnsi="Times New Roman"/>
          <w:sz w:val="32"/>
          <w:szCs w:val="32"/>
        </w:rPr>
      </w:pPr>
      <w:r w:rsidRPr="00AA617E">
        <w:rPr>
          <w:rFonts w:ascii="Times New Roman" w:eastAsia="方正仿宋_GBK" w:hAnsi="Times New Roman"/>
          <w:sz w:val="32"/>
          <w:szCs w:val="32"/>
        </w:rPr>
        <w:t>民诉法解释出台以来，对于合同履行地确定规则的改变，基层法院不少业务庭和法官并没有完全理解，在审理管辖权异议案件中，经常出现仍按以前的合同</w:t>
      </w:r>
      <w:r w:rsidRPr="00AA617E">
        <w:rPr>
          <w:rFonts w:ascii="Times New Roman" w:eastAsia="方正仿宋_GBK" w:hAnsi="Times New Roman"/>
          <w:sz w:val="32"/>
          <w:szCs w:val="32"/>
        </w:rPr>
        <w:t>“</w:t>
      </w:r>
      <w:r w:rsidRPr="00AA617E">
        <w:rPr>
          <w:rFonts w:ascii="Times New Roman" w:eastAsia="方正仿宋_GBK" w:hAnsi="Times New Roman"/>
          <w:sz w:val="32"/>
          <w:szCs w:val="32"/>
        </w:rPr>
        <w:t>特征履行地</w:t>
      </w:r>
      <w:r w:rsidRPr="00AA617E">
        <w:rPr>
          <w:rFonts w:ascii="Times New Roman" w:eastAsia="方正仿宋_GBK" w:hAnsi="Times New Roman"/>
          <w:sz w:val="32"/>
          <w:szCs w:val="32"/>
        </w:rPr>
        <w:t>”</w:t>
      </w:r>
      <w:r w:rsidRPr="00AA617E">
        <w:rPr>
          <w:rFonts w:ascii="Times New Roman" w:eastAsia="方正仿宋_GBK" w:hAnsi="Times New Roman"/>
          <w:sz w:val="32"/>
          <w:szCs w:val="32"/>
        </w:rPr>
        <w:t>来确定管辖，导致出现管辖裁定错误的情况屡见不鲜。比如房屋买卖合同纠纷案件中，不少法官认为房屋所在地就是当然的合同履行地，这样的认识不符合法律和司法解释的规定，应当予以纠正。</w:t>
      </w:r>
    </w:p>
    <w:p w:rsidR="00645401" w:rsidRPr="00AA617E" w:rsidRDefault="00645401" w:rsidP="00645401">
      <w:pPr>
        <w:spacing w:line="600" w:lineRule="exact"/>
        <w:ind w:firstLineChars="196" w:firstLine="627"/>
        <w:rPr>
          <w:rFonts w:ascii="Times New Roman" w:eastAsia="方正仿宋_GBK" w:hAnsi="Times New Roman"/>
          <w:sz w:val="32"/>
          <w:szCs w:val="32"/>
        </w:rPr>
      </w:pPr>
      <w:r w:rsidRPr="00AA617E">
        <w:rPr>
          <w:rFonts w:ascii="Times New Roman" w:eastAsia="黑体" w:hAnsi="Times New Roman"/>
          <w:sz w:val="32"/>
          <w:szCs w:val="32"/>
        </w:rPr>
        <w:t>四、结论</w:t>
      </w:r>
    </w:p>
    <w:p w:rsidR="00645401" w:rsidRPr="00AA617E" w:rsidRDefault="00645401" w:rsidP="00645401">
      <w:pPr>
        <w:spacing w:line="600" w:lineRule="exact"/>
        <w:ind w:firstLineChars="196" w:firstLine="627"/>
        <w:rPr>
          <w:rFonts w:ascii="Times New Roman" w:eastAsia="方正仿宋_GBK" w:hAnsi="Times New Roman"/>
          <w:sz w:val="32"/>
          <w:szCs w:val="32"/>
        </w:rPr>
      </w:pPr>
      <w:r w:rsidRPr="00AA617E">
        <w:rPr>
          <w:rFonts w:ascii="Times New Roman" w:eastAsia="方正仿宋_GBK" w:hAnsi="Times New Roman"/>
          <w:sz w:val="32"/>
          <w:szCs w:val="32"/>
        </w:rPr>
        <w:t>你庭的申辩理由不成立。</w:t>
      </w:r>
    </w:p>
    <w:p w:rsidR="00645401" w:rsidRPr="00AA617E" w:rsidRDefault="00645401" w:rsidP="00645401">
      <w:pPr>
        <w:spacing w:line="600" w:lineRule="exact"/>
        <w:ind w:firstLineChars="196" w:firstLine="627"/>
        <w:rPr>
          <w:rFonts w:ascii="Times New Roman" w:eastAsia="方正仿宋_GBK" w:hAnsi="Times New Roman"/>
          <w:sz w:val="32"/>
          <w:szCs w:val="32"/>
        </w:rPr>
      </w:pPr>
      <w:r w:rsidRPr="00AA617E">
        <w:rPr>
          <w:rFonts w:ascii="Times New Roman" w:eastAsia="方正仿宋_GBK" w:hAnsi="Times New Roman"/>
          <w:sz w:val="32"/>
          <w:szCs w:val="32"/>
        </w:rPr>
        <w:t>建议各法院案件承办合议庭及承办法官加强业务学习，高度重视对案件管辖的相关规定的学习，充分利用中国裁判文书网、法信等工具和平台，准确理解把握法律法规。</w:t>
      </w:r>
    </w:p>
    <w:p w:rsidR="00645401" w:rsidRDefault="00645401" w:rsidP="00645401">
      <w:pPr>
        <w:spacing w:line="600" w:lineRule="exact"/>
        <w:ind w:firstLineChars="1645" w:firstLine="5264"/>
        <w:rPr>
          <w:rFonts w:ascii="Times New Roman" w:eastAsia="方正仿宋_GBK" w:hAnsi="Times New Roman"/>
          <w:sz w:val="32"/>
          <w:szCs w:val="32"/>
        </w:rPr>
      </w:pPr>
    </w:p>
    <w:p w:rsidR="00645401" w:rsidRPr="00AA617E" w:rsidRDefault="00645401" w:rsidP="00645401">
      <w:pPr>
        <w:spacing w:line="600" w:lineRule="exact"/>
        <w:ind w:firstLineChars="1645" w:firstLine="5264"/>
        <w:rPr>
          <w:rFonts w:ascii="Times New Roman" w:eastAsia="方正仿宋_GBK" w:hAnsi="Times New Roman"/>
          <w:sz w:val="32"/>
          <w:szCs w:val="32"/>
        </w:rPr>
      </w:pPr>
    </w:p>
    <w:p w:rsidR="00645401" w:rsidRPr="00AA617E" w:rsidRDefault="00672699" w:rsidP="00645401">
      <w:pPr>
        <w:spacing w:line="600" w:lineRule="exact"/>
        <w:jc w:val="center"/>
        <w:rPr>
          <w:rFonts w:ascii="Times New Roman" w:eastAsia="方正仿宋_GBK" w:hAnsi="Times New Roman"/>
          <w:sz w:val="32"/>
          <w:szCs w:val="32"/>
        </w:rPr>
        <w:sectPr w:rsidR="00645401" w:rsidRPr="00AA617E" w:rsidSect="00C14CFA">
          <w:footerReference w:type="default" r:id="rId7"/>
          <w:pgSz w:w="11906" w:h="16838"/>
          <w:pgMar w:top="1440" w:right="1797" w:bottom="1440" w:left="1797" w:header="851" w:footer="992" w:gutter="0"/>
          <w:cols w:space="720"/>
          <w:docGrid w:type="lines" w:linePitch="312"/>
        </w:sectPr>
      </w:pPr>
      <w:r>
        <w:rPr>
          <w:rFonts w:ascii="Times New Roman" w:eastAsia="方正仿宋_GBK" w:hAnsi="Times New Roman" w:hint="eastAsia"/>
          <w:sz w:val="32"/>
          <w:szCs w:val="32"/>
        </w:rPr>
        <w:t xml:space="preserve">                   </w:t>
      </w:r>
      <w:r w:rsidR="00645401" w:rsidRPr="00AA617E">
        <w:rPr>
          <w:rFonts w:ascii="Times New Roman" w:eastAsia="方正仿宋_GBK" w:hAnsi="Times New Roman"/>
          <w:sz w:val="32"/>
          <w:szCs w:val="32"/>
        </w:rPr>
        <w:t>二〇一九年八月二十九日</w:t>
      </w:r>
    </w:p>
    <w:p w:rsidR="00645401" w:rsidRPr="00AA617E" w:rsidRDefault="00645401" w:rsidP="00645401">
      <w:pPr>
        <w:spacing w:line="600" w:lineRule="exact"/>
        <w:jc w:val="center"/>
        <w:rPr>
          <w:rFonts w:ascii="Times New Roman" w:eastAsia="方正小标宋简体" w:hAnsi="Times New Roman"/>
          <w:b/>
          <w:color w:val="000000"/>
          <w:sz w:val="32"/>
          <w:szCs w:val="32"/>
        </w:rPr>
      </w:pPr>
      <w:r w:rsidRPr="00AA617E">
        <w:rPr>
          <w:rFonts w:ascii="Times New Roman" w:eastAsia="方正小标宋_GBK" w:hAnsi="Times New Roman"/>
          <w:b/>
          <w:sz w:val="40"/>
          <w:szCs w:val="40"/>
        </w:rPr>
        <w:lastRenderedPageBreak/>
        <w:t>3.</w:t>
      </w:r>
      <w:r w:rsidRPr="00AA617E">
        <w:rPr>
          <w:rFonts w:ascii="Times New Roman" w:eastAsia="方正小标宋_GBK" w:hAnsi="Times New Roman"/>
          <w:b/>
          <w:sz w:val="40"/>
          <w:szCs w:val="40"/>
        </w:rPr>
        <w:t>市三中法院对涪陵区法院</w:t>
      </w:r>
      <w:r w:rsidR="00AD1073">
        <w:rPr>
          <w:rFonts w:ascii="Times New Roman" w:eastAsia="方正小标宋_GBK" w:hAnsi="Times New Roman" w:hint="eastAsia"/>
          <w:b/>
          <w:sz w:val="40"/>
          <w:szCs w:val="40"/>
        </w:rPr>
        <w:t>（</w:t>
      </w:r>
      <w:r w:rsidR="00AD1073">
        <w:rPr>
          <w:rFonts w:ascii="Times New Roman" w:eastAsia="方正小标宋_GBK" w:hAnsi="Times New Roman"/>
          <w:b/>
          <w:sz w:val="40"/>
          <w:szCs w:val="40"/>
        </w:rPr>
        <w:t>2018</w:t>
      </w:r>
      <w:r w:rsidR="00AD1073">
        <w:rPr>
          <w:rFonts w:ascii="Times New Roman" w:eastAsia="方正小标宋_GBK" w:hAnsi="Times New Roman" w:hint="eastAsia"/>
          <w:b/>
          <w:sz w:val="40"/>
          <w:szCs w:val="40"/>
        </w:rPr>
        <w:t>）</w:t>
      </w:r>
      <w:r w:rsidRPr="00AA617E">
        <w:rPr>
          <w:rFonts w:ascii="Times New Roman" w:eastAsia="方正小标宋_GBK" w:hAnsi="Times New Roman"/>
          <w:b/>
          <w:sz w:val="40"/>
          <w:szCs w:val="40"/>
        </w:rPr>
        <w:t>渝</w:t>
      </w:r>
      <w:r w:rsidRPr="00AA617E">
        <w:rPr>
          <w:rFonts w:ascii="Times New Roman" w:eastAsia="方正小标宋_GBK" w:hAnsi="Times New Roman"/>
          <w:b/>
          <w:sz w:val="40"/>
          <w:szCs w:val="40"/>
        </w:rPr>
        <w:t>0102</w:t>
      </w:r>
      <w:r w:rsidRPr="00AA617E">
        <w:rPr>
          <w:rFonts w:ascii="Times New Roman" w:eastAsia="方正小标宋_GBK" w:hAnsi="Times New Roman"/>
          <w:b/>
          <w:sz w:val="40"/>
          <w:szCs w:val="40"/>
        </w:rPr>
        <w:t>民初</w:t>
      </w:r>
      <w:r w:rsidRPr="00AA617E">
        <w:rPr>
          <w:rFonts w:ascii="Times New Roman" w:eastAsia="方正小标宋_GBK" w:hAnsi="Times New Roman"/>
          <w:b/>
          <w:sz w:val="40"/>
          <w:szCs w:val="40"/>
        </w:rPr>
        <w:t>5893</w:t>
      </w:r>
      <w:r w:rsidRPr="00AA617E">
        <w:rPr>
          <w:rFonts w:ascii="Times New Roman" w:eastAsia="方正小标宋_GBK" w:hAnsi="Times New Roman"/>
          <w:b/>
          <w:sz w:val="40"/>
          <w:szCs w:val="40"/>
        </w:rPr>
        <w:t>号案件的申辩答复</w:t>
      </w:r>
    </w:p>
    <w:p w:rsidR="00645401" w:rsidRPr="00AA617E" w:rsidRDefault="00645401" w:rsidP="00645401">
      <w:pPr>
        <w:spacing w:line="600" w:lineRule="exact"/>
        <w:rPr>
          <w:rFonts w:ascii="Times New Roman" w:eastAsia="仿宋_GB2312" w:hAnsi="Times New Roman"/>
          <w:color w:val="000000"/>
          <w:sz w:val="28"/>
          <w:szCs w:val="32"/>
        </w:rPr>
      </w:pPr>
    </w:p>
    <w:p w:rsidR="00645401" w:rsidRPr="00AA617E" w:rsidRDefault="00645401" w:rsidP="00645401">
      <w:pPr>
        <w:spacing w:line="600" w:lineRule="exact"/>
        <w:rPr>
          <w:rFonts w:ascii="Times New Roman" w:eastAsia="方正仿宋_GBK" w:hAnsi="Times New Roman"/>
          <w:sz w:val="32"/>
          <w:szCs w:val="32"/>
        </w:rPr>
      </w:pPr>
      <w:r w:rsidRPr="00AA617E">
        <w:rPr>
          <w:rFonts w:ascii="Times New Roman" w:eastAsia="方正仿宋_GBK" w:hAnsi="Times New Roman"/>
          <w:sz w:val="32"/>
          <w:szCs w:val="32"/>
        </w:rPr>
        <w:t>涪陵区人民法院民二庭：</w:t>
      </w:r>
    </w:p>
    <w:p w:rsidR="00645401" w:rsidRPr="00AA617E" w:rsidRDefault="00645401" w:rsidP="00645401">
      <w:pPr>
        <w:spacing w:line="600" w:lineRule="exact"/>
        <w:rPr>
          <w:rFonts w:ascii="Times New Roman" w:eastAsia="方正仿宋_GBK" w:hAnsi="Times New Roman"/>
          <w:sz w:val="32"/>
          <w:szCs w:val="32"/>
        </w:rPr>
      </w:pPr>
      <w:r w:rsidRPr="00AA617E">
        <w:rPr>
          <w:rFonts w:ascii="Times New Roman" w:eastAsia="方正仿宋_GBK" w:hAnsi="Times New Roman"/>
          <w:sz w:val="32"/>
          <w:szCs w:val="32"/>
        </w:rPr>
        <w:t>你庭提交的关于</w:t>
      </w:r>
      <w:r w:rsidRPr="00AA617E">
        <w:rPr>
          <w:rFonts w:ascii="Times New Roman" w:eastAsia="方正仿宋_GBK" w:hAnsi="Times New Roman"/>
          <w:sz w:val="32"/>
          <w:szCs w:val="32"/>
        </w:rPr>
        <w:t>(2018)</w:t>
      </w:r>
      <w:r w:rsidRPr="00AA617E">
        <w:rPr>
          <w:rFonts w:ascii="Times New Roman" w:eastAsia="方正仿宋_GBK" w:hAnsi="Times New Roman"/>
          <w:sz w:val="32"/>
          <w:szCs w:val="32"/>
        </w:rPr>
        <w:t>渝</w:t>
      </w:r>
      <w:r w:rsidRPr="00AA617E">
        <w:rPr>
          <w:rFonts w:ascii="Times New Roman" w:eastAsia="方正仿宋_GBK" w:hAnsi="Times New Roman"/>
          <w:sz w:val="32"/>
          <w:szCs w:val="32"/>
        </w:rPr>
        <w:t>0102</w:t>
      </w:r>
      <w:r w:rsidRPr="00AA617E">
        <w:rPr>
          <w:rFonts w:ascii="Times New Roman" w:eastAsia="方正仿宋_GBK" w:hAnsi="Times New Roman"/>
          <w:sz w:val="32"/>
          <w:szCs w:val="32"/>
        </w:rPr>
        <w:t>民初</w:t>
      </w:r>
      <w:r w:rsidRPr="00AA617E">
        <w:rPr>
          <w:rFonts w:ascii="Times New Roman" w:eastAsia="方正仿宋_GBK" w:hAnsi="Times New Roman"/>
          <w:sz w:val="32"/>
          <w:szCs w:val="32"/>
        </w:rPr>
        <w:t>5893</w:t>
      </w:r>
      <w:r w:rsidRPr="00AA617E">
        <w:rPr>
          <w:rFonts w:ascii="Times New Roman" w:eastAsia="方正仿宋_GBK" w:hAnsi="Times New Roman"/>
          <w:sz w:val="32"/>
          <w:szCs w:val="32"/>
        </w:rPr>
        <w:t>号谢敏与重庆市涪陵区新城区管理委员会（以下简称新城区管委会）、重庆彬立地产有限公司（以下简称彬立地产公司）债权人代位权纠纷一案的申辩报告已收悉，经讨论研究，现答复如下。</w:t>
      </w:r>
    </w:p>
    <w:p w:rsidR="00645401" w:rsidRPr="00AA617E" w:rsidRDefault="00645401" w:rsidP="00645401">
      <w:pPr>
        <w:spacing w:line="600" w:lineRule="exact"/>
        <w:rPr>
          <w:rFonts w:ascii="Times New Roman" w:eastAsia="黑体" w:hAnsi="Times New Roman"/>
          <w:sz w:val="32"/>
          <w:szCs w:val="32"/>
        </w:rPr>
      </w:pPr>
      <w:r w:rsidRPr="00AA617E">
        <w:rPr>
          <w:rFonts w:ascii="Times New Roman" w:eastAsia="黑体" w:hAnsi="黑体"/>
          <w:sz w:val="32"/>
          <w:szCs w:val="32"/>
        </w:rPr>
        <w:t>一、一审申辩理由</w:t>
      </w:r>
    </w:p>
    <w:p w:rsidR="00645401" w:rsidRPr="00AA617E" w:rsidRDefault="00645401" w:rsidP="00645401">
      <w:pPr>
        <w:spacing w:line="600" w:lineRule="exact"/>
        <w:rPr>
          <w:rFonts w:ascii="Times New Roman" w:eastAsia="方正仿宋_GBK" w:hAnsi="Times New Roman"/>
          <w:sz w:val="32"/>
          <w:szCs w:val="32"/>
        </w:rPr>
      </w:pPr>
      <w:r w:rsidRPr="00AA617E">
        <w:rPr>
          <w:rFonts w:ascii="Times New Roman" w:eastAsia="方正仿宋_GBK" w:hAnsi="Times New Roman"/>
          <w:sz w:val="32"/>
          <w:szCs w:val="32"/>
        </w:rPr>
        <w:t>你庭申辩认为，二审改判结果与法律规定不一致，是裁判错误。理由是：一是新城区管委会与彬立地产公司签订《两桂一期及浙江公租房项目新区管委会同彬立公司对账概况》时，双方对应支付回购款总额</w:t>
      </w:r>
      <w:r>
        <w:rPr>
          <w:rFonts w:ascii="Times New Roman" w:eastAsia="方正仿宋_GBK" w:hAnsi="Times New Roman"/>
          <w:sz w:val="32"/>
          <w:szCs w:val="32"/>
        </w:rPr>
        <w:t>206632</w:t>
      </w:r>
      <w:r w:rsidRPr="00AA617E">
        <w:rPr>
          <w:rFonts w:ascii="Times New Roman" w:eastAsia="方正仿宋_GBK" w:hAnsi="Times New Roman"/>
          <w:sz w:val="32"/>
          <w:szCs w:val="32"/>
        </w:rPr>
        <w:t>923.92</w:t>
      </w:r>
      <w:r w:rsidRPr="00AA617E">
        <w:rPr>
          <w:rFonts w:ascii="Times New Roman" w:eastAsia="方正仿宋_GBK" w:hAnsi="Times New Roman"/>
          <w:sz w:val="32"/>
          <w:szCs w:val="32"/>
        </w:rPr>
        <w:t>元无争议，但新城区管委会认为已付款应为</w:t>
      </w:r>
      <w:r w:rsidRPr="00AA617E">
        <w:rPr>
          <w:rFonts w:ascii="Times New Roman" w:eastAsia="方正仿宋_GBK" w:hAnsi="Times New Roman"/>
          <w:sz w:val="32"/>
          <w:szCs w:val="32"/>
        </w:rPr>
        <w:t>192281890.20</w:t>
      </w:r>
      <w:r w:rsidRPr="00AA617E">
        <w:rPr>
          <w:rFonts w:ascii="Times New Roman" w:eastAsia="方正仿宋_GBK" w:hAnsi="Times New Roman"/>
          <w:sz w:val="32"/>
          <w:szCs w:val="32"/>
        </w:rPr>
        <w:t>元，彬立地产公司认可金额为</w:t>
      </w:r>
      <w:r w:rsidRPr="00AA617E">
        <w:rPr>
          <w:rFonts w:ascii="Times New Roman" w:eastAsia="方正仿宋_GBK" w:hAnsi="Times New Roman"/>
          <w:sz w:val="32"/>
          <w:szCs w:val="32"/>
        </w:rPr>
        <w:t>187400904.87</w:t>
      </w:r>
      <w:r w:rsidRPr="00AA617E">
        <w:rPr>
          <w:rFonts w:ascii="Times New Roman" w:eastAsia="方正仿宋_GBK" w:hAnsi="Times New Roman"/>
          <w:sz w:val="32"/>
          <w:szCs w:val="32"/>
        </w:rPr>
        <w:t>元，认为案涉借款利息不应由其承担，双方一致确定对争议部分协商不成，可通过诉讼或申诉程序解决，但新城区管委会与彬立地产公司至今均未通过诉讼或申诉程序解决争议部分，彬立地产公司怠于行使其到期债权是客观事实；二是新城区管委会将案涉款项认定为已付款范围，若法院要求其协助执行彬立地产公司到期债权文书中明确包含案涉款项时，新城区管委会可通过执行异议程序解决，否则法院应依法强制执行，现无证据证明新城区管委会提出异议后，相关人民法院启动了执行异议程序，或这部分款项</w:t>
      </w:r>
      <w:r w:rsidRPr="00AA617E">
        <w:rPr>
          <w:rFonts w:ascii="Times New Roman" w:eastAsia="方正仿宋_GBK" w:hAnsi="Times New Roman"/>
          <w:sz w:val="32"/>
          <w:szCs w:val="32"/>
        </w:rPr>
        <w:lastRenderedPageBreak/>
        <w:t>已被法院予以强制执行，故应确认案涉款项尚未被法院冻结、划扣或提取；三是若案涉款项已纳入人民法院司法冻结范围，新城区管委会无异议情况下，二审法院在制作彬立地产公司的执行财产分配方案时，完全可以将案涉款项予以强制执行并纳入分配方案予以分配，或者其他执行法院完全可以将案涉款项予以强制执行，但案涉款项至今未被人民法院予以强制执行，说明案涉款项并未纳入人民法院司法冻结范围；因谢敏提起本案诉讼，一、二审法院才确认新城区管委会扣留的案涉款项系彬立地产公司的到期债权，亦符合双方签订《两桂一期及浙江公租房项目新区管委会同彬立公司对账概况》时对争议部分通过诉讼程序解决之约定。</w:t>
      </w:r>
    </w:p>
    <w:p w:rsidR="00645401" w:rsidRPr="00AA617E" w:rsidRDefault="00645401" w:rsidP="00645401">
      <w:pPr>
        <w:spacing w:line="600" w:lineRule="exact"/>
        <w:ind w:firstLine="629"/>
        <w:rPr>
          <w:rFonts w:ascii="Times New Roman" w:eastAsia="黑体" w:hAnsi="Times New Roman"/>
          <w:sz w:val="32"/>
          <w:szCs w:val="32"/>
        </w:rPr>
      </w:pPr>
      <w:r w:rsidRPr="00AA617E">
        <w:rPr>
          <w:rFonts w:ascii="Times New Roman" w:eastAsia="黑体" w:hAnsi="黑体"/>
          <w:sz w:val="32"/>
          <w:szCs w:val="32"/>
        </w:rPr>
        <w:t>二、本院讨论结果及理由</w:t>
      </w:r>
    </w:p>
    <w:p w:rsidR="00645401" w:rsidRPr="00AA617E" w:rsidRDefault="00645401" w:rsidP="00645401">
      <w:pPr>
        <w:spacing w:line="600" w:lineRule="exact"/>
        <w:ind w:firstLine="629"/>
        <w:rPr>
          <w:rFonts w:ascii="Times New Roman" w:eastAsia="方正仿宋_GBK" w:hAnsi="Times New Roman"/>
          <w:sz w:val="32"/>
          <w:szCs w:val="32"/>
        </w:rPr>
      </w:pPr>
      <w:r w:rsidRPr="00AA617E">
        <w:rPr>
          <w:rFonts w:ascii="Times New Roman" w:eastAsia="方正仿宋_GBK" w:hAnsi="Times New Roman"/>
          <w:sz w:val="32"/>
          <w:szCs w:val="32"/>
        </w:rPr>
        <w:t>一、二审分歧在于对《最高人民法院关于适用</w:t>
      </w:r>
      <w:r w:rsidRPr="00AA617E">
        <w:rPr>
          <w:rFonts w:ascii="Times New Roman" w:eastAsia="方正仿宋_GBK" w:hAnsi="Times New Roman"/>
          <w:sz w:val="32"/>
          <w:szCs w:val="32"/>
        </w:rPr>
        <w:t>&lt;</w:t>
      </w:r>
      <w:r w:rsidRPr="00AA617E">
        <w:rPr>
          <w:rFonts w:ascii="Times New Roman" w:eastAsia="方正仿宋_GBK" w:hAnsi="Times New Roman"/>
          <w:sz w:val="32"/>
          <w:szCs w:val="32"/>
        </w:rPr>
        <w:t>中华人民共和国合同法</w:t>
      </w:r>
      <w:r w:rsidRPr="00AA617E">
        <w:rPr>
          <w:rFonts w:ascii="Times New Roman" w:eastAsia="方正仿宋_GBK" w:hAnsi="Times New Roman"/>
          <w:sz w:val="32"/>
          <w:szCs w:val="32"/>
        </w:rPr>
        <w:t>&gt;</w:t>
      </w:r>
      <w:r w:rsidRPr="00AA617E">
        <w:rPr>
          <w:rFonts w:ascii="Times New Roman" w:eastAsia="方正仿宋_GBK" w:hAnsi="Times New Roman"/>
          <w:sz w:val="32"/>
          <w:szCs w:val="32"/>
        </w:rPr>
        <w:t>若干问题的解释（一）》第十三条的法律适用。本院认为，此规定中，债务人向次债务人主张债权含有一个必要的隐形条件，即债务人的债权还能有效主张，若是无权主张了，则债务人就算未以诉讼或者仲裁方式向其债务人主张其享有的具有金钱给付内容的到期债权，亦不能构成</w:t>
      </w:r>
      <w:r w:rsidRPr="00AA617E">
        <w:rPr>
          <w:rFonts w:ascii="Times New Roman" w:eastAsia="方正仿宋_GBK" w:hAnsi="Times New Roman"/>
          <w:sz w:val="32"/>
          <w:szCs w:val="32"/>
        </w:rPr>
        <w:t>“</w:t>
      </w:r>
      <w:r w:rsidRPr="00AA617E">
        <w:rPr>
          <w:rFonts w:ascii="Times New Roman" w:eastAsia="方正仿宋_GBK" w:hAnsi="Times New Roman"/>
          <w:sz w:val="32"/>
          <w:szCs w:val="32"/>
        </w:rPr>
        <w:t>怠于行使其到期债权</w:t>
      </w:r>
      <w:r w:rsidRPr="00AA617E">
        <w:rPr>
          <w:rFonts w:ascii="Times New Roman" w:eastAsia="方正仿宋_GBK" w:hAnsi="Times New Roman"/>
          <w:sz w:val="32"/>
          <w:szCs w:val="32"/>
        </w:rPr>
        <w:t>”</w:t>
      </w:r>
      <w:r w:rsidRPr="00AA617E">
        <w:rPr>
          <w:rFonts w:ascii="Times New Roman" w:eastAsia="方正仿宋_GBK" w:hAnsi="Times New Roman"/>
          <w:sz w:val="32"/>
          <w:szCs w:val="32"/>
        </w:rPr>
        <w:t>。本案中，彬立地产公司在新城区管委会享有的工程回购款早已纳入人民法院司法冻结范围，已没有人民法院冻结范围之外的到期债权，该公司实际上已无权另向新城区管委会主张该款项。既已无权，如何主张？你庭认为彬立地产公司至今未通过诉讼或申诉程序解决案涉</w:t>
      </w:r>
      <w:r w:rsidRPr="00AA617E">
        <w:rPr>
          <w:rFonts w:ascii="Times New Roman" w:eastAsia="方正仿宋_GBK" w:hAnsi="Times New Roman"/>
          <w:sz w:val="32"/>
          <w:szCs w:val="32"/>
        </w:rPr>
        <w:lastRenderedPageBreak/>
        <w:t>争议利息款项，怠于行使其到期债权是客观事实；我院认为，这只是一个表面事实，实际事实是彬立公司已不能向新城区管委会主张到期债权，故其不存在怠于行使到期债权的行为。这是二审作出改判的重要理由和法律依据。</w:t>
      </w:r>
    </w:p>
    <w:p w:rsidR="00645401" w:rsidRPr="00AA617E" w:rsidRDefault="00645401" w:rsidP="00645401">
      <w:pPr>
        <w:spacing w:line="600" w:lineRule="exact"/>
        <w:ind w:firstLine="629"/>
        <w:rPr>
          <w:rFonts w:ascii="Times New Roman" w:eastAsia="方正仿宋_GBK" w:hAnsi="Times New Roman"/>
          <w:sz w:val="32"/>
          <w:szCs w:val="32"/>
        </w:rPr>
      </w:pPr>
      <w:r w:rsidRPr="00AA617E">
        <w:rPr>
          <w:rFonts w:ascii="Times New Roman" w:eastAsia="方正仿宋_GBK" w:hAnsi="Times New Roman"/>
          <w:sz w:val="32"/>
          <w:szCs w:val="32"/>
        </w:rPr>
        <w:t>另，从判决的实际效果来看，本案的改判并不会直接影响到权利人谢敏的债权实现，其仍可以在执行程序中通过相关途径主张个人权利。若是本案确定谢敏的代位权可以成立，则成立的代位权直接指向的是已被人民法院司法冻结的款项，这些款项尚有其他权利人存在。为公平保护多位债权人权利，避免更多当事人提起异议之诉，减少当事人诉累，保证裁判能达到更好的社会效果，谢敏的代位权也应予驳回。</w:t>
      </w:r>
    </w:p>
    <w:p w:rsidR="00645401" w:rsidRPr="00AA617E" w:rsidRDefault="00645401" w:rsidP="00645401">
      <w:pPr>
        <w:spacing w:line="600" w:lineRule="exact"/>
        <w:ind w:firstLineChars="1645" w:firstLine="5264"/>
        <w:rPr>
          <w:rFonts w:ascii="Times New Roman" w:eastAsia="方正仿宋_GBK" w:hAnsi="Times New Roman"/>
          <w:sz w:val="32"/>
          <w:szCs w:val="32"/>
        </w:rPr>
      </w:pPr>
    </w:p>
    <w:p w:rsidR="00645401" w:rsidRPr="00AA617E" w:rsidRDefault="00645401" w:rsidP="00645401">
      <w:pPr>
        <w:spacing w:line="600" w:lineRule="exact"/>
        <w:jc w:val="right"/>
        <w:rPr>
          <w:rFonts w:ascii="Times New Roman" w:eastAsia="方正仿宋_GBK" w:hAnsi="Times New Roman"/>
          <w:sz w:val="32"/>
          <w:szCs w:val="32"/>
        </w:rPr>
      </w:pPr>
    </w:p>
    <w:p w:rsidR="00645401" w:rsidRPr="00AA617E" w:rsidRDefault="00672699" w:rsidP="00645401">
      <w:pPr>
        <w:spacing w:line="600" w:lineRule="exact"/>
        <w:jc w:val="center"/>
        <w:rPr>
          <w:rFonts w:ascii="Times New Roman" w:eastAsia="方正仿宋_GBK" w:hAnsi="Times New Roman"/>
          <w:sz w:val="32"/>
          <w:szCs w:val="32"/>
        </w:rPr>
      </w:pPr>
      <w:r>
        <w:rPr>
          <w:rFonts w:ascii="Times New Roman" w:eastAsia="方正仿宋_GBK" w:hAnsi="Times New Roman" w:hint="eastAsia"/>
          <w:sz w:val="32"/>
          <w:szCs w:val="32"/>
        </w:rPr>
        <w:t xml:space="preserve">                  </w:t>
      </w:r>
      <w:r w:rsidR="00645401" w:rsidRPr="00AA617E">
        <w:rPr>
          <w:rFonts w:ascii="Times New Roman" w:eastAsia="方正仿宋_GBK" w:hAnsi="Times New Roman"/>
          <w:sz w:val="32"/>
          <w:szCs w:val="32"/>
        </w:rPr>
        <w:t>二〇一九年九月四日</w:t>
      </w:r>
    </w:p>
    <w:p w:rsidR="00645401" w:rsidRPr="00AA617E" w:rsidRDefault="00645401" w:rsidP="00645401">
      <w:pPr>
        <w:spacing w:line="600" w:lineRule="exact"/>
        <w:jc w:val="center"/>
        <w:rPr>
          <w:rFonts w:ascii="Times New Roman" w:eastAsia="方正仿宋_GBK" w:hAnsi="Times New Roman"/>
          <w:sz w:val="32"/>
          <w:szCs w:val="32"/>
        </w:rPr>
        <w:sectPr w:rsidR="00645401" w:rsidRPr="00AA617E" w:rsidSect="00C14CFA">
          <w:pgSz w:w="11906" w:h="16838"/>
          <w:pgMar w:top="1440" w:right="1797" w:bottom="1440" w:left="1797" w:header="851" w:footer="992" w:gutter="0"/>
          <w:cols w:space="425"/>
          <w:docGrid w:type="lines" w:linePitch="312"/>
        </w:sectPr>
      </w:pPr>
    </w:p>
    <w:p w:rsidR="00645401" w:rsidRPr="00AA617E" w:rsidRDefault="00645401" w:rsidP="00645401">
      <w:pPr>
        <w:spacing w:line="600" w:lineRule="exact"/>
        <w:jc w:val="center"/>
        <w:rPr>
          <w:rFonts w:ascii="Times New Roman" w:eastAsia="方正小标宋简体" w:hAnsi="Times New Roman"/>
          <w:b/>
          <w:color w:val="000000"/>
          <w:sz w:val="32"/>
          <w:szCs w:val="32"/>
        </w:rPr>
      </w:pPr>
      <w:r w:rsidRPr="00AA617E">
        <w:rPr>
          <w:rFonts w:ascii="Times New Roman" w:eastAsia="方正小标宋_GBK" w:hAnsi="Times New Roman"/>
          <w:b/>
          <w:sz w:val="40"/>
          <w:szCs w:val="40"/>
        </w:rPr>
        <w:lastRenderedPageBreak/>
        <w:t>4</w:t>
      </w:r>
      <w:r w:rsidRPr="00AA617E">
        <w:rPr>
          <w:rFonts w:ascii="Times New Roman" w:eastAsia="方正小标宋_GBK" w:hAnsi="Times New Roman"/>
          <w:b/>
          <w:sz w:val="40"/>
          <w:szCs w:val="40"/>
        </w:rPr>
        <w:t>、</w:t>
      </w:r>
      <w:r>
        <w:rPr>
          <w:rFonts w:ascii="Times New Roman" w:eastAsia="方正小标宋_GBK" w:hAnsi="Times New Roman"/>
          <w:b/>
          <w:sz w:val="40"/>
          <w:szCs w:val="40"/>
        </w:rPr>
        <w:t>市</w:t>
      </w:r>
      <w:r>
        <w:rPr>
          <w:rFonts w:ascii="Times New Roman" w:eastAsia="方正小标宋_GBK" w:hAnsi="Times New Roman" w:hint="eastAsia"/>
          <w:b/>
          <w:sz w:val="40"/>
          <w:szCs w:val="40"/>
        </w:rPr>
        <w:t>四</w:t>
      </w:r>
      <w:r w:rsidRPr="00AA617E">
        <w:rPr>
          <w:rFonts w:ascii="Times New Roman" w:eastAsia="方正小标宋_GBK" w:hAnsi="Times New Roman"/>
          <w:b/>
          <w:sz w:val="40"/>
          <w:szCs w:val="40"/>
        </w:rPr>
        <w:t>中法院对酉阳法院</w:t>
      </w:r>
      <w:r w:rsidR="00AD1073">
        <w:rPr>
          <w:rFonts w:ascii="Times New Roman" w:eastAsia="方正小标宋_GBK" w:hAnsi="Times New Roman" w:hint="eastAsia"/>
          <w:b/>
          <w:sz w:val="40"/>
          <w:szCs w:val="40"/>
        </w:rPr>
        <w:t>（</w:t>
      </w:r>
      <w:r w:rsidR="00AD1073">
        <w:rPr>
          <w:rFonts w:ascii="Times New Roman" w:eastAsia="方正小标宋_GBK" w:hAnsi="Times New Roman"/>
          <w:b/>
          <w:sz w:val="40"/>
          <w:szCs w:val="40"/>
        </w:rPr>
        <w:t>2018</w:t>
      </w:r>
      <w:r w:rsidR="00AD1073">
        <w:rPr>
          <w:rFonts w:ascii="Times New Roman" w:eastAsia="方正小标宋_GBK" w:hAnsi="Times New Roman" w:hint="eastAsia"/>
          <w:b/>
          <w:sz w:val="40"/>
          <w:szCs w:val="40"/>
        </w:rPr>
        <w:t>）</w:t>
      </w:r>
      <w:r w:rsidRPr="00AA617E">
        <w:rPr>
          <w:rFonts w:ascii="Times New Roman" w:eastAsia="方正小标宋_GBK" w:hAnsi="Times New Roman"/>
          <w:b/>
          <w:sz w:val="40"/>
          <w:szCs w:val="40"/>
        </w:rPr>
        <w:t>渝</w:t>
      </w:r>
      <w:r w:rsidRPr="00AA617E">
        <w:rPr>
          <w:rFonts w:ascii="Times New Roman" w:eastAsia="方正小标宋_GBK" w:hAnsi="Times New Roman"/>
          <w:b/>
          <w:sz w:val="40"/>
          <w:szCs w:val="40"/>
        </w:rPr>
        <w:t>0242</w:t>
      </w:r>
      <w:r w:rsidRPr="00AA617E">
        <w:rPr>
          <w:rFonts w:ascii="Times New Roman" w:eastAsia="方正小标宋_GBK" w:hAnsi="Times New Roman"/>
          <w:b/>
          <w:sz w:val="40"/>
          <w:szCs w:val="40"/>
        </w:rPr>
        <w:t>民初</w:t>
      </w:r>
      <w:r w:rsidRPr="00AA617E">
        <w:rPr>
          <w:rFonts w:ascii="Times New Roman" w:eastAsia="方正小标宋_GBK" w:hAnsi="Times New Roman"/>
          <w:b/>
          <w:sz w:val="40"/>
          <w:szCs w:val="40"/>
        </w:rPr>
        <w:t>5581</w:t>
      </w:r>
      <w:r w:rsidRPr="00AA617E">
        <w:rPr>
          <w:rFonts w:ascii="Times New Roman" w:eastAsia="方正小标宋_GBK" w:hAnsi="Times New Roman"/>
          <w:b/>
          <w:sz w:val="40"/>
          <w:szCs w:val="40"/>
        </w:rPr>
        <w:t>号案件的申辩答复</w:t>
      </w:r>
    </w:p>
    <w:p w:rsidR="00645401" w:rsidRPr="00AA617E" w:rsidRDefault="00645401" w:rsidP="00645401">
      <w:pPr>
        <w:spacing w:line="600" w:lineRule="exact"/>
        <w:rPr>
          <w:rFonts w:ascii="Times New Roman" w:eastAsia="仿宋_GB2312" w:hAnsi="Times New Roman"/>
          <w:color w:val="000000"/>
          <w:sz w:val="28"/>
          <w:szCs w:val="32"/>
        </w:rPr>
      </w:pPr>
    </w:p>
    <w:p w:rsidR="00645401" w:rsidRPr="00AA617E" w:rsidRDefault="00645401" w:rsidP="00645401">
      <w:pPr>
        <w:spacing w:line="600" w:lineRule="exact"/>
        <w:rPr>
          <w:rFonts w:ascii="Times New Roman" w:eastAsia="方正仿宋_GBK" w:hAnsi="Times New Roman"/>
          <w:sz w:val="32"/>
          <w:szCs w:val="32"/>
        </w:rPr>
      </w:pPr>
      <w:r w:rsidRPr="00AA617E">
        <w:rPr>
          <w:rFonts w:ascii="Times New Roman" w:eastAsia="方正仿宋_GBK" w:hAnsi="Times New Roman"/>
          <w:sz w:val="32"/>
          <w:szCs w:val="32"/>
        </w:rPr>
        <w:t>酉阳</w:t>
      </w:r>
      <w:r>
        <w:rPr>
          <w:rFonts w:ascii="Times New Roman" w:eastAsia="方正仿宋_GBK" w:hAnsi="Times New Roman" w:hint="eastAsia"/>
          <w:sz w:val="32"/>
          <w:szCs w:val="32"/>
        </w:rPr>
        <w:t>县人民</w:t>
      </w:r>
      <w:r w:rsidRPr="00AA617E">
        <w:rPr>
          <w:rFonts w:ascii="Times New Roman" w:eastAsia="方正仿宋_GBK" w:hAnsi="Times New Roman"/>
          <w:sz w:val="32"/>
          <w:szCs w:val="32"/>
        </w:rPr>
        <w:t>法院民一庭：</w:t>
      </w:r>
    </w:p>
    <w:p w:rsidR="00645401" w:rsidRPr="00AA617E" w:rsidRDefault="00645401" w:rsidP="00645401">
      <w:pPr>
        <w:spacing w:line="600" w:lineRule="exact"/>
        <w:rPr>
          <w:rFonts w:ascii="Times New Roman" w:eastAsia="方正仿宋_GBK" w:hAnsi="Times New Roman"/>
          <w:sz w:val="32"/>
          <w:szCs w:val="32"/>
        </w:rPr>
      </w:pPr>
      <w:r w:rsidRPr="00AA617E">
        <w:rPr>
          <w:rFonts w:ascii="Times New Roman" w:eastAsia="方正仿宋_GBK" w:hAnsi="Times New Roman"/>
          <w:sz w:val="32"/>
          <w:szCs w:val="32"/>
        </w:rPr>
        <w:t xml:space="preserve">　　你庭提交的关于</w:t>
      </w:r>
      <w:r w:rsidRPr="00AA617E">
        <w:rPr>
          <w:rFonts w:ascii="Times New Roman" w:eastAsia="方正仿宋_GBK" w:hAnsi="Times New Roman"/>
          <w:sz w:val="32"/>
          <w:szCs w:val="32"/>
        </w:rPr>
        <w:t>(2018)</w:t>
      </w:r>
      <w:r w:rsidRPr="00AA617E">
        <w:rPr>
          <w:rFonts w:ascii="Times New Roman" w:eastAsia="方正仿宋_GBK" w:hAnsi="Times New Roman"/>
          <w:sz w:val="32"/>
          <w:szCs w:val="32"/>
        </w:rPr>
        <w:t>渝</w:t>
      </w:r>
      <w:r w:rsidRPr="00AA617E">
        <w:rPr>
          <w:rFonts w:ascii="Times New Roman" w:eastAsia="方正仿宋_GBK" w:hAnsi="Times New Roman"/>
          <w:sz w:val="32"/>
          <w:szCs w:val="32"/>
        </w:rPr>
        <w:t>0242</w:t>
      </w:r>
      <w:r w:rsidRPr="00AA617E">
        <w:rPr>
          <w:rFonts w:ascii="Times New Roman" w:eastAsia="方正仿宋_GBK" w:hAnsi="Times New Roman"/>
          <w:sz w:val="32"/>
          <w:szCs w:val="32"/>
        </w:rPr>
        <w:t>民初</w:t>
      </w:r>
      <w:r w:rsidRPr="00AA617E">
        <w:rPr>
          <w:rFonts w:ascii="Times New Roman" w:eastAsia="方正仿宋_GBK" w:hAnsi="Times New Roman"/>
          <w:sz w:val="32"/>
          <w:szCs w:val="32"/>
        </w:rPr>
        <w:t>5581</w:t>
      </w:r>
      <w:r w:rsidRPr="00AA617E">
        <w:rPr>
          <w:rFonts w:ascii="Times New Roman" w:eastAsia="方正仿宋_GBK" w:hAnsi="Times New Roman"/>
          <w:sz w:val="32"/>
          <w:szCs w:val="32"/>
        </w:rPr>
        <w:t>号冉雪娟、敖书娥与董情香共有物分割纠纷一案的申辩报告已收悉，经讨论研究，现答复如下。</w:t>
      </w:r>
    </w:p>
    <w:p w:rsidR="00645401" w:rsidRPr="00AA617E" w:rsidRDefault="00645401" w:rsidP="00645401">
      <w:pPr>
        <w:spacing w:line="600" w:lineRule="exact"/>
        <w:rPr>
          <w:rFonts w:ascii="Times New Roman" w:eastAsia="黑体" w:hAnsi="Times New Roman"/>
          <w:sz w:val="32"/>
          <w:szCs w:val="32"/>
        </w:rPr>
      </w:pPr>
      <w:r w:rsidRPr="00AA617E">
        <w:rPr>
          <w:rFonts w:ascii="Times New Roman" w:eastAsia="方正仿宋_GBK" w:hAnsi="Times New Roman"/>
          <w:sz w:val="32"/>
          <w:szCs w:val="32"/>
        </w:rPr>
        <w:t xml:space="preserve">　　</w:t>
      </w:r>
      <w:r w:rsidRPr="00AA617E">
        <w:rPr>
          <w:rFonts w:ascii="Times New Roman" w:eastAsia="黑体" w:hAnsi="Times New Roman"/>
          <w:sz w:val="32"/>
          <w:szCs w:val="32"/>
        </w:rPr>
        <w:t>一、一审申辩理由</w:t>
      </w:r>
    </w:p>
    <w:p w:rsidR="00645401" w:rsidRPr="00AA617E" w:rsidRDefault="00645401" w:rsidP="00645401">
      <w:pPr>
        <w:spacing w:line="600" w:lineRule="exact"/>
        <w:rPr>
          <w:rFonts w:ascii="Times New Roman" w:eastAsia="方正仿宋_GBK" w:hAnsi="Times New Roman"/>
          <w:sz w:val="32"/>
          <w:szCs w:val="32"/>
        </w:rPr>
      </w:pPr>
      <w:r w:rsidRPr="00AA617E">
        <w:rPr>
          <w:rFonts w:ascii="Times New Roman" w:eastAsia="方正仿宋_GBK" w:hAnsi="Times New Roman"/>
          <w:sz w:val="32"/>
          <w:szCs w:val="32"/>
        </w:rPr>
        <w:t xml:space="preserve">　　</w:t>
      </w:r>
      <w:r w:rsidRPr="00AA617E">
        <w:rPr>
          <w:rFonts w:ascii="Times New Roman" w:eastAsia="方正仿宋_GBK" w:hAnsi="Times New Roman"/>
          <w:sz w:val="32"/>
          <w:szCs w:val="32"/>
        </w:rPr>
        <w:t>1</w:t>
      </w:r>
      <w:r w:rsidRPr="00AA617E">
        <w:rPr>
          <w:rFonts w:ascii="Times New Roman" w:eastAsia="方正仿宋_GBK" w:hAnsi="Times New Roman"/>
          <w:sz w:val="32"/>
          <w:szCs w:val="32"/>
        </w:rPr>
        <w:t>．关于敖书娥应否分得冉茂树一次性工亡补助金的问题。一审法院认为</w:t>
      </w:r>
      <w:r>
        <w:rPr>
          <w:rFonts w:ascii="Times New Roman" w:eastAsia="方正仿宋_GBK" w:hAnsi="Times New Roman" w:hint="eastAsia"/>
          <w:sz w:val="32"/>
          <w:szCs w:val="32"/>
        </w:rPr>
        <w:t>，</w:t>
      </w:r>
      <w:r w:rsidRPr="00AA617E">
        <w:rPr>
          <w:rFonts w:ascii="Times New Roman" w:eastAsia="方正仿宋_GBK" w:hAnsi="Times New Roman"/>
          <w:sz w:val="32"/>
          <w:szCs w:val="32"/>
        </w:rPr>
        <w:t>《最高人民法院关于人民法院审理未办结婚登记而以夫妻名义同居生活案件的若干意见》第十三条规定对于同居关系的继承，主要考虑的是互相扶助的具体情况，而不是一定要形成扶养关系。敖书娥与冉茂树生前同居生活两年多时间，与冉茂树一同在外务工，生活紧密程度较高，形成了相互扶助的关系，虽然敖书娥自认打工有一定收入，但从一审举示的证据来看，敖书娥是建卡贫困户，处于生活、住房、医疗都需要提供保障的生活状况，对于冉茂树的扶助和扶养依赖程度都较大，其适当分得冉茂树一次性工亡补助金也符合《中华人民共和国继承法》第十四条规定的</w:t>
      </w:r>
      <w:r w:rsidRPr="00AA617E">
        <w:rPr>
          <w:rFonts w:ascii="Times New Roman" w:eastAsia="方正仿宋_GBK" w:hAnsi="Times New Roman"/>
          <w:sz w:val="32"/>
          <w:szCs w:val="32"/>
        </w:rPr>
        <w:t>“</w:t>
      </w:r>
      <w:r w:rsidRPr="00AA617E">
        <w:rPr>
          <w:rFonts w:ascii="Times New Roman" w:eastAsia="方正仿宋_GBK" w:hAnsi="Times New Roman"/>
          <w:sz w:val="32"/>
          <w:szCs w:val="32"/>
        </w:rPr>
        <w:t>对继承人以外的依靠被继承人扶养的缺乏劳动能力又没有生活来源的人，或者继承人以外的对被继承人扶养较多的人，可以分配给他们适当的遗产。</w:t>
      </w:r>
      <w:r w:rsidRPr="00AA617E">
        <w:rPr>
          <w:rFonts w:ascii="Times New Roman" w:eastAsia="方正仿宋_GBK" w:hAnsi="Times New Roman"/>
          <w:sz w:val="32"/>
          <w:szCs w:val="32"/>
        </w:rPr>
        <w:t>”</w:t>
      </w:r>
      <w:r w:rsidRPr="00AA617E">
        <w:rPr>
          <w:rFonts w:ascii="Times New Roman" w:eastAsia="方正仿宋_GBK" w:hAnsi="Times New Roman"/>
          <w:sz w:val="32"/>
          <w:szCs w:val="32"/>
        </w:rPr>
        <w:t>的法律规定。二审法院仅仅以敖书娥有劳动能力和部分生活来源，就认为不需要冉茂树扶</w:t>
      </w:r>
      <w:r w:rsidRPr="00AA617E">
        <w:rPr>
          <w:rFonts w:ascii="Times New Roman" w:eastAsia="方正仿宋_GBK" w:hAnsi="Times New Roman"/>
          <w:sz w:val="32"/>
          <w:szCs w:val="32"/>
        </w:rPr>
        <w:lastRenderedPageBreak/>
        <w:t>养，没有具体考虑敖书娥的现实生活状况和二人相互扶助的情况。况且，一次性工亡补助金并不是遗产，其主要是对死者近亲属的一种精神抚慰和经济救济方式，冉茂树死亡后敖书娥以妻子身份积极参与冉茂树的丧事，在冉茂树父亲的墓碑上也将敖书娥列为儿媳，冉茂树的死亡不仅使敖书娥生活来源必然减少，事实上从双方的亲密程度上可以看出冉茂树的死亡对其精神上也造成了痛苦，因此敖书娥参与本案一次性工亡补助金的分配也并无不当。另外，从全国不同法院的判决来看，也有支持同居关系的一方分得一次性工亡赔偿金的案例，如河南省鹤壁市中级人民法院（</w:t>
      </w:r>
      <w:r w:rsidRPr="00AA617E">
        <w:rPr>
          <w:rFonts w:ascii="Times New Roman" w:eastAsia="方正仿宋_GBK" w:hAnsi="Times New Roman"/>
          <w:sz w:val="32"/>
          <w:szCs w:val="32"/>
        </w:rPr>
        <w:t>2017</w:t>
      </w:r>
      <w:r w:rsidRPr="00AA617E">
        <w:rPr>
          <w:rFonts w:ascii="Times New Roman" w:eastAsia="方正仿宋_GBK" w:hAnsi="Times New Roman"/>
          <w:sz w:val="32"/>
          <w:szCs w:val="32"/>
        </w:rPr>
        <w:t>）豫</w:t>
      </w:r>
      <w:r w:rsidRPr="00AA617E">
        <w:rPr>
          <w:rFonts w:ascii="Times New Roman" w:eastAsia="方正仿宋_GBK" w:hAnsi="Times New Roman"/>
          <w:sz w:val="32"/>
          <w:szCs w:val="32"/>
        </w:rPr>
        <w:t>06</w:t>
      </w:r>
      <w:r w:rsidRPr="00AA617E">
        <w:rPr>
          <w:rFonts w:ascii="Times New Roman" w:eastAsia="方正仿宋_GBK" w:hAnsi="Times New Roman"/>
          <w:sz w:val="32"/>
          <w:szCs w:val="32"/>
        </w:rPr>
        <w:t>民终</w:t>
      </w:r>
      <w:r w:rsidRPr="00AA617E">
        <w:rPr>
          <w:rFonts w:ascii="Times New Roman" w:eastAsia="方正仿宋_GBK" w:hAnsi="Times New Roman"/>
          <w:sz w:val="32"/>
          <w:szCs w:val="32"/>
        </w:rPr>
        <w:t>1105</w:t>
      </w:r>
      <w:r w:rsidRPr="00AA617E">
        <w:rPr>
          <w:rFonts w:ascii="Times New Roman" w:eastAsia="方正仿宋_GBK" w:hAnsi="Times New Roman"/>
          <w:sz w:val="32"/>
          <w:szCs w:val="32"/>
        </w:rPr>
        <w:t>号上诉人韩井云与被上诉人张双喜、孙康英，原审被告韩瑞琪共有物分割纠纷一案。</w:t>
      </w:r>
    </w:p>
    <w:p w:rsidR="00645401" w:rsidRPr="00AA617E" w:rsidRDefault="00645401" w:rsidP="00645401">
      <w:pPr>
        <w:spacing w:line="600" w:lineRule="exact"/>
        <w:rPr>
          <w:rFonts w:ascii="Times New Roman" w:eastAsia="方正仿宋_GBK" w:hAnsi="Times New Roman"/>
          <w:sz w:val="32"/>
          <w:szCs w:val="32"/>
        </w:rPr>
      </w:pPr>
      <w:r w:rsidRPr="00AA617E">
        <w:rPr>
          <w:rFonts w:ascii="Times New Roman" w:eastAsia="方正仿宋_GBK" w:hAnsi="Times New Roman"/>
          <w:sz w:val="32"/>
          <w:szCs w:val="32"/>
        </w:rPr>
        <w:t xml:space="preserve">　　２．对于分配金额的多少问题。一审法院认为，适当分得一次性工亡补助金保持在</w:t>
      </w:r>
      <w:r w:rsidRPr="00AA617E">
        <w:rPr>
          <w:rFonts w:ascii="Times New Roman" w:eastAsia="方正仿宋_GBK" w:hAnsi="Times New Roman"/>
          <w:sz w:val="32"/>
          <w:szCs w:val="32"/>
        </w:rPr>
        <w:t>10%</w:t>
      </w:r>
      <w:r w:rsidRPr="00AA617E">
        <w:rPr>
          <w:rFonts w:ascii="Times New Roman" w:eastAsia="方正仿宋_GBK" w:hAnsi="Times New Roman"/>
          <w:sz w:val="32"/>
          <w:szCs w:val="32"/>
        </w:rPr>
        <w:t>左右，都属于适当分得，冉茂树的一次性工亡补助金有</w:t>
      </w:r>
      <w:r w:rsidRPr="00AA617E">
        <w:rPr>
          <w:rFonts w:ascii="Times New Roman" w:eastAsia="方正仿宋_GBK" w:hAnsi="Times New Roman"/>
          <w:sz w:val="32"/>
          <w:szCs w:val="32"/>
        </w:rPr>
        <w:t>672320</w:t>
      </w:r>
      <w:r w:rsidRPr="00AA617E">
        <w:rPr>
          <w:rFonts w:ascii="Times New Roman" w:eastAsia="方正仿宋_GBK" w:hAnsi="Times New Roman"/>
          <w:sz w:val="32"/>
          <w:szCs w:val="32"/>
        </w:rPr>
        <w:t>元，一审判决冉雪娟分得</w:t>
      </w:r>
      <w:r w:rsidRPr="00AA617E">
        <w:rPr>
          <w:rFonts w:ascii="Times New Roman" w:eastAsia="方正仿宋_GBK" w:hAnsi="Times New Roman"/>
          <w:sz w:val="32"/>
          <w:szCs w:val="32"/>
        </w:rPr>
        <w:t>8</w:t>
      </w:r>
      <w:r w:rsidRPr="00AA617E">
        <w:rPr>
          <w:rFonts w:ascii="Times New Roman" w:eastAsia="方正仿宋_GBK" w:hAnsi="Times New Roman"/>
          <w:sz w:val="32"/>
          <w:szCs w:val="32"/>
        </w:rPr>
        <w:t>万元属于该范围之内，而二审法院调整为</w:t>
      </w:r>
      <w:r w:rsidRPr="00AA617E">
        <w:rPr>
          <w:rFonts w:ascii="Times New Roman" w:eastAsia="方正仿宋_GBK" w:hAnsi="Times New Roman"/>
          <w:sz w:val="32"/>
          <w:szCs w:val="32"/>
        </w:rPr>
        <w:t>2</w:t>
      </w:r>
      <w:r w:rsidRPr="00AA617E">
        <w:rPr>
          <w:rFonts w:ascii="Times New Roman" w:eastAsia="方正仿宋_GBK" w:hAnsi="Times New Roman"/>
          <w:sz w:val="32"/>
          <w:szCs w:val="32"/>
        </w:rPr>
        <w:t>万元，也没有具体的分配理由，完全属于自由裁量权的问题，不属于一审法院适用法律错误。</w:t>
      </w:r>
    </w:p>
    <w:p w:rsidR="00645401" w:rsidRPr="00AA617E" w:rsidRDefault="00645401" w:rsidP="00645401">
      <w:pPr>
        <w:spacing w:line="600" w:lineRule="exact"/>
        <w:rPr>
          <w:rFonts w:ascii="Times New Roman" w:eastAsia="方正仿宋_GBK" w:hAnsi="Times New Roman"/>
          <w:sz w:val="32"/>
          <w:szCs w:val="32"/>
        </w:rPr>
      </w:pPr>
      <w:r w:rsidRPr="00AA617E">
        <w:rPr>
          <w:rFonts w:ascii="Times New Roman" w:eastAsia="方正仿宋_GBK" w:hAnsi="Times New Roman"/>
          <w:sz w:val="32"/>
          <w:szCs w:val="32"/>
        </w:rPr>
        <w:t xml:space="preserve">　　综上，一、二审法院均是参照《最高人民法院关于人民法院审理未办结婚登记而以夫妻名义同居生活案件的若干意见》第十三条和《中华人民共和国继承法》第十四条的规定作出的判决，仅仅是对同居关系人能否分得一次性工亡补助金的认识和理解不同。事实上，一次性工亡补助金并不属</w:t>
      </w:r>
      <w:r w:rsidRPr="00AA617E">
        <w:rPr>
          <w:rFonts w:ascii="Times New Roman" w:eastAsia="方正仿宋_GBK" w:hAnsi="Times New Roman"/>
          <w:sz w:val="32"/>
          <w:szCs w:val="32"/>
        </w:rPr>
        <w:lastRenderedPageBreak/>
        <w:t xml:space="preserve">于遗产，不能按照继承法的相关规定严格处理，同居关系人能否参与分配目前更无法律明确规定，全国不同法院对分与不分均有不同意见，并作出过不同判决，并未统一裁判尺度，故一审法院并不属于法律适用错误，只是两级法院对案件处理的严格程度不一，理解和认识不同，请勿将本案计入错误。　　</w:t>
      </w:r>
    </w:p>
    <w:p w:rsidR="00645401" w:rsidRPr="00AA617E" w:rsidRDefault="00645401" w:rsidP="00645401">
      <w:pPr>
        <w:spacing w:line="600" w:lineRule="exact"/>
        <w:rPr>
          <w:rFonts w:ascii="Times New Roman" w:eastAsia="黑体" w:hAnsi="Times New Roman"/>
          <w:sz w:val="32"/>
          <w:szCs w:val="32"/>
        </w:rPr>
      </w:pPr>
      <w:r w:rsidRPr="00AA617E">
        <w:rPr>
          <w:rFonts w:ascii="Times New Roman" w:eastAsia="方正仿宋_GBK" w:hAnsi="Times New Roman"/>
          <w:sz w:val="32"/>
          <w:szCs w:val="32"/>
        </w:rPr>
        <w:t xml:space="preserve">　　</w:t>
      </w:r>
      <w:r w:rsidRPr="00AA617E">
        <w:rPr>
          <w:rFonts w:ascii="Times New Roman" w:eastAsia="黑体" w:hAnsi="Times New Roman"/>
          <w:sz w:val="32"/>
          <w:szCs w:val="32"/>
        </w:rPr>
        <w:t>二、</w:t>
      </w:r>
      <w:r>
        <w:rPr>
          <w:rFonts w:ascii="Times New Roman" w:eastAsia="黑体" w:hAnsi="Times New Roman" w:hint="eastAsia"/>
          <w:sz w:val="32"/>
          <w:szCs w:val="32"/>
        </w:rPr>
        <w:t>两级法院</w:t>
      </w:r>
      <w:r w:rsidRPr="00AA617E">
        <w:rPr>
          <w:rFonts w:ascii="Times New Roman" w:eastAsia="黑体" w:hAnsi="Times New Roman"/>
          <w:sz w:val="32"/>
          <w:szCs w:val="32"/>
        </w:rPr>
        <w:t>主要分歧</w:t>
      </w:r>
    </w:p>
    <w:p w:rsidR="00645401" w:rsidRPr="00AA617E" w:rsidRDefault="00645401" w:rsidP="00645401">
      <w:pPr>
        <w:spacing w:line="600" w:lineRule="exact"/>
        <w:rPr>
          <w:rFonts w:ascii="Times New Roman" w:eastAsia="方正仿宋_GBK" w:hAnsi="Times New Roman"/>
          <w:sz w:val="32"/>
          <w:szCs w:val="32"/>
        </w:rPr>
      </w:pPr>
      <w:r w:rsidRPr="00AA617E">
        <w:rPr>
          <w:rFonts w:ascii="Times New Roman" w:eastAsia="方正仿宋_GBK" w:hAnsi="Times New Roman"/>
          <w:sz w:val="32"/>
          <w:szCs w:val="32"/>
        </w:rPr>
        <w:t xml:space="preserve">　　敖书娥和冉雪娟应否分得冉茂树一次性工亡补助金及分配比例。一审认为敖书娥可以适当分得冉茂树的一次性工亡补助金，而二审认为其不应分得。一审认为冉雪娟可分配</w:t>
      </w:r>
      <w:r w:rsidRPr="00AA617E">
        <w:rPr>
          <w:rFonts w:ascii="Times New Roman" w:eastAsia="方正仿宋_GBK" w:hAnsi="Times New Roman"/>
          <w:sz w:val="32"/>
          <w:szCs w:val="32"/>
        </w:rPr>
        <w:t>8</w:t>
      </w:r>
      <w:r w:rsidRPr="00AA617E">
        <w:rPr>
          <w:rFonts w:ascii="Times New Roman" w:eastAsia="方正仿宋_GBK" w:hAnsi="Times New Roman"/>
          <w:sz w:val="32"/>
          <w:szCs w:val="32"/>
        </w:rPr>
        <w:t>万元，而二审认为其只应酌情分配</w:t>
      </w:r>
      <w:r w:rsidRPr="00AA617E">
        <w:rPr>
          <w:rFonts w:ascii="Times New Roman" w:eastAsia="方正仿宋_GBK" w:hAnsi="Times New Roman"/>
          <w:sz w:val="32"/>
          <w:szCs w:val="32"/>
        </w:rPr>
        <w:t>2</w:t>
      </w:r>
      <w:r w:rsidRPr="00AA617E">
        <w:rPr>
          <w:rFonts w:ascii="Times New Roman" w:eastAsia="方正仿宋_GBK" w:hAnsi="Times New Roman"/>
          <w:sz w:val="32"/>
          <w:szCs w:val="32"/>
        </w:rPr>
        <w:t>万元。</w:t>
      </w:r>
    </w:p>
    <w:p w:rsidR="00645401" w:rsidRPr="00AA617E" w:rsidRDefault="00645401" w:rsidP="00645401">
      <w:pPr>
        <w:spacing w:line="600" w:lineRule="exact"/>
        <w:rPr>
          <w:rFonts w:ascii="Times New Roman" w:eastAsia="黑体" w:hAnsi="Times New Roman"/>
          <w:sz w:val="32"/>
          <w:szCs w:val="32"/>
        </w:rPr>
      </w:pPr>
      <w:r w:rsidRPr="00AA617E">
        <w:rPr>
          <w:rFonts w:ascii="Times New Roman" w:eastAsia="方正仿宋_GBK" w:hAnsi="Times New Roman"/>
          <w:sz w:val="32"/>
          <w:szCs w:val="32"/>
        </w:rPr>
        <w:t xml:space="preserve">　　</w:t>
      </w:r>
      <w:r w:rsidRPr="00AA617E">
        <w:rPr>
          <w:rFonts w:ascii="Times New Roman" w:eastAsia="黑体" w:hAnsi="Times New Roman"/>
          <w:sz w:val="32"/>
          <w:szCs w:val="32"/>
        </w:rPr>
        <w:t>三、二审研究情况</w:t>
      </w:r>
    </w:p>
    <w:p w:rsidR="00645401" w:rsidRPr="00AA617E" w:rsidRDefault="00645401" w:rsidP="00645401">
      <w:pPr>
        <w:spacing w:line="600" w:lineRule="exact"/>
        <w:rPr>
          <w:rFonts w:ascii="Times New Roman" w:eastAsia="方正仿宋_GBK" w:hAnsi="Times New Roman"/>
          <w:sz w:val="32"/>
          <w:szCs w:val="32"/>
        </w:rPr>
      </w:pPr>
      <w:r w:rsidRPr="00AA617E">
        <w:rPr>
          <w:rFonts w:ascii="Times New Roman" w:eastAsia="方正仿宋_GBK" w:hAnsi="Times New Roman"/>
          <w:sz w:val="32"/>
          <w:szCs w:val="32"/>
        </w:rPr>
        <w:t xml:space="preserve">　　收到你庭的书面申辩意见后，我院高度重视，在分管院领导的参加下，召开了民一庭法官会议，对一审法院提出的问题进行了认真研究，一致认为：　　</w:t>
      </w:r>
    </w:p>
    <w:p w:rsidR="00645401" w:rsidRPr="00AA617E" w:rsidRDefault="00645401" w:rsidP="00645401">
      <w:pPr>
        <w:spacing w:line="600" w:lineRule="exact"/>
        <w:rPr>
          <w:rFonts w:ascii="Times New Roman" w:eastAsia="方正仿宋_GBK" w:hAnsi="Times New Roman"/>
          <w:sz w:val="32"/>
          <w:szCs w:val="32"/>
        </w:rPr>
      </w:pPr>
      <w:r w:rsidRPr="00AA617E">
        <w:rPr>
          <w:rFonts w:ascii="Times New Roman" w:eastAsia="方正仿宋_GBK" w:hAnsi="Times New Roman"/>
          <w:sz w:val="32"/>
          <w:szCs w:val="32"/>
        </w:rPr>
        <w:t xml:space="preserve">　　１．敖书娥在本案中不应分得冉茂树的一次性工亡补助金，一审法律适用错误。首先，从《工伤保险条例》第三十九条的规定可以看出，一次性工亡补助金的享受对象为死者的近亲属，敖书娥并非其亲属范围。其次，《工伤保险条例》对近亲属之间享有的一次性工亡补助金如何分割没有作出明确的规定，因此，可以参照继承原则进行处理，而按照《最高人民法院关于人民法院审理未办结婚登记而以夫妻名义同居生活案件的若干意见》第十三条的规定，同居关系的，如形成事实婚姻关系的，可以以配偶的身份参加分割。如不</w:t>
      </w:r>
      <w:r w:rsidRPr="00AA617E">
        <w:rPr>
          <w:rFonts w:ascii="Times New Roman" w:eastAsia="方正仿宋_GBK" w:hAnsi="Times New Roman"/>
          <w:sz w:val="32"/>
          <w:szCs w:val="32"/>
        </w:rPr>
        <w:lastRenderedPageBreak/>
        <w:t>属事实婚姻关系的，只能符合继承法第十四条规定的内容才可分配。《中华人民共和国继承法》第十四条规定：</w:t>
      </w:r>
      <w:r w:rsidRPr="00AA617E">
        <w:rPr>
          <w:rFonts w:ascii="Times New Roman" w:eastAsia="方正仿宋_GBK" w:hAnsi="Times New Roman"/>
          <w:sz w:val="32"/>
          <w:szCs w:val="32"/>
        </w:rPr>
        <w:t>“</w:t>
      </w:r>
      <w:r w:rsidRPr="00AA617E">
        <w:rPr>
          <w:rFonts w:ascii="Times New Roman" w:eastAsia="方正仿宋_GBK" w:hAnsi="Times New Roman"/>
          <w:sz w:val="32"/>
          <w:szCs w:val="32"/>
        </w:rPr>
        <w:t>对继承人以外的依靠被继承人扶养的缺乏劳动能力又没有生活来源的人，或者继承人以外的对被继承人扶养较多的人，可以分配给他们适当的遗产。</w:t>
      </w:r>
      <w:r w:rsidRPr="00AA617E">
        <w:rPr>
          <w:rFonts w:ascii="Times New Roman" w:eastAsia="方正仿宋_GBK" w:hAnsi="Times New Roman"/>
          <w:sz w:val="32"/>
          <w:szCs w:val="32"/>
        </w:rPr>
        <w:t>”</w:t>
      </w:r>
      <w:r w:rsidRPr="00AA617E">
        <w:rPr>
          <w:rFonts w:ascii="Times New Roman" w:eastAsia="方正仿宋_GBK" w:hAnsi="Times New Roman"/>
          <w:sz w:val="32"/>
          <w:szCs w:val="32"/>
        </w:rPr>
        <w:t>符合该条规定的条件：一是缺乏劳动能力且没有生活来源，依靠被继承人扶养；二是继承人以外的对被继承人扶养较多的人，可适当分配。只要满足其中一个条件即可分配。敖书娥与死者是同居关系，没有形成婚姻法上的夫妻关系，自己有劳动能力，有生活来源，无须死者的扶养，一审认为其与死者形成了相互扶助的关系，系对法律理解出现了偏差，扩大了相互扶助的适用范围，应当在今后的法律适用中予以注意。其三，你庭所提供的案例非指导性案例，仅作裁判参考，对本案不具有指导作用。</w:t>
      </w:r>
    </w:p>
    <w:p w:rsidR="00645401" w:rsidRPr="00AA617E" w:rsidRDefault="00645401" w:rsidP="00645401">
      <w:pPr>
        <w:spacing w:line="600" w:lineRule="exact"/>
        <w:rPr>
          <w:rFonts w:ascii="Times New Roman" w:eastAsia="方正仿宋_GBK" w:hAnsi="Times New Roman"/>
          <w:sz w:val="32"/>
          <w:szCs w:val="32"/>
        </w:rPr>
      </w:pPr>
      <w:r w:rsidRPr="00AA617E">
        <w:rPr>
          <w:rFonts w:ascii="Times New Roman" w:eastAsia="方正仿宋_GBK" w:hAnsi="Times New Roman"/>
          <w:sz w:val="32"/>
          <w:szCs w:val="32"/>
        </w:rPr>
        <w:t xml:space="preserve">　　２．冉雪娟应否分得冉茂树一次性工亡补助金及分配比例问题。《中华人民共和国婚姻法》第二十七条第二款：</w:t>
      </w:r>
      <w:r w:rsidRPr="00AA617E">
        <w:rPr>
          <w:rFonts w:ascii="Times New Roman" w:eastAsia="方正仿宋_GBK" w:hAnsi="Times New Roman"/>
          <w:sz w:val="32"/>
          <w:szCs w:val="32"/>
        </w:rPr>
        <w:t>“</w:t>
      </w:r>
      <w:r w:rsidRPr="00AA617E">
        <w:rPr>
          <w:rFonts w:ascii="Times New Roman" w:eastAsia="方正仿宋_GBK" w:hAnsi="Times New Roman"/>
          <w:sz w:val="32"/>
          <w:szCs w:val="32"/>
        </w:rPr>
        <w:t>继父或继母和受其抚养教育的继子女间的权利和义务，适用本法对父母子女关系的有关规定。</w:t>
      </w:r>
      <w:r w:rsidRPr="00AA617E">
        <w:rPr>
          <w:rFonts w:ascii="Times New Roman" w:eastAsia="方正仿宋_GBK" w:hAnsi="Times New Roman"/>
          <w:sz w:val="32"/>
          <w:szCs w:val="32"/>
        </w:rPr>
        <w:t>”</w:t>
      </w:r>
      <w:r w:rsidRPr="00AA617E">
        <w:rPr>
          <w:rFonts w:ascii="Times New Roman" w:eastAsia="方正仿宋_GBK" w:hAnsi="Times New Roman"/>
          <w:sz w:val="32"/>
          <w:szCs w:val="32"/>
        </w:rPr>
        <w:t>敖书娥与死者系同居关系，冉雪娟系敖书娥与前夫所生子女，故冉雪娟与死者还不能形成具有扶养关系的继父女关系。在本案中酌情由冉雪娟分得冉茂树一次性工亡补助金主要考虑因素为敖书娥与死者同居时，冉雪娟尚未成年，虽然抚养的义务人为敖书娥，但一定程度上冉茂树也给予了扶养，故可根据《中华人民共和国继承法》第十四条的规定，酌情考虑给予分配，金额问题考</w:t>
      </w:r>
      <w:r w:rsidRPr="00AA617E">
        <w:rPr>
          <w:rFonts w:ascii="Times New Roman" w:eastAsia="方正仿宋_GBK" w:hAnsi="Times New Roman"/>
          <w:sz w:val="32"/>
          <w:szCs w:val="32"/>
        </w:rPr>
        <w:lastRenderedPageBreak/>
        <w:t>虑到冉茂树死亡时，冉雪娟即将成年的因素，酌情支持了</w:t>
      </w:r>
      <w:r w:rsidRPr="00AA617E">
        <w:rPr>
          <w:rFonts w:ascii="Times New Roman" w:eastAsia="方正仿宋_GBK" w:hAnsi="Times New Roman"/>
          <w:sz w:val="32"/>
          <w:szCs w:val="32"/>
        </w:rPr>
        <w:t>2</w:t>
      </w:r>
      <w:r w:rsidRPr="00AA617E">
        <w:rPr>
          <w:rFonts w:ascii="Times New Roman" w:eastAsia="方正仿宋_GBK" w:hAnsi="Times New Roman"/>
          <w:sz w:val="32"/>
          <w:szCs w:val="32"/>
        </w:rPr>
        <w:t>万元。对分配的多少，确实属于自由裁量范围，但自由裁量要有度，二审酌情支持的数额是较为恰当的。</w:t>
      </w:r>
    </w:p>
    <w:p w:rsidR="00645401" w:rsidRPr="00AA617E" w:rsidRDefault="00645401" w:rsidP="00645401">
      <w:pPr>
        <w:spacing w:line="600" w:lineRule="exact"/>
        <w:rPr>
          <w:rFonts w:ascii="Times New Roman" w:eastAsia="黑体" w:hAnsi="Times New Roman"/>
          <w:sz w:val="32"/>
          <w:szCs w:val="32"/>
        </w:rPr>
      </w:pPr>
      <w:r w:rsidRPr="00AA617E">
        <w:rPr>
          <w:rFonts w:ascii="Times New Roman" w:eastAsia="方正仿宋_GBK" w:hAnsi="Times New Roman"/>
          <w:sz w:val="32"/>
          <w:szCs w:val="32"/>
        </w:rPr>
        <w:t xml:space="preserve">　　</w:t>
      </w:r>
      <w:r w:rsidRPr="00AA617E">
        <w:rPr>
          <w:rFonts w:ascii="Times New Roman" w:eastAsia="黑体" w:hAnsi="Times New Roman"/>
          <w:sz w:val="32"/>
          <w:szCs w:val="32"/>
        </w:rPr>
        <w:t>四、结论</w:t>
      </w:r>
    </w:p>
    <w:p w:rsidR="00645401" w:rsidRPr="00AA617E" w:rsidRDefault="00645401" w:rsidP="00645401">
      <w:pPr>
        <w:spacing w:line="600" w:lineRule="exact"/>
        <w:rPr>
          <w:rFonts w:ascii="Times New Roman" w:eastAsia="方正仿宋_GBK" w:hAnsi="Times New Roman"/>
          <w:sz w:val="32"/>
          <w:szCs w:val="32"/>
        </w:rPr>
      </w:pPr>
      <w:r w:rsidRPr="00AA617E">
        <w:rPr>
          <w:rFonts w:ascii="Times New Roman" w:eastAsia="方正仿宋_GBK" w:hAnsi="Times New Roman"/>
          <w:sz w:val="32"/>
          <w:szCs w:val="32"/>
        </w:rPr>
        <w:t xml:space="preserve">　　你庭的申辩理由不成立。</w:t>
      </w:r>
    </w:p>
    <w:p w:rsidR="00645401" w:rsidRDefault="00645401" w:rsidP="00645401">
      <w:pPr>
        <w:spacing w:line="600" w:lineRule="exact"/>
        <w:ind w:firstLineChars="1645" w:firstLine="5264"/>
        <w:rPr>
          <w:rFonts w:ascii="Times New Roman" w:eastAsia="方正仿宋_GBK" w:hAnsi="Times New Roman" w:hint="eastAsia"/>
          <w:sz w:val="32"/>
          <w:szCs w:val="32"/>
        </w:rPr>
      </w:pPr>
    </w:p>
    <w:p w:rsidR="00672699" w:rsidRPr="00672699" w:rsidRDefault="00672699" w:rsidP="00645401">
      <w:pPr>
        <w:spacing w:line="600" w:lineRule="exact"/>
        <w:ind w:firstLineChars="1645" w:firstLine="5264"/>
        <w:rPr>
          <w:rFonts w:ascii="Times New Roman" w:eastAsia="方正仿宋_GBK" w:hAnsi="Times New Roman"/>
          <w:sz w:val="32"/>
          <w:szCs w:val="32"/>
        </w:rPr>
      </w:pPr>
    </w:p>
    <w:p w:rsidR="00645401" w:rsidRPr="00AA617E" w:rsidRDefault="00645401" w:rsidP="00645401">
      <w:pPr>
        <w:spacing w:line="600" w:lineRule="exact"/>
        <w:jc w:val="center"/>
        <w:rPr>
          <w:rFonts w:ascii="Times New Roman" w:eastAsia="方正仿宋_GBK" w:hAnsi="Times New Roman"/>
          <w:sz w:val="32"/>
          <w:szCs w:val="32"/>
        </w:rPr>
      </w:pPr>
      <w:r w:rsidRPr="00AA617E">
        <w:rPr>
          <w:rFonts w:ascii="Times New Roman" w:eastAsia="方正仿宋_GBK" w:hAnsi="Times New Roman"/>
          <w:sz w:val="32"/>
          <w:szCs w:val="32"/>
        </w:rPr>
        <w:t xml:space="preserve">　</w:t>
      </w:r>
      <w:r w:rsidR="00672699">
        <w:rPr>
          <w:rFonts w:ascii="Times New Roman" w:eastAsia="方正仿宋_GBK" w:hAnsi="Times New Roman" w:hint="eastAsia"/>
          <w:sz w:val="32"/>
          <w:szCs w:val="32"/>
        </w:rPr>
        <w:t xml:space="preserve">             </w:t>
      </w:r>
      <w:r w:rsidRPr="00AA617E">
        <w:rPr>
          <w:rFonts w:ascii="Times New Roman" w:eastAsia="方正仿宋_GBK" w:hAnsi="Times New Roman"/>
          <w:sz w:val="32"/>
          <w:szCs w:val="32"/>
        </w:rPr>
        <w:t xml:space="preserve">　二〇一九年五月七日</w:t>
      </w:r>
    </w:p>
    <w:p w:rsidR="00645401" w:rsidRPr="00AA617E" w:rsidRDefault="00645401" w:rsidP="00645401">
      <w:pPr>
        <w:spacing w:line="600" w:lineRule="exact"/>
        <w:jc w:val="right"/>
        <w:rPr>
          <w:rFonts w:ascii="Times New Roman" w:eastAsia="方正仿宋_GBK" w:hAnsi="Times New Roman"/>
          <w:sz w:val="32"/>
          <w:szCs w:val="32"/>
        </w:rPr>
      </w:pPr>
    </w:p>
    <w:p w:rsidR="00645401" w:rsidRPr="00AA617E" w:rsidRDefault="00645401" w:rsidP="00645401">
      <w:pPr>
        <w:spacing w:line="600" w:lineRule="exact"/>
        <w:jc w:val="center"/>
        <w:rPr>
          <w:rFonts w:ascii="Times New Roman" w:eastAsia="方正小标宋_GBK" w:hAnsi="Times New Roman"/>
          <w:b/>
          <w:sz w:val="40"/>
          <w:szCs w:val="40"/>
        </w:rPr>
      </w:pPr>
    </w:p>
    <w:p w:rsidR="00645401" w:rsidRPr="00AA617E" w:rsidRDefault="00645401" w:rsidP="00645401">
      <w:pPr>
        <w:spacing w:line="600" w:lineRule="exact"/>
        <w:jc w:val="center"/>
        <w:rPr>
          <w:rFonts w:ascii="Times New Roman" w:eastAsia="方正小标宋_GBK" w:hAnsi="Times New Roman"/>
          <w:b/>
          <w:sz w:val="40"/>
          <w:szCs w:val="40"/>
        </w:rPr>
      </w:pPr>
    </w:p>
    <w:p w:rsidR="00645401" w:rsidRPr="00AA617E" w:rsidRDefault="00645401" w:rsidP="00645401">
      <w:pPr>
        <w:spacing w:line="600" w:lineRule="exact"/>
        <w:jc w:val="center"/>
        <w:rPr>
          <w:rFonts w:ascii="Times New Roman" w:eastAsia="方正小标宋_GBK" w:hAnsi="Times New Roman"/>
          <w:b/>
          <w:sz w:val="40"/>
          <w:szCs w:val="40"/>
        </w:rPr>
      </w:pPr>
    </w:p>
    <w:p w:rsidR="00645401" w:rsidRPr="00AA617E" w:rsidRDefault="00645401" w:rsidP="00645401">
      <w:pPr>
        <w:spacing w:line="600" w:lineRule="exact"/>
        <w:jc w:val="center"/>
        <w:rPr>
          <w:rFonts w:ascii="Times New Roman" w:eastAsia="方正小标宋_GBK" w:hAnsi="Times New Roman"/>
          <w:b/>
          <w:sz w:val="40"/>
          <w:szCs w:val="40"/>
        </w:rPr>
      </w:pPr>
    </w:p>
    <w:p w:rsidR="00645401" w:rsidRPr="00AA617E" w:rsidRDefault="00645401" w:rsidP="00645401">
      <w:pPr>
        <w:spacing w:line="600" w:lineRule="exact"/>
        <w:jc w:val="center"/>
        <w:rPr>
          <w:rFonts w:ascii="Times New Roman" w:eastAsia="方正小标宋_GBK" w:hAnsi="Times New Roman"/>
          <w:b/>
          <w:sz w:val="40"/>
          <w:szCs w:val="40"/>
        </w:rPr>
      </w:pPr>
    </w:p>
    <w:p w:rsidR="00645401" w:rsidRDefault="00645401" w:rsidP="00645401">
      <w:pPr>
        <w:spacing w:line="600" w:lineRule="exact"/>
        <w:jc w:val="center"/>
        <w:rPr>
          <w:rFonts w:ascii="Times New Roman" w:eastAsia="方正小标宋_GBK" w:hAnsi="Times New Roman"/>
          <w:b/>
          <w:sz w:val="40"/>
          <w:szCs w:val="40"/>
        </w:rPr>
      </w:pPr>
    </w:p>
    <w:p w:rsidR="00645401" w:rsidRDefault="00645401" w:rsidP="00645401">
      <w:pPr>
        <w:spacing w:line="600" w:lineRule="exact"/>
        <w:jc w:val="center"/>
        <w:rPr>
          <w:rFonts w:ascii="Times New Roman" w:eastAsia="方正小标宋_GBK" w:hAnsi="Times New Roman"/>
          <w:b/>
          <w:sz w:val="40"/>
          <w:szCs w:val="40"/>
        </w:rPr>
      </w:pPr>
    </w:p>
    <w:p w:rsidR="00645401" w:rsidRDefault="00645401" w:rsidP="00645401">
      <w:pPr>
        <w:spacing w:line="600" w:lineRule="exact"/>
        <w:jc w:val="center"/>
        <w:rPr>
          <w:rFonts w:ascii="Times New Roman" w:eastAsia="方正小标宋_GBK" w:hAnsi="Times New Roman"/>
          <w:b/>
          <w:sz w:val="40"/>
          <w:szCs w:val="40"/>
        </w:rPr>
      </w:pPr>
    </w:p>
    <w:p w:rsidR="00645401" w:rsidRDefault="00645401" w:rsidP="00645401">
      <w:pPr>
        <w:spacing w:line="600" w:lineRule="exact"/>
        <w:jc w:val="center"/>
        <w:rPr>
          <w:rFonts w:ascii="Times New Roman" w:eastAsia="方正小标宋_GBK" w:hAnsi="Times New Roman"/>
          <w:b/>
          <w:sz w:val="40"/>
          <w:szCs w:val="40"/>
        </w:rPr>
      </w:pPr>
    </w:p>
    <w:p w:rsidR="00645401" w:rsidRDefault="00645401" w:rsidP="00645401">
      <w:pPr>
        <w:spacing w:line="600" w:lineRule="exact"/>
        <w:jc w:val="center"/>
        <w:rPr>
          <w:rFonts w:ascii="Times New Roman" w:eastAsia="方正小标宋_GBK" w:hAnsi="Times New Roman"/>
          <w:b/>
          <w:sz w:val="40"/>
          <w:szCs w:val="40"/>
        </w:rPr>
      </w:pPr>
    </w:p>
    <w:p w:rsidR="00645401" w:rsidRDefault="00645401" w:rsidP="00645401">
      <w:pPr>
        <w:spacing w:line="600" w:lineRule="exact"/>
        <w:jc w:val="center"/>
        <w:rPr>
          <w:rFonts w:ascii="Times New Roman" w:eastAsia="方正小标宋_GBK" w:hAnsi="Times New Roman"/>
          <w:b/>
          <w:sz w:val="40"/>
          <w:szCs w:val="40"/>
        </w:rPr>
      </w:pPr>
    </w:p>
    <w:p w:rsidR="00645401" w:rsidRDefault="00645401" w:rsidP="00645401">
      <w:pPr>
        <w:spacing w:line="600" w:lineRule="exact"/>
        <w:jc w:val="center"/>
        <w:rPr>
          <w:rFonts w:ascii="Times New Roman" w:eastAsia="方正小标宋_GBK" w:hAnsi="Times New Roman"/>
          <w:b/>
          <w:sz w:val="40"/>
          <w:szCs w:val="40"/>
        </w:rPr>
      </w:pPr>
    </w:p>
    <w:p w:rsidR="00645401" w:rsidRDefault="00645401" w:rsidP="00645401">
      <w:pPr>
        <w:spacing w:line="600" w:lineRule="exact"/>
        <w:jc w:val="center"/>
        <w:rPr>
          <w:rFonts w:ascii="Times New Roman" w:eastAsia="方正小标宋_GBK" w:hAnsi="Times New Roman"/>
          <w:b/>
          <w:sz w:val="40"/>
          <w:szCs w:val="40"/>
        </w:rPr>
      </w:pPr>
    </w:p>
    <w:p w:rsidR="00645401" w:rsidRPr="00AA617E" w:rsidRDefault="00645401" w:rsidP="00645401">
      <w:pPr>
        <w:spacing w:line="600" w:lineRule="exact"/>
        <w:jc w:val="center"/>
        <w:rPr>
          <w:rFonts w:ascii="Times New Roman" w:eastAsia="方正小标宋_GBK" w:hAnsi="Times New Roman"/>
          <w:b/>
          <w:sz w:val="40"/>
          <w:szCs w:val="40"/>
        </w:rPr>
      </w:pPr>
    </w:p>
    <w:p w:rsidR="00645401" w:rsidRPr="00AA617E" w:rsidRDefault="00645401" w:rsidP="00645401">
      <w:pPr>
        <w:spacing w:line="600" w:lineRule="exact"/>
        <w:jc w:val="center"/>
        <w:rPr>
          <w:rFonts w:ascii="Times New Roman" w:eastAsia="方正小标宋_GBK" w:hAnsi="Times New Roman"/>
          <w:b/>
          <w:sz w:val="40"/>
          <w:szCs w:val="40"/>
        </w:rPr>
      </w:pPr>
      <w:r w:rsidRPr="00AA617E">
        <w:rPr>
          <w:rFonts w:ascii="Times New Roman" w:eastAsia="方正小标宋_GBK" w:hAnsi="Times New Roman"/>
          <w:b/>
          <w:sz w:val="40"/>
          <w:szCs w:val="40"/>
        </w:rPr>
        <w:lastRenderedPageBreak/>
        <w:t>5</w:t>
      </w:r>
      <w:r w:rsidRPr="00AA617E">
        <w:rPr>
          <w:rFonts w:ascii="Times New Roman" w:eastAsia="方正小标宋_GBK" w:hAnsi="Times New Roman"/>
          <w:b/>
          <w:sz w:val="40"/>
          <w:szCs w:val="40"/>
        </w:rPr>
        <w:t>、市五中法院对江津区法院</w:t>
      </w:r>
      <w:r w:rsidR="00AD1073">
        <w:rPr>
          <w:rFonts w:ascii="Times New Roman" w:eastAsia="方正小标宋_GBK" w:hAnsi="Times New Roman" w:hint="eastAsia"/>
          <w:b/>
          <w:sz w:val="40"/>
          <w:szCs w:val="40"/>
        </w:rPr>
        <w:t>（</w:t>
      </w:r>
      <w:r w:rsidR="00AD1073">
        <w:rPr>
          <w:rFonts w:ascii="Times New Roman" w:eastAsia="方正小标宋_GBK" w:hAnsi="Times New Roman"/>
          <w:b/>
          <w:sz w:val="40"/>
          <w:szCs w:val="40"/>
        </w:rPr>
        <w:t>2018</w:t>
      </w:r>
      <w:r w:rsidR="00AD1073">
        <w:rPr>
          <w:rFonts w:ascii="Times New Roman" w:eastAsia="方正小标宋_GBK" w:hAnsi="Times New Roman" w:hint="eastAsia"/>
          <w:b/>
          <w:sz w:val="40"/>
          <w:szCs w:val="40"/>
        </w:rPr>
        <w:t>）</w:t>
      </w:r>
      <w:r w:rsidRPr="00AA617E">
        <w:rPr>
          <w:rFonts w:ascii="Times New Roman" w:eastAsia="方正小标宋_GBK" w:hAnsi="Times New Roman"/>
          <w:b/>
          <w:sz w:val="40"/>
          <w:szCs w:val="40"/>
        </w:rPr>
        <w:t>渝</w:t>
      </w:r>
      <w:r w:rsidRPr="00AA617E">
        <w:rPr>
          <w:rFonts w:ascii="Times New Roman" w:eastAsia="方正小标宋_GBK" w:hAnsi="Times New Roman"/>
          <w:b/>
          <w:sz w:val="40"/>
          <w:szCs w:val="40"/>
        </w:rPr>
        <w:t>0116</w:t>
      </w:r>
      <w:r w:rsidRPr="00AA617E">
        <w:rPr>
          <w:rFonts w:ascii="Times New Roman" w:eastAsia="方正小标宋_GBK" w:hAnsi="Times New Roman"/>
          <w:b/>
          <w:sz w:val="40"/>
          <w:szCs w:val="40"/>
        </w:rPr>
        <w:t>民初</w:t>
      </w:r>
      <w:r w:rsidRPr="00AA617E">
        <w:rPr>
          <w:rFonts w:ascii="Times New Roman" w:eastAsia="方正小标宋_GBK" w:hAnsi="Times New Roman"/>
          <w:b/>
          <w:sz w:val="40"/>
          <w:szCs w:val="40"/>
        </w:rPr>
        <w:t>10286</w:t>
      </w:r>
      <w:r w:rsidRPr="00AA617E">
        <w:rPr>
          <w:rFonts w:ascii="Times New Roman" w:eastAsia="方正小标宋_GBK" w:hAnsi="Times New Roman"/>
          <w:b/>
          <w:sz w:val="40"/>
          <w:szCs w:val="40"/>
        </w:rPr>
        <w:t>号案件的申辩答复</w:t>
      </w:r>
    </w:p>
    <w:p w:rsidR="00645401" w:rsidRPr="00AA617E" w:rsidRDefault="00645401" w:rsidP="00645401">
      <w:pPr>
        <w:spacing w:line="600" w:lineRule="exact"/>
        <w:rPr>
          <w:rFonts w:ascii="Times New Roman" w:eastAsia="仿宋_GB2312" w:hAnsi="Times New Roman"/>
          <w:color w:val="000000"/>
          <w:sz w:val="28"/>
          <w:szCs w:val="32"/>
        </w:rPr>
      </w:pPr>
    </w:p>
    <w:p w:rsidR="00645401" w:rsidRPr="00AA617E" w:rsidRDefault="00645401" w:rsidP="00645401">
      <w:pPr>
        <w:spacing w:line="600" w:lineRule="exact"/>
        <w:rPr>
          <w:rFonts w:ascii="Times New Roman" w:eastAsia="方正仿宋_GBK" w:hAnsi="Times New Roman"/>
          <w:sz w:val="32"/>
          <w:szCs w:val="32"/>
        </w:rPr>
      </w:pPr>
      <w:r w:rsidRPr="00AA617E">
        <w:rPr>
          <w:rFonts w:ascii="Times New Roman" w:eastAsia="方正仿宋_GBK" w:hAnsi="Times New Roman"/>
          <w:sz w:val="32"/>
          <w:szCs w:val="32"/>
        </w:rPr>
        <w:t>江津区人民法院第三人民法庭：</w:t>
      </w:r>
    </w:p>
    <w:p w:rsidR="00645401" w:rsidRPr="00AA617E" w:rsidRDefault="00645401" w:rsidP="00645401">
      <w:pPr>
        <w:spacing w:line="600" w:lineRule="exact"/>
        <w:rPr>
          <w:rFonts w:ascii="Times New Roman" w:eastAsia="方正仿宋_GBK" w:hAnsi="Times New Roman"/>
          <w:sz w:val="32"/>
          <w:szCs w:val="32"/>
        </w:rPr>
      </w:pPr>
      <w:r w:rsidRPr="00AA617E">
        <w:rPr>
          <w:rFonts w:ascii="Times New Roman" w:eastAsia="方正仿宋_GBK" w:hAnsi="Times New Roman"/>
          <w:sz w:val="32"/>
          <w:szCs w:val="32"/>
        </w:rPr>
        <w:t xml:space="preserve">　　你庭提交的关于</w:t>
      </w:r>
      <w:r w:rsidRPr="00AA617E">
        <w:rPr>
          <w:rFonts w:ascii="Times New Roman" w:eastAsia="方正仿宋_GBK" w:hAnsi="Times New Roman"/>
          <w:sz w:val="32"/>
          <w:szCs w:val="32"/>
        </w:rPr>
        <w:t>(2018)</w:t>
      </w:r>
      <w:r w:rsidRPr="00AA617E">
        <w:rPr>
          <w:rFonts w:ascii="Times New Roman" w:eastAsia="方正仿宋_GBK" w:hAnsi="Times New Roman"/>
          <w:sz w:val="32"/>
          <w:szCs w:val="32"/>
        </w:rPr>
        <w:t>渝</w:t>
      </w:r>
      <w:r w:rsidRPr="00AA617E">
        <w:rPr>
          <w:rFonts w:ascii="Times New Roman" w:eastAsia="方正仿宋_GBK" w:hAnsi="Times New Roman"/>
          <w:sz w:val="32"/>
          <w:szCs w:val="32"/>
        </w:rPr>
        <w:t>0116</w:t>
      </w:r>
      <w:r w:rsidRPr="00AA617E">
        <w:rPr>
          <w:rFonts w:ascii="Times New Roman" w:eastAsia="方正仿宋_GBK" w:hAnsi="Times New Roman"/>
          <w:sz w:val="32"/>
          <w:szCs w:val="32"/>
        </w:rPr>
        <w:t>民初</w:t>
      </w:r>
      <w:r w:rsidRPr="00AA617E">
        <w:rPr>
          <w:rFonts w:ascii="Times New Roman" w:eastAsia="方正仿宋_GBK" w:hAnsi="Times New Roman"/>
          <w:sz w:val="32"/>
          <w:szCs w:val="32"/>
        </w:rPr>
        <w:t>10286</w:t>
      </w:r>
      <w:r w:rsidRPr="00AA617E">
        <w:rPr>
          <w:rFonts w:ascii="Times New Roman" w:eastAsia="方正仿宋_GBK" w:hAnsi="Times New Roman"/>
          <w:sz w:val="32"/>
          <w:szCs w:val="32"/>
        </w:rPr>
        <w:t>号重庆市江津区杨家湾砂石厂与中国水利水电第五工程局有限公司</w:t>
      </w:r>
      <w:r>
        <w:rPr>
          <w:rFonts w:ascii="Times New Roman" w:eastAsia="方正仿宋_GBK" w:hAnsi="Times New Roman" w:hint="eastAsia"/>
          <w:sz w:val="32"/>
          <w:szCs w:val="32"/>
        </w:rPr>
        <w:t>，</w:t>
      </w:r>
      <w:r w:rsidRPr="00AA617E">
        <w:rPr>
          <w:rFonts w:ascii="Times New Roman" w:eastAsia="方正仿宋_GBK" w:hAnsi="Times New Roman"/>
          <w:sz w:val="32"/>
          <w:szCs w:val="32"/>
        </w:rPr>
        <w:t>中国水利水电第五工程局有限公司江习高速公路二分部项目部买卖合同纠纷一案的申辩报告已收悉，经讨论研究，现答复如下。</w:t>
      </w:r>
    </w:p>
    <w:p w:rsidR="00645401" w:rsidRPr="00AA617E" w:rsidRDefault="00645401" w:rsidP="00645401">
      <w:pPr>
        <w:spacing w:line="600" w:lineRule="exact"/>
        <w:rPr>
          <w:rFonts w:ascii="Times New Roman" w:eastAsia="黑体" w:hAnsi="Times New Roman"/>
          <w:sz w:val="32"/>
          <w:szCs w:val="32"/>
        </w:rPr>
      </w:pPr>
      <w:r w:rsidRPr="00AA617E">
        <w:rPr>
          <w:rFonts w:ascii="Times New Roman" w:eastAsia="方正仿宋_GBK" w:hAnsi="Times New Roman"/>
          <w:sz w:val="32"/>
          <w:szCs w:val="32"/>
        </w:rPr>
        <w:t xml:space="preserve">　　</w:t>
      </w:r>
      <w:r w:rsidRPr="00AA617E">
        <w:rPr>
          <w:rFonts w:ascii="Times New Roman" w:eastAsia="黑体" w:hAnsi="Times New Roman"/>
          <w:sz w:val="32"/>
          <w:szCs w:val="32"/>
        </w:rPr>
        <w:t>一、一审申辩理由</w:t>
      </w:r>
    </w:p>
    <w:p w:rsidR="00645401" w:rsidRPr="00AA617E" w:rsidRDefault="00645401" w:rsidP="00645401">
      <w:pPr>
        <w:spacing w:line="600" w:lineRule="exact"/>
        <w:rPr>
          <w:rFonts w:ascii="Times New Roman" w:eastAsia="方正仿宋_GBK" w:hAnsi="Times New Roman"/>
          <w:sz w:val="32"/>
          <w:szCs w:val="32"/>
        </w:rPr>
      </w:pPr>
      <w:r w:rsidRPr="00AA617E">
        <w:rPr>
          <w:rFonts w:ascii="Times New Roman" w:eastAsia="方正仿宋_GBK" w:hAnsi="Times New Roman"/>
          <w:sz w:val="32"/>
          <w:szCs w:val="32"/>
        </w:rPr>
        <w:t xml:space="preserve">　　（一）二审中，当事人没有提交新证据。二审法院对一审法院查明的事实予以确认。对于各当事人之间的法律关系、上诉人存在违约行为以及案件其他事实等两审法院认定一致，二审法院并未有新的事实认定，故一审认定事实并无错误。</w:t>
      </w:r>
    </w:p>
    <w:p w:rsidR="00645401" w:rsidRPr="00AA617E" w:rsidRDefault="00645401" w:rsidP="00645401">
      <w:pPr>
        <w:spacing w:line="600" w:lineRule="exact"/>
        <w:rPr>
          <w:rFonts w:ascii="Times New Roman" w:eastAsia="方正仿宋_GBK" w:hAnsi="Times New Roman"/>
          <w:sz w:val="32"/>
          <w:szCs w:val="32"/>
        </w:rPr>
      </w:pPr>
      <w:r w:rsidRPr="00AA617E">
        <w:rPr>
          <w:rFonts w:ascii="Times New Roman" w:eastAsia="方正仿宋_GBK" w:hAnsi="Times New Roman"/>
          <w:sz w:val="32"/>
          <w:szCs w:val="32"/>
        </w:rPr>
        <w:t xml:space="preserve">　　（二）未按时付款所造成的损失。合同双方明确约定了</w:t>
      </w:r>
      <w:r w:rsidRPr="00AA617E">
        <w:rPr>
          <w:rFonts w:ascii="Times New Roman" w:eastAsia="方正仿宋_GBK" w:hAnsi="Times New Roman"/>
          <w:sz w:val="32"/>
          <w:szCs w:val="32"/>
        </w:rPr>
        <w:t>“......</w:t>
      </w:r>
      <w:r w:rsidRPr="00AA617E">
        <w:rPr>
          <w:rFonts w:ascii="Times New Roman" w:eastAsia="方正仿宋_GBK" w:hAnsi="Times New Roman"/>
          <w:sz w:val="32"/>
          <w:szCs w:val="32"/>
        </w:rPr>
        <w:t>违约方应赔偿守约方由此所遭受的所有直接经济损失</w:t>
      </w:r>
      <w:r w:rsidRPr="00AA617E">
        <w:rPr>
          <w:rFonts w:ascii="Times New Roman" w:eastAsia="方正仿宋_GBK" w:hAnsi="Times New Roman"/>
          <w:sz w:val="32"/>
          <w:szCs w:val="32"/>
        </w:rPr>
        <w:t>”</w:t>
      </w:r>
      <w:r w:rsidRPr="00AA617E">
        <w:rPr>
          <w:rFonts w:ascii="Times New Roman" w:eastAsia="方正仿宋_GBK" w:hAnsi="Times New Roman"/>
          <w:sz w:val="32"/>
          <w:szCs w:val="32"/>
        </w:rPr>
        <w:t>。所指向的</w:t>
      </w:r>
      <w:r w:rsidRPr="00AA617E">
        <w:rPr>
          <w:rFonts w:ascii="Times New Roman" w:eastAsia="方正仿宋_GBK" w:hAnsi="Times New Roman"/>
          <w:sz w:val="32"/>
          <w:szCs w:val="32"/>
        </w:rPr>
        <w:t>“</w:t>
      </w:r>
      <w:r w:rsidRPr="00AA617E">
        <w:rPr>
          <w:rFonts w:ascii="Times New Roman" w:eastAsia="方正仿宋_GBK" w:hAnsi="Times New Roman"/>
          <w:sz w:val="32"/>
          <w:szCs w:val="32"/>
        </w:rPr>
        <w:t>赔偿经济损失</w:t>
      </w:r>
      <w:r w:rsidRPr="00AA617E">
        <w:rPr>
          <w:rFonts w:ascii="Times New Roman" w:eastAsia="方正仿宋_GBK" w:hAnsi="Times New Roman"/>
          <w:sz w:val="32"/>
          <w:szCs w:val="32"/>
        </w:rPr>
        <w:t>”</w:t>
      </w:r>
      <w:r w:rsidRPr="00AA617E">
        <w:rPr>
          <w:rFonts w:ascii="Times New Roman" w:eastAsia="方正仿宋_GBK" w:hAnsi="Times New Roman"/>
          <w:sz w:val="32"/>
          <w:szCs w:val="32"/>
        </w:rPr>
        <w:t>为包括但不限于逾期付款利息损失，是指</w:t>
      </w:r>
      <w:r w:rsidRPr="00AA617E">
        <w:rPr>
          <w:rFonts w:ascii="Times New Roman" w:eastAsia="方正仿宋_GBK" w:hAnsi="Times New Roman"/>
          <w:sz w:val="32"/>
          <w:szCs w:val="32"/>
        </w:rPr>
        <w:t>“</w:t>
      </w:r>
      <w:r w:rsidRPr="00AA617E">
        <w:rPr>
          <w:rFonts w:ascii="Times New Roman" w:eastAsia="方正仿宋_GBK" w:hAnsi="Times New Roman"/>
          <w:sz w:val="32"/>
          <w:szCs w:val="32"/>
        </w:rPr>
        <w:t>所有损失</w:t>
      </w:r>
      <w:r w:rsidRPr="00AA617E">
        <w:rPr>
          <w:rFonts w:ascii="Times New Roman" w:eastAsia="方正仿宋_GBK" w:hAnsi="Times New Roman"/>
          <w:sz w:val="32"/>
          <w:szCs w:val="32"/>
        </w:rPr>
        <w:t>”</w:t>
      </w:r>
      <w:r w:rsidRPr="00AA617E">
        <w:rPr>
          <w:rFonts w:ascii="Times New Roman" w:eastAsia="方正仿宋_GBK" w:hAnsi="Times New Roman"/>
          <w:sz w:val="32"/>
          <w:szCs w:val="32"/>
        </w:rPr>
        <w:t>，赔偿标准应以填补守约方因违约方的违约行为而造成的合理损失为限，即有多少损失就应赔偿多少损失。当除利息损失外还有其他损失时，仍需继续赔偿。本案中，被告未按约定付款，按约需对由此而给原告造成的损失予以赔偿。</w:t>
      </w:r>
    </w:p>
    <w:p w:rsidR="00645401" w:rsidRPr="00AA617E" w:rsidRDefault="00645401" w:rsidP="00645401">
      <w:pPr>
        <w:spacing w:line="600" w:lineRule="exact"/>
        <w:rPr>
          <w:rFonts w:ascii="Times New Roman" w:eastAsia="方正仿宋_GBK" w:hAnsi="Times New Roman"/>
          <w:sz w:val="32"/>
          <w:szCs w:val="32"/>
        </w:rPr>
      </w:pPr>
      <w:r w:rsidRPr="00AA617E">
        <w:rPr>
          <w:rFonts w:ascii="Times New Roman" w:eastAsia="方正仿宋_GBK" w:hAnsi="Times New Roman"/>
          <w:sz w:val="32"/>
          <w:szCs w:val="32"/>
        </w:rPr>
        <w:lastRenderedPageBreak/>
        <w:t xml:space="preserve">　　对于赔偿内容问题。双方在签订合同时无法预知，只有待违约方产生了具体的违约行为给守约方造成了具体的损失时才能确定。本案合同中双方明确约定了违约方需赔偿守约方的一切经济损失，并非没有约定，也非约定不明。原告请求的就是赔偿损失，双方争议的是有无损失及损失多少。如原告无证据证明被告逾期付款造成有其他损失，毫无疑问可按</w:t>
      </w:r>
      <w:r w:rsidRPr="00AA617E">
        <w:rPr>
          <w:rFonts w:ascii="Times New Roman" w:eastAsia="方正仿宋_GBK" w:hAnsi="Times New Roman"/>
          <w:sz w:val="32"/>
          <w:szCs w:val="32"/>
        </w:rPr>
        <w:t>“</w:t>
      </w:r>
      <w:r w:rsidRPr="00AA617E">
        <w:rPr>
          <w:rFonts w:ascii="Times New Roman" w:eastAsia="方正仿宋_GBK" w:hAnsi="Times New Roman"/>
          <w:sz w:val="32"/>
          <w:szCs w:val="32"/>
        </w:rPr>
        <w:t>中国人民银行同期同类人民币贷款基准利率为基础，参照逾期罚息利率标准计算损失</w:t>
      </w:r>
      <w:r w:rsidRPr="00AA617E">
        <w:rPr>
          <w:rFonts w:ascii="Times New Roman" w:eastAsia="方正仿宋_GBK" w:hAnsi="Times New Roman"/>
          <w:sz w:val="32"/>
          <w:szCs w:val="32"/>
        </w:rPr>
        <w:t>”</w:t>
      </w:r>
      <w:r w:rsidRPr="00AA617E">
        <w:rPr>
          <w:rFonts w:ascii="Times New Roman" w:eastAsia="方正仿宋_GBK" w:hAnsi="Times New Roman"/>
          <w:sz w:val="32"/>
          <w:szCs w:val="32"/>
        </w:rPr>
        <w:t>，但当有损失依据时则应以具体损失为准。经庭审查明，因被告未付款，原告进行大量融资，在客观上产生了大量损失（杨家湾砂石厂向罗汝钢购买鹅卵石承担违约责任、杨家湾砂石厂向银行贷款并支付贷款利息和高额担保费用及反担保费用、杨家湾砂石厂进行民间高额融资而支付高额利息等），对于这些损失，原告提供有相应证据，双方对这些证据及损失并无意见分歧，一、二审法院均对此予以确认，造成这些损失，无疑与被告未按时付款具有直接因果关系，并非与被告违约行为无因果关系，故被告对此损失应予赔偿。原、被告双方均系商事主体，原告在经营过程中的融资方式、融资手段，所产生的融资成本系合理范围，符合商事主体的交易习惯，不违反法律规定，一审法院结合市场上普遍的资金利用成本（商事主体的资金利用成本远大于银行贷款利息），当事人的交易方式、习惯，市场普遍的交易利率以及双方当事人在履行商事合同过程中可预见情况，基于民间资本市场的利率水平，为平衡保护</w:t>
      </w:r>
      <w:r w:rsidRPr="00AA617E">
        <w:rPr>
          <w:rFonts w:ascii="Times New Roman" w:eastAsia="方正仿宋_GBK" w:hAnsi="Times New Roman"/>
          <w:sz w:val="32"/>
          <w:szCs w:val="32"/>
        </w:rPr>
        <w:lastRenderedPageBreak/>
        <w:t>各方当事人利益，综合各方因素酌定杨家湾砂石厂该项损失的计算方式为每月按未付款额</w:t>
      </w:r>
      <w:r w:rsidRPr="00AA617E">
        <w:rPr>
          <w:rFonts w:ascii="Times New Roman" w:eastAsia="方正仿宋_GBK" w:hAnsi="Times New Roman"/>
          <w:sz w:val="32"/>
          <w:szCs w:val="32"/>
        </w:rPr>
        <w:t>2%</w:t>
      </w:r>
      <w:r w:rsidRPr="00AA617E">
        <w:rPr>
          <w:rFonts w:ascii="Times New Roman" w:eastAsia="方正仿宋_GBK" w:hAnsi="Times New Roman"/>
          <w:sz w:val="32"/>
          <w:szCs w:val="32"/>
        </w:rPr>
        <w:t>的标准计算并无不当。二审判决被告按中国人民银行同期同类贷款基准利率上浮</w:t>
      </w:r>
      <w:r w:rsidRPr="00AA617E">
        <w:rPr>
          <w:rFonts w:ascii="Times New Roman" w:eastAsia="方正仿宋_GBK" w:hAnsi="Times New Roman"/>
          <w:sz w:val="32"/>
          <w:szCs w:val="32"/>
        </w:rPr>
        <w:t>30%</w:t>
      </w:r>
      <w:r w:rsidRPr="00AA617E">
        <w:rPr>
          <w:rFonts w:ascii="Times New Roman" w:eastAsia="方正仿宋_GBK" w:hAnsi="Times New Roman"/>
          <w:sz w:val="32"/>
          <w:szCs w:val="32"/>
        </w:rPr>
        <w:t>赔偿原告损失与原告实际损失相去甚远（原告所举证据也证明了其损失远高于逾期贷款利息损失，对该证据双方并无异议），被告违约成本太低，对原告显失公平，不利于稳定市场交易秩序。同时，中国人民银行同期同类贷款基准利率上浮</w:t>
      </w:r>
      <w:r w:rsidRPr="00AA617E">
        <w:rPr>
          <w:rFonts w:ascii="Times New Roman" w:eastAsia="方正仿宋_GBK" w:hAnsi="Times New Roman"/>
          <w:sz w:val="32"/>
          <w:szCs w:val="32"/>
        </w:rPr>
        <w:t>30%</w:t>
      </w:r>
      <w:r w:rsidRPr="00AA617E">
        <w:rPr>
          <w:rFonts w:ascii="Times New Roman" w:eastAsia="方正仿宋_GBK" w:hAnsi="Times New Roman"/>
          <w:sz w:val="32"/>
          <w:szCs w:val="32"/>
        </w:rPr>
        <w:t>的标准并非都是</w:t>
      </w:r>
      <w:r w:rsidRPr="00AA617E">
        <w:rPr>
          <w:rFonts w:ascii="Times New Roman" w:eastAsia="方正仿宋_GBK" w:hAnsi="Times New Roman"/>
          <w:sz w:val="32"/>
          <w:szCs w:val="32"/>
        </w:rPr>
        <w:t>6.18%</w:t>
      </w:r>
      <w:r w:rsidRPr="00AA617E">
        <w:rPr>
          <w:rFonts w:ascii="Times New Roman" w:eastAsia="方正仿宋_GBK" w:hAnsi="Times New Roman"/>
          <w:sz w:val="32"/>
          <w:szCs w:val="32"/>
        </w:rPr>
        <w:t>，不同违约期间的贷款基准利率不尽相同，即便如此也该分段计算。</w:t>
      </w:r>
    </w:p>
    <w:p w:rsidR="00645401" w:rsidRPr="00AA617E" w:rsidRDefault="00645401" w:rsidP="00645401">
      <w:pPr>
        <w:spacing w:line="600" w:lineRule="exact"/>
        <w:rPr>
          <w:rFonts w:ascii="Times New Roman" w:eastAsia="方正仿宋_GBK" w:hAnsi="Times New Roman"/>
          <w:sz w:val="32"/>
          <w:szCs w:val="32"/>
        </w:rPr>
      </w:pPr>
      <w:r w:rsidRPr="00AA617E">
        <w:rPr>
          <w:rFonts w:ascii="Times New Roman" w:eastAsia="方正仿宋_GBK" w:hAnsi="Times New Roman"/>
          <w:sz w:val="32"/>
          <w:szCs w:val="32"/>
        </w:rPr>
        <w:t xml:space="preserve">　　原告对外融资损失与被告未付款是否有因果关系，是一、二审法院认识不一致的地方，一审认为有因果关系，二审认为无因果关系，因此所得出的损失结论不一，应属理解分歧所致。</w:t>
      </w:r>
    </w:p>
    <w:p w:rsidR="00645401" w:rsidRPr="00AA617E" w:rsidRDefault="00645401" w:rsidP="00645401">
      <w:pPr>
        <w:spacing w:line="600" w:lineRule="exact"/>
        <w:rPr>
          <w:rFonts w:ascii="Times New Roman" w:eastAsia="方正仿宋_GBK" w:hAnsi="Times New Roman"/>
          <w:sz w:val="32"/>
          <w:szCs w:val="32"/>
        </w:rPr>
      </w:pPr>
      <w:r w:rsidRPr="00AA617E">
        <w:rPr>
          <w:rFonts w:ascii="Times New Roman" w:eastAsia="方正仿宋_GBK" w:hAnsi="Times New Roman"/>
          <w:sz w:val="32"/>
          <w:szCs w:val="32"/>
        </w:rPr>
        <w:t xml:space="preserve">　　（三）可得利益损失。双方约定被告在原告处购买的机制骨料为甲方</w:t>
      </w:r>
      <w:r w:rsidRPr="00AA617E">
        <w:rPr>
          <w:rFonts w:ascii="Times New Roman" w:eastAsia="方正仿宋_GBK" w:hAnsi="Times New Roman"/>
          <w:sz w:val="32"/>
          <w:szCs w:val="32"/>
        </w:rPr>
        <w:t>C30</w:t>
      </w:r>
      <w:r w:rsidRPr="00AA617E">
        <w:rPr>
          <w:rFonts w:ascii="Times New Roman" w:eastAsia="方正仿宋_GBK" w:hAnsi="Times New Roman"/>
          <w:sz w:val="32"/>
          <w:szCs w:val="32"/>
        </w:rPr>
        <w:t>混凝土及以下等级混凝土实际需求机制砂石骨料总比例的约</w:t>
      </w:r>
      <w:r w:rsidRPr="00AA617E">
        <w:rPr>
          <w:rFonts w:ascii="Times New Roman" w:eastAsia="方正仿宋_GBK" w:hAnsi="Times New Roman"/>
          <w:sz w:val="32"/>
          <w:szCs w:val="32"/>
        </w:rPr>
        <w:t>80%</w:t>
      </w:r>
      <w:r w:rsidRPr="00AA617E">
        <w:rPr>
          <w:rFonts w:ascii="Times New Roman" w:eastAsia="方正仿宋_GBK" w:hAnsi="Times New Roman"/>
          <w:sz w:val="32"/>
          <w:szCs w:val="32"/>
        </w:rPr>
        <w:t>（误差不超过</w:t>
      </w:r>
      <w:r w:rsidRPr="00AA617E">
        <w:rPr>
          <w:rFonts w:ascii="Times New Roman" w:eastAsia="方正仿宋_GBK" w:hAnsi="Times New Roman"/>
          <w:sz w:val="32"/>
          <w:szCs w:val="32"/>
        </w:rPr>
        <w:t>±2%</w:t>
      </w:r>
      <w:r w:rsidRPr="00AA617E">
        <w:rPr>
          <w:rFonts w:ascii="Times New Roman" w:eastAsia="方正仿宋_GBK" w:hAnsi="Times New Roman"/>
          <w:sz w:val="32"/>
          <w:szCs w:val="32"/>
        </w:rPr>
        <w:t>），经双方核对，被告实际所用</w:t>
      </w:r>
      <w:r w:rsidRPr="00AA617E">
        <w:rPr>
          <w:rFonts w:ascii="Times New Roman" w:eastAsia="方正仿宋_GBK" w:hAnsi="Times New Roman"/>
          <w:sz w:val="32"/>
          <w:szCs w:val="32"/>
        </w:rPr>
        <w:t>78%</w:t>
      </w:r>
      <w:r w:rsidRPr="00AA617E">
        <w:rPr>
          <w:rFonts w:ascii="Times New Roman" w:eastAsia="方正仿宋_GBK" w:hAnsi="Times New Roman"/>
          <w:sz w:val="32"/>
          <w:szCs w:val="32"/>
        </w:rPr>
        <w:t>的粗集料为</w:t>
      </w:r>
      <w:r w:rsidRPr="00AA617E">
        <w:rPr>
          <w:rFonts w:ascii="Times New Roman" w:eastAsia="方正仿宋_GBK" w:hAnsi="Times New Roman"/>
          <w:sz w:val="32"/>
          <w:szCs w:val="32"/>
        </w:rPr>
        <w:t>348376.45</w:t>
      </w:r>
      <w:r w:rsidRPr="00AA617E">
        <w:rPr>
          <w:rFonts w:ascii="Times New Roman" w:eastAsia="方正仿宋_GBK" w:hAnsi="Times New Roman"/>
          <w:sz w:val="32"/>
          <w:szCs w:val="32"/>
        </w:rPr>
        <w:t>吨、</w:t>
      </w:r>
      <w:r w:rsidRPr="00AA617E">
        <w:rPr>
          <w:rFonts w:ascii="Times New Roman" w:eastAsia="方正仿宋_GBK" w:hAnsi="Times New Roman"/>
          <w:sz w:val="32"/>
          <w:szCs w:val="32"/>
        </w:rPr>
        <w:t>78%</w:t>
      </w:r>
      <w:r w:rsidRPr="00AA617E">
        <w:rPr>
          <w:rFonts w:ascii="Times New Roman" w:eastAsia="方正仿宋_GBK" w:hAnsi="Times New Roman"/>
          <w:sz w:val="32"/>
          <w:szCs w:val="32"/>
        </w:rPr>
        <w:t>的细集料为</w:t>
      </w:r>
      <w:r w:rsidRPr="00AA617E">
        <w:rPr>
          <w:rFonts w:ascii="Times New Roman" w:eastAsia="方正仿宋_GBK" w:hAnsi="Times New Roman"/>
          <w:sz w:val="32"/>
          <w:szCs w:val="32"/>
        </w:rPr>
        <w:t>292715.73</w:t>
      </w:r>
      <w:r w:rsidRPr="00AA617E">
        <w:rPr>
          <w:rFonts w:ascii="Times New Roman" w:eastAsia="方正仿宋_GBK" w:hAnsi="Times New Roman"/>
          <w:sz w:val="32"/>
          <w:szCs w:val="32"/>
        </w:rPr>
        <w:t>吨。现原告实际供应的粗集料为</w:t>
      </w:r>
      <w:r w:rsidRPr="00AA617E">
        <w:rPr>
          <w:rFonts w:ascii="Times New Roman" w:eastAsia="方正仿宋_GBK" w:hAnsi="Times New Roman"/>
          <w:sz w:val="32"/>
          <w:szCs w:val="32"/>
        </w:rPr>
        <w:t>268772.29</w:t>
      </w:r>
      <w:r w:rsidRPr="00AA617E">
        <w:rPr>
          <w:rFonts w:ascii="Times New Roman" w:eastAsia="方正仿宋_GBK" w:hAnsi="Times New Roman"/>
          <w:sz w:val="32"/>
          <w:szCs w:val="32"/>
        </w:rPr>
        <w:t>吨、细集料为</w:t>
      </w:r>
      <w:r w:rsidRPr="00AA617E">
        <w:rPr>
          <w:rFonts w:ascii="Times New Roman" w:eastAsia="方正仿宋_GBK" w:hAnsi="Times New Roman"/>
          <w:sz w:val="32"/>
          <w:szCs w:val="32"/>
        </w:rPr>
        <w:t>203361.54</w:t>
      </w:r>
      <w:r w:rsidRPr="00AA617E">
        <w:rPr>
          <w:rFonts w:ascii="Times New Roman" w:eastAsia="方正仿宋_GBK" w:hAnsi="Times New Roman"/>
          <w:sz w:val="32"/>
          <w:szCs w:val="32"/>
        </w:rPr>
        <w:t>吨</w:t>
      </w:r>
      <w:r w:rsidRPr="00AA617E">
        <w:rPr>
          <w:rFonts w:ascii="Times New Roman" w:eastAsia="方正仿宋_GBK" w:hAnsi="Times New Roman"/>
          <w:sz w:val="32"/>
          <w:szCs w:val="32"/>
        </w:rPr>
        <w:t>,</w:t>
      </w:r>
      <w:r w:rsidRPr="00AA617E">
        <w:rPr>
          <w:rFonts w:ascii="Times New Roman" w:eastAsia="方正仿宋_GBK" w:hAnsi="Times New Roman"/>
          <w:sz w:val="32"/>
          <w:szCs w:val="32"/>
        </w:rPr>
        <w:t>故杨家湾砂石厂比最少应供货数量少供的货物为：粗集料为</w:t>
      </w:r>
      <w:r w:rsidRPr="00AA617E">
        <w:rPr>
          <w:rFonts w:ascii="Times New Roman" w:eastAsia="方正仿宋_GBK" w:hAnsi="Times New Roman"/>
          <w:sz w:val="32"/>
          <w:szCs w:val="32"/>
        </w:rPr>
        <w:t>348376.45—268772.29=79604.25</w:t>
      </w:r>
      <w:r w:rsidRPr="00AA617E">
        <w:rPr>
          <w:rFonts w:ascii="Times New Roman" w:eastAsia="方正仿宋_GBK" w:hAnsi="Times New Roman"/>
          <w:sz w:val="32"/>
          <w:szCs w:val="32"/>
        </w:rPr>
        <w:t>（吨）、细集料为</w:t>
      </w:r>
      <w:r w:rsidRPr="00AA617E">
        <w:rPr>
          <w:rFonts w:ascii="Times New Roman" w:eastAsia="方正仿宋_GBK" w:hAnsi="Times New Roman"/>
          <w:sz w:val="32"/>
          <w:szCs w:val="32"/>
        </w:rPr>
        <w:t>292715.73—203361.54=89354.19</w:t>
      </w:r>
      <w:r w:rsidRPr="00AA617E">
        <w:rPr>
          <w:rFonts w:ascii="Times New Roman" w:eastAsia="方正仿宋_GBK" w:hAnsi="Times New Roman"/>
          <w:sz w:val="32"/>
          <w:szCs w:val="32"/>
        </w:rPr>
        <w:t>（吨）。少供货物占最少应供货物比例为（</w:t>
      </w:r>
      <w:r w:rsidRPr="00AA617E">
        <w:rPr>
          <w:rFonts w:ascii="Times New Roman" w:eastAsia="方正仿宋_GBK" w:hAnsi="Times New Roman"/>
          <w:sz w:val="32"/>
          <w:szCs w:val="32"/>
        </w:rPr>
        <w:t>79604.25+89354.19</w:t>
      </w:r>
      <w:r w:rsidRPr="00AA617E">
        <w:rPr>
          <w:rFonts w:ascii="Times New Roman" w:eastAsia="方正仿宋_GBK" w:hAnsi="Times New Roman"/>
          <w:sz w:val="32"/>
          <w:szCs w:val="32"/>
        </w:rPr>
        <w:t>）</w:t>
      </w:r>
      <w:r w:rsidRPr="00AA617E">
        <w:rPr>
          <w:rFonts w:ascii="Times New Roman" w:eastAsia="方正仿宋_GBK" w:hAnsi="Times New Roman"/>
          <w:sz w:val="32"/>
          <w:szCs w:val="32"/>
        </w:rPr>
        <w:t>÷</w:t>
      </w:r>
      <w:r w:rsidRPr="00AA617E">
        <w:rPr>
          <w:rFonts w:ascii="Times New Roman" w:eastAsia="方正仿宋_GBK" w:hAnsi="Times New Roman"/>
          <w:sz w:val="32"/>
          <w:szCs w:val="32"/>
        </w:rPr>
        <w:t>（</w:t>
      </w:r>
      <w:r w:rsidRPr="00AA617E">
        <w:rPr>
          <w:rFonts w:ascii="Times New Roman" w:eastAsia="方正仿宋_GBK" w:hAnsi="Times New Roman"/>
          <w:sz w:val="32"/>
          <w:szCs w:val="32"/>
        </w:rPr>
        <w:t>348376.45+292715.73</w:t>
      </w:r>
      <w:r w:rsidRPr="00AA617E">
        <w:rPr>
          <w:rFonts w:ascii="Times New Roman" w:eastAsia="方正仿宋_GBK" w:hAnsi="Times New Roman"/>
          <w:sz w:val="32"/>
          <w:szCs w:val="32"/>
        </w:rPr>
        <w:t>）</w:t>
      </w:r>
      <w:r w:rsidRPr="00AA617E">
        <w:rPr>
          <w:rFonts w:ascii="Times New Roman" w:eastAsia="方正仿宋_GBK" w:hAnsi="Times New Roman"/>
          <w:sz w:val="32"/>
          <w:szCs w:val="32"/>
        </w:rPr>
        <w:t>=26.35%</w:t>
      </w:r>
      <w:r w:rsidRPr="00AA617E">
        <w:rPr>
          <w:rFonts w:ascii="Times New Roman" w:eastAsia="方正仿宋_GBK" w:hAnsi="Times New Roman"/>
          <w:sz w:val="32"/>
          <w:szCs w:val="32"/>
        </w:rPr>
        <w:t>（其中粗集料少供</w:t>
      </w:r>
      <w:r w:rsidRPr="00AA617E">
        <w:rPr>
          <w:rFonts w:ascii="Times New Roman" w:eastAsia="方正仿宋_GBK" w:hAnsi="Times New Roman"/>
          <w:sz w:val="32"/>
          <w:szCs w:val="32"/>
        </w:rPr>
        <w:t>22.85%</w:t>
      </w:r>
      <w:r w:rsidRPr="00AA617E">
        <w:rPr>
          <w:rFonts w:ascii="Times New Roman" w:eastAsia="方正仿宋_GBK" w:hAnsi="Times New Roman"/>
          <w:sz w:val="32"/>
          <w:szCs w:val="32"/>
        </w:rPr>
        <w:t>，</w:t>
      </w:r>
      <w:r w:rsidRPr="00AA617E">
        <w:rPr>
          <w:rFonts w:ascii="Times New Roman" w:eastAsia="方正仿宋_GBK" w:hAnsi="Times New Roman"/>
          <w:sz w:val="32"/>
          <w:szCs w:val="32"/>
        </w:rPr>
        <w:lastRenderedPageBreak/>
        <w:t>细集料少供</w:t>
      </w:r>
      <w:r w:rsidRPr="00AA617E">
        <w:rPr>
          <w:rFonts w:ascii="Times New Roman" w:eastAsia="方正仿宋_GBK" w:hAnsi="Times New Roman"/>
          <w:sz w:val="32"/>
          <w:szCs w:val="32"/>
        </w:rPr>
        <w:t>30.53%</w:t>
      </w:r>
      <w:r w:rsidRPr="00AA617E">
        <w:rPr>
          <w:rFonts w:ascii="Times New Roman" w:eastAsia="方正仿宋_GBK" w:hAnsi="Times New Roman"/>
          <w:sz w:val="32"/>
          <w:szCs w:val="32"/>
        </w:rPr>
        <w:t>）。被告未按约在原告处购货，失约行为近</w:t>
      </w:r>
      <w:r w:rsidRPr="00AA617E">
        <w:rPr>
          <w:rFonts w:ascii="Times New Roman" w:eastAsia="方正仿宋_GBK" w:hAnsi="Times New Roman"/>
          <w:sz w:val="32"/>
          <w:szCs w:val="32"/>
        </w:rPr>
        <w:t>30%</w:t>
      </w:r>
      <w:r w:rsidRPr="00AA617E">
        <w:rPr>
          <w:rFonts w:ascii="Times New Roman" w:eastAsia="方正仿宋_GBK" w:hAnsi="Times New Roman"/>
          <w:sz w:val="32"/>
          <w:szCs w:val="32"/>
        </w:rPr>
        <w:t>，该行为显属违约，一审参照杨家湾砂石厂在投标文件中所载明的利润（粗集料</w:t>
      </w:r>
      <w:r w:rsidRPr="00AA617E">
        <w:rPr>
          <w:rFonts w:ascii="Times New Roman" w:eastAsia="方正仿宋_GBK" w:hAnsi="Times New Roman"/>
          <w:sz w:val="32"/>
          <w:szCs w:val="32"/>
        </w:rPr>
        <w:t>0.9</w:t>
      </w:r>
      <w:r w:rsidRPr="00AA617E">
        <w:rPr>
          <w:rFonts w:ascii="Times New Roman" w:eastAsia="方正仿宋_GBK" w:hAnsi="Times New Roman"/>
          <w:sz w:val="32"/>
          <w:szCs w:val="32"/>
        </w:rPr>
        <w:t>元</w:t>
      </w:r>
      <w:r w:rsidRPr="00AA617E">
        <w:rPr>
          <w:rFonts w:ascii="Times New Roman" w:eastAsia="方正仿宋_GBK" w:hAnsi="Times New Roman"/>
          <w:sz w:val="32"/>
          <w:szCs w:val="32"/>
        </w:rPr>
        <w:t>/</w:t>
      </w:r>
      <w:r w:rsidRPr="00AA617E">
        <w:rPr>
          <w:rFonts w:ascii="Times New Roman" w:eastAsia="方正仿宋_GBK" w:hAnsi="Times New Roman"/>
          <w:sz w:val="32"/>
          <w:szCs w:val="32"/>
        </w:rPr>
        <w:t>吨、细集料</w:t>
      </w:r>
      <w:r w:rsidRPr="00AA617E">
        <w:rPr>
          <w:rFonts w:ascii="Times New Roman" w:eastAsia="方正仿宋_GBK" w:hAnsi="Times New Roman"/>
          <w:sz w:val="32"/>
          <w:szCs w:val="32"/>
        </w:rPr>
        <w:t>3.9</w:t>
      </w:r>
      <w:r w:rsidRPr="00AA617E">
        <w:rPr>
          <w:rFonts w:ascii="Times New Roman" w:eastAsia="方正仿宋_GBK" w:hAnsi="Times New Roman"/>
          <w:sz w:val="32"/>
          <w:szCs w:val="32"/>
        </w:rPr>
        <w:t>元</w:t>
      </w:r>
      <w:r w:rsidRPr="00AA617E">
        <w:rPr>
          <w:rFonts w:ascii="Times New Roman" w:eastAsia="方正仿宋_GBK" w:hAnsi="Times New Roman"/>
          <w:sz w:val="32"/>
          <w:szCs w:val="32"/>
        </w:rPr>
        <w:t>/</w:t>
      </w:r>
      <w:r w:rsidRPr="00AA617E">
        <w:rPr>
          <w:rFonts w:ascii="Times New Roman" w:eastAsia="方正仿宋_GBK" w:hAnsi="Times New Roman"/>
          <w:sz w:val="32"/>
          <w:szCs w:val="32"/>
        </w:rPr>
        <w:t>吨）计算其可得利益损失为</w:t>
      </w:r>
      <w:r w:rsidRPr="00AA617E">
        <w:rPr>
          <w:rFonts w:ascii="Times New Roman" w:eastAsia="方正仿宋_GBK" w:hAnsi="Times New Roman"/>
          <w:sz w:val="32"/>
          <w:szCs w:val="32"/>
        </w:rPr>
        <w:t>79604.25×0.9+89354.19×3.9=420125.17</w:t>
      </w:r>
      <w:r w:rsidRPr="00AA617E">
        <w:rPr>
          <w:rFonts w:ascii="Times New Roman" w:eastAsia="方正仿宋_GBK" w:hAnsi="Times New Roman"/>
          <w:sz w:val="32"/>
          <w:szCs w:val="32"/>
        </w:rPr>
        <w:t>（元）并无不当。对于每吨集料可得利益，双方在签订合同时均是明知的。</w:t>
      </w:r>
    </w:p>
    <w:p w:rsidR="00645401" w:rsidRPr="00AA617E" w:rsidRDefault="00645401" w:rsidP="00645401">
      <w:pPr>
        <w:spacing w:line="600" w:lineRule="exact"/>
        <w:rPr>
          <w:rFonts w:ascii="Times New Roman" w:eastAsia="方正仿宋_GBK" w:hAnsi="Times New Roman"/>
          <w:sz w:val="32"/>
          <w:szCs w:val="32"/>
        </w:rPr>
      </w:pPr>
      <w:r w:rsidRPr="00AA617E">
        <w:rPr>
          <w:rFonts w:ascii="Times New Roman" w:eastAsia="方正仿宋_GBK" w:hAnsi="Times New Roman"/>
          <w:sz w:val="32"/>
          <w:szCs w:val="32"/>
        </w:rPr>
        <w:t xml:space="preserve">　　二审认定的</w:t>
      </w:r>
      <w:r w:rsidRPr="00AA617E">
        <w:rPr>
          <w:rFonts w:ascii="Times New Roman" w:eastAsia="方正仿宋_GBK" w:hAnsi="Times New Roman"/>
          <w:sz w:val="32"/>
          <w:szCs w:val="32"/>
        </w:rPr>
        <w:t>“</w:t>
      </w:r>
      <w:r w:rsidRPr="00AA617E">
        <w:rPr>
          <w:rFonts w:ascii="Times New Roman" w:eastAsia="方正仿宋_GBK" w:hAnsi="Times New Roman"/>
          <w:sz w:val="32"/>
          <w:szCs w:val="32"/>
        </w:rPr>
        <w:t>双方在买卖合同未约定买方必须保证砂石需要数量</w:t>
      </w:r>
      <w:r w:rsidRPr="00AA617E">
        <w:rPr>
          <w:rFonts w:ascii="Times New Roman" w:eastAsia="方正仿宋_GBK" w:hAnsi="Times New Roman"/>
          <w:sz w:val="32"/>
          <w:szCs w:val="32"/>
        </w:rPr>
        <w:t>”</w:t>
      </w:r>
      <w:r w:rsidRPr="00AA617E">
        <w:rPr>
          <w:rFonts w:ascii="Times New Roman" w:eastAsia="方正仿宋_GBK" w:hAnsi="Times New Roman"/>
          <w:sz w:val="32"/>
          <w:szCs w:val="32"/>
        </w:rPr>
        <w:t>与合同约定</w:t>
      </w:r>
      <w:r w:rsidRPr="00AA617E">
        <w:rPr>
          <w:rFonts w:ascii="Times New Roman" w:eastAsia="方正仿宋_GBK" w:hAnsi="Times New Roman"/>
          <w:sz w:val="32"/>
          <w:szCs w:val="32"/>
        </w:rPr>
        <w:t>“</w:t>
      </w:r>
      <w:r w:rsidRPr="00AA617E">
        <w:rPr>
          <w:rFonts w:ascii="Times New Roman" w:eastAsia="方正仿宋_GBK" w:hAnsi="Times New Roman"/>
          <w:sz w:val="32"/>
          <w:szCs w:val="32"/>
        </w:rPr>
        <w:t>甲方从乙方采购机制骨料比例，为甲方</w:t>
      </w:r>
      <w:r w:rsidRPr="00AA617E">
        <w:rPr>
          <w:rFonts w:ascii="Times New Roman" w:eastAsia="方正仿宋_GBK" w:hAnsi="Times New Roman"/>
          <w:sz w:val="32"/>
          <w:szCs w:val="32"/>
        </w:rPr>
        <w:t>C30</w:t>
      </w:r>
      <w:r w:rsidRPr="00AA617E">
        <w:rPr>
          <w:rFonts w:ascii="Times New Roman" w:eastAsia="方正仿宋_GBK" w:hAnsi="Times New Roman"/>
          <w:sz w:val="32"/>
          <w:szCs w:val="32"/>
        </w:rPr>
        <w:t>混凝土及以下等级混凝土实际需求机制砂石骨料总比例的约</w:t>
      </w:r>
      <w:r w:rsidRPr="00AA617E">
        <w:rPr>
          <w:rFonts w:ascii="Times New Roman" w:eastAsia="方正仿宋_GBK" w:hAnsi="Times New Roman"/>
          <w:sz w:val="32"/>
          <w:szCs w:val="32"/>
        </w:rPr>
        <w:t>80%</w:t>
      </w:r>
      <w:r w:rsidRPr="00AA617E">
        <w:rPr>
          <w:rFonts w:ascii="Times New Roman" w:eastAsia="方正仿宋_GBK" w:hAnsi="Times New Roman"/>
          <w:sz w:val="32"/>
          <w:szCs w:val="32"/>
        </w:rPr>
        <w:t>（误差不超过</w:t>
      </w:r>
      <w:r w:rsidRPr="00AA617E">
        <w:rPr>
          <w:rFonts w:ascii="Times New Roman" w:eastAsia="方正仿宋_GBK" w:hAnsi="Times New Roman"/>
          <w:sz w:val="32"/>
          <w:szCs w:val="32"/>
        </w:rPr>
        <w:t>±2%</w:t>
      </w:r>
      <w:r w:rsidRPr="00AA617E">
        <w:rPr>
          <w:rFonts w:ascii="Times New Roman" w:eastAsia="方正仿宋_GBK" w:hAnsi="Times New Roman"/>
          <w:sz w:val="32"/>
          <w:szCs w:val="32"/>
        </w:rPr>
        <w:t>）</w:t>
      </w:r>
      <w:r w:rsidRPr="00AA617E">
        <w:rPr>
          <w:rFonts w:ascii="Times New Roman" w:eastAsia="方正仿宋_GBK" w:hAnsi="Times New Roman"/>
          <w:sz w:val="32"/>
          <w:szCs w:val="32"/>
        </w:rPr>
        <w:t>”</w:t>
      </w:r>
      <w:r w:rsidRPr="00AA617E">
        <w:rPr>
          <w:rFonts w:ascii="Times New Roman" w:eastAsia="方正仿宋_GBK" w:hAnsi="Times New Roman"/>
          <w:sz w:val="32"/>
          <w:szCs w:val="32"/>
        </w:rPr>
        <w:t>不符；认定的</w:t>
      </w:r>
      <w:r w:rsidRPr="00AA617E">
        <w:rPr>
          <w:rFonts w:ascii="Times New Roman" w:eastAsia="方正仿宋_GBK" w:hAnsi="Times New Roman"/>
          <w:sz w:val="32"/>
          <w:szCs w:val="32"/>
        </w:rPr>
        <w:t>“</w:t>
      </w:r>
      <w:r w:rsidRPr="00AA617E">
        <w:rPr>
          <w:rFonts w:ascii="Times New Roman" w:eastAsia="方正仿宋_GBK" w:hAnsi="Times New Roman"/>
          <w:sz w:val="32"/>
          <w:szCs w:val="32"/>
        </w:rPr>
        <w:t>未约定相应的违约责任</w:t>
      </w:r>
      <w:r w:rsidRPr="00AA617E">
        <w:rPr>
          <w:rFonts w:ascii="Times New Roman" w:eastAsia="方正仿宋_GBK" w:hAnsi="Times New Roman"/>
          <w:sz w:val="32"/>
          <w:szCs w:val="32"/>
        </w:rPr>
        <w:t>”</w:t>
      </w:r>
      <w:r w:rsidRPr="00AA617E">
        <w:rPr>
          <w:rFonts w:ascii="Times New Roman" w:eastAsia="方正仿宋_GBK" w:hAnsi="Times New Roman"/>
          <w:sz w:val="32"/>
          <w:szCs w:val="32"/>
        </w:rPr>
        <w:t>与合同约定的</w:t>
      </w:r>
      <w:r w:rsidRPr="00AA617E">
        <w:rPr>
          <w:rFonts w:ascii="Times New Roman" w:eastAsia="方正仿宋_GBK" w:hAnsi="Times New Roman"/>
          <w:sz w:val="32"/>
          <w:szCs w:val="32"/>
        </w:rPr>
        <w:t>“</w:t>
      </w:r>
      <w:r w:rsidRPr="00AA617E">
        <w:rPr>
          <w:rFonts w:ascii="Times New Roman" w:eastAsia="方正仿宋_GBK" w:hAnsi="Times New Roman"/>
          <w:sz w:val="32"/>
          <w:szCs w:val="32"/>
        </w:rPr>
        <w:t>对本合同任何条款的违反，均系违约。违约方应赔偿守约方由此所遭受的所有经济损失</w:t>
      </w:r>
      <w:r w:rsidRPr="00AA617E">
        <w:rPr>
          <w:rFonts w:ascii="Times New Roman" w:eastAsia="方正仿宋_GBK" w:hAnsi="Times New Roman"/>
          <w:sz w:val="32"/>
          <w:szCs w:val="32"/>
        </w:rPr>
        <w:t>”</w:t>
      </w:r>
      <w:r w:rsidRPr="00AA617E">
        <w:rPr>
          <w:rFonts w:ascii="Times New Roman" w:eastAsia="方正仿宋_GBK" w:hAnsi="Times New Roman"/>
          <w:sz w:val="32"/>
          <w:szCs w:val="32"/>
        </w:rPr>
        <w:t>不符。被告未在原告处购货达约定最少总量的</w:t>
      </w:r>
      <w:r w:rsidRPr="00AA617E">
        <w:rPr>
          <w:rFonts w:ascii="Times New Roman" w:eastAsia="方正仿宋_GBK" w:hAnsi="Times New Roman"/>
          <w:sz w:val="32"/>
          <w:szCs w:val="32"/>
        </w:rPr>
        <w:t>26.35%</w:t>
      </w:r>
      <w:r w:rsidRPr="00AA617E">
        <w:rPr>
          <w:rFonts w:ascii="Times New Roman" w:eastAsia="方正仿宋_GBK" w:hAnsi="Times New Roman"/>
          <w:sz w:val="32"/>
          <w:szCs w:val="32"/>
        </w:rPr>
        <w:t>，并非</w:t>
      </w:r>
      <w:r w:rsidRPr="00AA617E">
        <w:rPr>
          <w:rFonts w:ascii="Times New Roman" w:eastAsia="方正仿宋_GBK" w:hAnsi="Times New Roman"/>
          <w:sz w:val="32"/>
          <w:szCs w:val="32"/>
        </w:rPr>
        <w:t>“</w:t>
      </w:r>
      <w:r w:rsidRPr="00AA617E">
        <w:rPr>
          <w:rFonts w:ascii="Times New Roman" w:eastAsia="方正仿宋_GBK" w:hAnsi="Times New Roman"/>
          <w:sz w:val="32"/>
          <w:szCs w:val="32"/>
        </w:rPr>
        <w:t>小部份</w:t>
      </w:r>
      <w:r w:rsidRPr="00AA617E">
        <w:rPr>
          <w:rFonts w:ascii="Times New Roman" w:eastAsia="方正仿宋_GBK" w:hAnsi="Times New Roman"/>
          <w:sz w:val="32"/>
          <w:szCs w:val="32"/>
        </w:rPr>
        <w:t>”</w:t>
      </w:r>
      <w:r w:rsidRPr="00AA617E">
        <w:rPr>
          <w:rFonts w:ascii="Times New Roman" w:eastAsia="方正仿宋_GBK" w:hAnsi="Times New Roman"/>
          <w:sz w:val="32"/>
          <w:szCs w:val="32"/>
        </w:rPr>
        <w:t>。故二审综合认定的</w:t>
      </w:r>
      <w:r w:rsidRPr="00AA617E">
        <w:rPr>
          <w:rFonts w:ascii="Times New Roman" w:eastAsia="方正仿宋_GBK" w:hAnsi="Times New Roman"/>
          <w:sz w:val="32"/>
          <w:szCs w:val="32"/>
        </w:rPr>
        <w:t>“</w:t>
      </w:r>
      <w:r w:rsidRPr="00AA617E">
        <w:rPr>
          <w:rFonts w:ascii="Times New Roman" w:eastAsia="方正仿宋_GBK" w:hAnsi="Times New Roman"/>
          <w:sz w:val="32"/>
          <w:szCs w:val="32"/>
        </w:rPr>
        <w:t>未供应水利水电五工程局建设工程所需的小部分砂石未由杨家湾砂石厂供应，水利水电五工程局并不构成违约行为</w:t>
      </w:r>
      <w:r w:rsidRPr="00AA617E">
        <w:rPr>
          <w:rFonts w:ascii="Times New Roman" w:eastAsia="方正仿宋_GBK" w:hAnsi="Times New Roman"/>
          <w:sz w:val="32"/>
          <w:szCs w:val="32"/>
        </w:rPr>
        <w:t>”</w:t>
      </w:r>
      <w:r w:rsidRPr="00AA617E">
        <w:rPr>
          <w:rFonts w:ascii="Times New Roman" w:eastAsia="方正仿宋_GBK" w:hAnsi="Times New Roman"/>
          <w:sz w:val="32"/>
          <w:szCs w:val="32"/>
        </w:rPr>
        <w:t>不妥，自然所得出的</w:t>
      </w:r>
      <w:r w:rsidRPr="00AA617E">
        <w:rPr>
          <w:rFonts w:ascii="Times New Roman" w:eastAsia="方正仿宋_GBK" w:hAnsi="Times New Roman"/>
          <w:sz w:val="32"/>
          <w:szCs w:val="32"/>
        </w:rPr>
        <w:t>“</w:t>
      </w:r>
      <w:r w:rsidRPr="00AA617E">
        <w:rPr>
          <w:rFonts w:ascii="Times New Roman" w:eastAsia="方正仿宋_GBK" w:hAnsi="Times New Roman"/>
          <w:sz w:val="32"/>
          <w:szCs w:val="32"/>
        </w:rPr>
        <w:t>杨家湾砂石厂并未产生可得利益损失</w:t>
      </w:r>
      <w:r w:rsidRPr="00AA617E">
        <w:rPr>
          <w:rFonts w:ascii="Times New Roman" w:eastAsia="方正仿宋_GBK" w:hAnsi="Times New Roman"/>
          <w:sz w:val="32"/>
          <w:szCs w:val="32"/>
        </w:rPr>
        <w:t>”</w:t>
      </w:r>
      <w:r w:rsidRPr="00AA617E">
        <w:rPr>
          <w:rFonts w:ascii="Times New Roman" w:eastAsia="方正仿宋_GBK" w:hAnsi="Times New Roman"/>
          <w:sz w:val="32"/>
          <w:szCs w:val="32"/>
        </w:rPr>
        <w:t>的结论也不成立，驳回该项请求应属不当。按最少利益计算亦有</w:t>
      </w:r>
      <w:r w:rsidRPr="00AA617E">
        <w:rPr>
          <w:rFonts w:ascii="Times New Roman" w:eastAsia="方正仿宋_GBK" w:hAnsi="Times New Roman"/>
          <w:sz w:val="32"/>
          <w:szCs w:val="32"/>
        </w:rPr>
        <w:t>420125.17</w:t>
      </w:r>
      <w:r w:rsidRPr="00AA617E">
        <w:rPr>
          <w:rFonts w:ascii="Times New Roman" w:eastAsia="方正仿宋_GBK" w:hAnsi="Times New Roman"/>
          <w:sz w:val="32"/>
          <w:szCs w:val="32"/>
        </w:rPr>
        <w:t>元的损失，并非未产生损失。</w:t>
      </w:r>
    </w:p>
    <w:p w:rsidR="00645401" w:rsidRPr="00AA617E" w:rsidRDefault="00645401" w:rsidP="00645401">
      <w:pPr>
        <w:spacing w:line="600" w:lineRule="exact"/>
        <w:rPr>
          <w:rFonts w:ascii="Times New Roman" w:eastAsia="方正仿宋_GBK" w:hAnsi="Times New Roman"/>
          <w:sz w:val="32"/>
          <w:szCs w:val="32"/>
        </w:rPr>
      </w:pPr>
      <w:r w:rsidRPr="00AA617E">
        <w:rPr>
          <w:rFonts w:ascii="Times New Roman" w:eastAsia="方正仿宋_GBK" w:hAnsi="Times New Roman"/>
          <w:sz w:val="32"/>
          <w:szCs w:val="32"/>
        </w:rPr>
        <w:t xml:space="preserve">　　（四）二审未完全查清案情。在一审宣判后的上诉期间，二审开庭审理前，据当事人反馈信息，上诉人（被告）又支付清了一审判决的第一项内容，即</w:t>
      </w:r>
      <w:r w:rsidRPr="00AA617E">
        <w:rPr>
          <w:rFonts w:ascii="Times New Roman" w:eastAsia="方正仿宋_GBK" w:hAnsi="Times New Roman"/>
          <w:sz w:val="32"/>
          <w:szCs w:val="32"/>
        </w:rPr>
        <w:t>“</w:t>
      </w:r>
      <w:r w:rsidRPr="00AA617E">
        <w:rPr>
          <w:rFonts w:ascii="Times New Roman" w:eastAsia="方正仿宋_GBK" w:hAnsi="Times New Roman"/>
          <w:sz w:val="32"/>
          <w:szCs w:val="32"/>
        </w:rPr>
        <w:t>水利水电五工程局给付杨家湾砂石厂货款（含履约保证金、质量保证金、农民工工资</w:t>
      </w:r>
      <w:r w:rsidRPr="00AA617E">
        <w:rPr>
          <w:rFonts w:ascii="Times New Roman" w:eastAsia="方正仿宋_GBK" w:hAnsi="Times New Roman"/>
          <w:sz w:val="32"/>
          <w:szCs w:val="32"/>
        </w:rPr>
        <w:lastRenderedPageBreak/>
        <w:t>保证金和安全风险抵押金）</w:t>
      </w:r>
      <w:r w:rsidRPr="00AA617E">
        <w:rPr>
          <w:rFonts w:ascii="Times New Roman" w:eastAsia="方正仿宋_GBK" w:hAnsi="Times New Roman"/>
          <w:sz w:val="32"/>
          <w:szCs w:val="32"/>
        </w:rPr>
        <w:t>1212059.88</w:t>
      </w:r>
      <w:r w:rsidRPr="00AA617E">
        <w:rPr>
          <w:rFonts w:ascii="Times New Roman" w:eastAsia="方正仿宋_GBK" w:hAnsi="Times New Roman"/>
          <w:sz w:val="32"/>
          <w:szCs w:val="32"/>
        </w:rPr>
        <w:t>元</w:t>
      </w:r>
      <w:r w:rsidRPr="00AA617E">
        <w:rPr>
          <w:rFonts w:ascii="Times New Roman" w:eastAsia="方正仿宋_GBK" w:hAnsi="Times New Roman"/>
          <w:sz w:val="32"/>
          <w:szCs w:val="32"/>
        </w:rPr>
        <w:t>”</w:t>
      </w:r>
      <w:r w:rsidRPr="00AA617E">
        <w:rPr>
          <w:rFonts w:ascii="Times New Roman" w:eastAsia="方正仿宋_GBK" w:hAnsi="Times New Roman"/>
          <w:sz w:val="32"/>
          <w:szCs w:val="32"/>
        </w:rPr>
        <w:t>，如确实已支付，则该项争议标的已不存在，法院无须继续处理此已不存在的争议事项。</w:t>
      </w:r>
    </w:p>
    <w:p w:rsidR="00645401" w:rsidRDefault="00645401" w:rsidP="00645401">
      <w:pPr>
        <w:spacing w:line="600" w:lineRule="exact"/>
        <w:rPr>
          <w:rFonts w:ascii="Times New Roman" w:eastAsia="黑体" w:hAnsi="Times New Roman"/>
          <w:sz w:val="32"/>
          <w:szCs w:val="32"/>
        </w:rPr>
      </w:pPr>
      <w:r w:rsidRPr="00AA617E">
        <w:rPr>
          <w:rFonts w:ascii="Times New Roman" w:eastAsia="方正仿宋_GBK" w:hAnsi="Times New Roman"/>
          <w:sz w:val="32"/>
          <w:szCs w:val="32"/>
        </w:rPr>
        <w:t xml:space="preserve">　　</w:t>
      </w:r>
      <w:r w:rsidRPr="00AA617E">
        <w:rPr>
          <w:rFonts w:ascii="Times New Roman" w:eastAsia="黑体" w:hAnsi="Times New Roman"/>
          <w:sz w:val="32"/>
          <w:szCs w:val="32"/>
        </w:rPr>
        <w:t>二、一审和二审主要分歧</w:t>
      </w:r>
    </w:p>
    <w:p w:rsidR="00645401" w:rsidRDefault="00645401" w:rsidP="00645401">
      <w:pPr>
        <w:spacing w:line="600" w:lineRule="exact"/>
        <w:rPr>
          <w:rFonts w:ascii="Times New Roman" w:eastAsia="黑体" w:hAnsi="Times New Roman"/>
          <w:sz w:val="32"/>
          <w:szCs w:val="32"/>
        </w:rPr>
      </w:pPr>
      <w:r w:rsidRPr="00AA617E">
        <w:rPr>
          <w:rFonts w:ascii="Times New Roman" w:eastAsia="方正仿宋_GBK" w:hAnsi="Times New Roman"/>
          <w:sz w:val="32"/>
          <w:szCs w:val="32"/>
        </w:rPr>
        <w:t>（一）水利水电五工程局应否按月利率</w:t>
      </w:r>
      <w:r w:rsidRPr="00AA617E">
        <w:rPr>
          <w:rFonts w:ascii="Times New Roman" w:eastAsia="方正仿宋_GBK" w:hAnsi="Times New Roman"/>
          <w:sz w:val="32"/>
          <w:szCs w:val="32"/>
        </w:rPr>
        <w:t>2%</w:t>
      </w:r>
      <w:r w:rsidRPr="00AA617E">
        <w:rPr>
          <w:rFonts w:ascii="Times New Roman" w:eastAsia="方正仿宋_GBK" w:hAnsi="Times New Roman"/>
          <w:sz w:val="32"/>
          <w:szCs w:val="32"/>
        </w:rPr>
        <w:t>向杨家湾砂石厂赔偿损失；</w:t>
      </w:r>
    </w:p>
    <w:p w:rsidR="00645401" w:rsidRPr="00AA617E" w:rsidRDefault="00645401" w:rsidP="00645401">
      <w:pPr>
        <w:spacing w:line="600" w:lineRule="exact"/>
        <w:rPr>
          <w:rFonts w:ascii="Times New Roman" w:eastAsia="黑体" w:hAnsi="Times New Roman"/>
          <w:sz w:val="32"/>
          <w:szCs w:val="32"/>
        </w:rPr>
      </w:pPr>
      <w:r w:rsidRPr="00AA617E">
        <w:rPr>
          <w:rFonts w:ascii="Times New Roman" w:eastAsia="方正仿宋_GBK" w:hAnsi="Times New Roman"/>
          <w:sz w:val="32"/>
          <w:szCs w:val="32"/>
        </w:rPr>
        <w:t>（二）水利水电五工程局是否应支付可得利益。</w:t>
      </w:r>
    </w:p>
    <w:p w:rsidR="00645401" w:rsidRPr="00AA617E" w:rsidRDefault="00645401" w:rsidP="00645401">
      <w:pPr>
        <w:spacing w:line="600" w:lineRule="exact"/>
        <w:rPr>
          <w:rFonts w:ascii="Times New Roman" w:eastAsia="方正仿宋_GBK" w:hAnsi="Times New Roman"/>
          <w:sz w:val="32"/>
          <w:szCs w:val="32"/>
        </w:rPr>
      </w:pPr>
      <w:r w:rsidRPr="00AA617E">
        <w:rPr>
          <w:rFonts w:ascii="Times New Roman" w:eastAsia="黑体" w:hAnsi="Times New Roman"/>
          <w:sz w:val="32"/>
          <w:szCs w:val="32"/>
        </w:rPr>
        <w:t>三、二审研究情况</w:t>
      </w:r>
    </w:p>
    <w:p w:rsidR="00645401" w:rsidRPr="00AA617E" w:rsidRDefault="00645401" w:rsidP="00645401">
      <w:pPr>
        <w:spacing w:line="600" w:lineRule="exact"/>
        <w:rPr>
          <w:rFonts w:ascii="Times New Roman" w:eastAsia="方正仿宋_GBK" w:hAnsi="Times New Roman"/>
          <w:sz w:val="32"/>
          <w:szCs w:val="32"/>
        </w:rPr>
      </w:pPr>
      <w:r w:rsidRPr="00AA617E">
        <w:rPr>
          <w:rFonts w:ascii="Times New Roman" w:eastAsia="方正仿宋_GBK" w:hAnsi="Times New Roman"/>
          <w:sz w:val="32"/>
          <w:szCs w:val="32"/>
        </w:rPr>
        <w:t>针对你庭的申辩，经合议答复如下：</w:t>
      </w:r>
    </w:p>
    <w:p w:rsidR="00645401" w:rsidRPr="00AA617E" w:rsidRDefault="00645401" w:rsidP="00645401">
      <w:pPr>
        <w:spacing w:line="600" w:lineRule="exact"/>
        <w:rPr>
          <w:rFonts w:ascii="Times New Roman" w:eastAsia="方正仿宋_GBK" w:hAnsi="Times New Roman"/>
          <w:sz w:val="32"/>
          <w:szCs w:val="32"/>
        </w:rPr>
      </w:pPr>
      <w:r w:rsidRPr="00AA617E">
        <w:rPr>
          <w:rFonts w:ascii="Times New Roman" w:eastAsia="方正仿宋_GBK" w:hAnsi="Times New Roman"/>
          <w:sz w:val="32"/>
          <w:szCs w:val="32"/>
        </w:rPr>
        <w:t>你庭的观点之一，认为合同明确约定，</w:t>
      </w:r>
      <w:r w:rsidRPr="00AA617E">
        <w:rPr>
          <w:rFonts w:ascii="Times New Roman" w:eastAsia="方正仿宋_GBK" w:hAnsi="Times New Roman"/>
          <w:sz w:val="32"/>
          <w:szCs w:val="32"/>
        </w:rPr>
        <w:t>“</w:t>
      </w:r>
      <w:r w:rsidRPr="00AA617E">
        <w:rPr>
          <w:rFonts w:ascii="Times New Roman" w:eastAsia="方正仿宋_GBK" w:hAnsi="Times New Roman"/>
          <w:sz w:val="32"/>
          <w:szCs w:val="32"/>
        </w:rPr>
        <w:t>违约方应赔偿守约方由此所遭受的所有直接经济损失</w:t>
      </w:r>
      <w:r w:rsidRPr="00AA617E">
        <w:rPr>
          <w:rFonts w:ascii="Times New Roman" w:eastAsia="方正仿宋_GBK" w:hAnsi="Times New Roman"/>
          <w:sz w:val="32"/>
          <w:szCs w:val="32"/>
        </w:rPr>
        <w:t>”</w:t>
      </w:r>
      <w:r w:rsidRPr="00AA617E">
        <w:rPr>
          <w:rFonts w:ascii="Times New Roman" w:eastAsia="方正仿宋_GBK" w:hAnsi="Times New Roman"/>
          <w:sz w:val="32"/>
          <w:szCs w:val="32"/>
        </w:rPr>
        <w:t>，所指向的</w:t>
      </w:r>
      <w:r w:rsidRPr="00AA617E">
        <w:rPr>
          <w:rFonts w:ascii="Times New Roman" w:eastAsia="方正仿宋_GBK" w:hAnsi="Times New Roman"/>
          <w:sz w:val="32"/>
          <w:szCs w:val="32"/>
        </w:rPr>
        <w:t>“</w:t>
      </w:r>
      <w:r w:rsidRPr="00AA617E">
        <w:rPr>
          <w:rFonts w:ascii="Times New Roman" w:eastAsia="方正仿宋_GBK" w:hAnsi="Times New Roman"/>
          <w:sz w:val="32"/>
          <w:szCs w:val="32"/>
        </w:rPr>
        <w:t>赔偿经济损失</w:t>
      </w:r>
      <w:r w:rsidRPr="00AA617E">
        <w:rPr>
          <w:rFonts w:ascii="Times New Roman" w:eastAsia="方正仿宋_GBK" w:hAnsi="Times New Roman"/>
          <w:sz w:val="32"/>
          <w:szCs w:val="32"/>
        </w:rPr>
        <w:t>”</w:t>
      </w:r>
      <w:r w:rsidRPr="00AA617E">
        <w:rPr>
          <w:rFonts w:ascii="Times New Roman" w:eastAsia="方正仿宋_GBK" w:hAnsi="Times New Roman"/>
          <w:sz w:val="32"/>
          <w:szCs w:val="32"/>
        </w:rPr>
        <w:t>为包括但不限于逾期付款利息损失，赔偿标准应以填补守约方因违约方的违约行为而造成的合理损失为限，即有多少损失就应赔偿多少损失。该观点是对违约损害赔偿责任的误解。毫无疑问，违约责任的功能是填补损害，水利水电五工程局违约，依法应赔偿杨家湾砂石厂因其违约行为而造成的经济损失，即使没有合同约定，依法亦应赔偿，但应在法律规定的范围之内。杨家湾砂石厂向罗汝钢购买鹅卵石承担违约责任、杨家湾砂石厂向银行贷款并支付贷款利息和高额担保费以及杨家湾砂石厂向民间高额融资而支付高额利息等事实，均系杨家湾砂石厂与第三方之间的法律关系，杨家湾砂石厂为此承担的融资成本及损失，并非水利水电五工程局逾期支付货款的违约行为所造成，二者仅仅存在事实上的联系，但</w:t>
      </w:r>
      <w:r w:rsidRPr="00AA617E">
        <w:rPr>
          <w:rFonts w:ascii="Times New Roman" w:eastAsia="方正仿宋_GBK" w:hAnsi="Times New Roman"/>
          <w:sz w:val="32"/>
          <w:szCs w:val="32"/>
        </w:rPr>
        <w:lastRenderedPageBreak/>
        <w:t>并不构成法律意义上的因果关系。当事人主张的违约损失不能没有限制，法律对当事人无限制的赔偿请求亦不会予以保护，合同法规定的可预见性标准即是对损失界限的规定。杨家湾砂石厂为本案买卖合同的履行进行了融资，但该费用并非买卖合同履行的必要费用，出卖人完全可以利用自有资金，水利水电五工程局逾期付款违约行为所造成的经济损失，现有法律所保护的就是利息损失，且利息足以弥补逾期付款所造成经济损失。且法律对此种损失有明确规定，根据《最高人民法院关于审理买卖合同纠纷案件适用法律问题的解释》第二十四条之规定，买卖合同没有约定逾期付款违约金或者该违约金的计算方法，出卖人以买受人违约为由主张赔偿逾期付款损失的，人民法院可以中国人民银行同期同类人民币贷款基准利率为基础，参照逾期罚息利率标准计算。从法律解释的角度，该条款就是关于赔偿违约损失的规定，以同期同类人民币贷款基准利率参照逾期罚息利率标准计算的，就是资金占用损失。一审法院超出法律规定，酌定杨家湾砂石厂损失的计算标准为月利率</w:t>
      </w:r>
      <w:r w:rsidRPr="00AA617E">
        <w:rPr>
          <w:rFonts w:ascii="Times New Roman" w:eastAsia="方正仿宋_GBK" w:hAnsi="Times New Roman"/>
          <w:sz w:val="32"/>
          <w:szCs w:val="32"/>
        </w:rPr>
        <w:t>2%</w:t>
      </w:r>
      <w:r w:rsidRPr="00AA617E">
        <w:rPr>
          <w:rFonts w:ascii="Times New Roman" w:eastAsia="方正仿宋_GBK" w:hAnsi="Times New Roman"/>
          <w:sz w:val="32"/>
          <w:szCs w:val="32"/>
        </w:rPr>
        <w:t>，无法律依据。</w:t>
      </w:r>
    </w:p>
    <w:p w:rsidR="00645401" w:rsidRPr="00AA617E" w:rsidRDefault="00645401" w:rsidP="00645401">
      <w:pPr>
        <w:spacing w:line="600" w:lineRule="exact"/>
        <w:rPr>
          <w:rFonts w:ascii="Times New Roman" w:eastAsia="方正仿宋_GBK" w:hAnsi="Times New Roman"/>
          <w:sz w:val="32"/>
          <w:szCs w:val="32"/>
        </w:rPr>
      </w:pPr>
      <w:r w:rsidRPr="00AA617E">
        <w:rPr>
          <w:rFonts w:ascii="Times New Roman" w:eastAsia="方正仿宋_GBK" w:hAnsi="Times New Roman"/>
          <w:sz w:val="32"/>
          <w:szCs w:val="32"/>
        </w:rPr>
        <w:t>你庭的观点之二，被告未按约在原告处购货，应赔偿原告可得利益损失。本案系买卖合同法律关系，卖方的交付标的物义务与买方的支付货款义务形成对价义务，本案中，买卖合同未约定买方必须保证砂石需要数量，且未约定相应的违约责任，水利水电五工程局建设工程所需的小部分砂石未由杨家湾砂石厂供应，水利水电五工程局并不构成违约行为，杨</w:t>
      </w:r>
      <w:r w:rsidRPr="00AA617E">
        <w:rPr>
          <w:rFonts w:ascii="Times New Roman" w:eastAsia="方正仿宋_GBK" w:hAnsi="Times New Roman"/>
          <w:sz w:val="32"/>
          <w:szCs w:val="32"/>
        </w:rPr>
        <w:lastRenderedPageBreak/>
        <w:t>家湾砂石厂并未产生可得利益损失，该损失不符合可预见性标准。在此时，原告可能产生的损失仅仅是信赖利益损失，即付出的成本损失，而不是可得利益损失。因此，逾期利息已经足以弥补被告逾期付款所造成损失，在已经判处利息损失的情况下，一审法院又判决水利水电五工程局向杨家湾砂石厂支付可得利益损失，无法律依据。</w:t>
      </w:r>
    </w:p>
    <w:p w:rsidR="00645401" w:rsidRPr="00AA617E" w:rsidRDefault="00645401" w:rsidP="00645401">
      <w:pPr>
        <w:spacing w:line="600" w:lineRule="exact"/>
        <w:rPr>
          <w:rFonts w:ascii="Times New Roman" w:eastAsia="方正仿宋_GBK" w:hAnsi="Times New Roman"/>
          <w:sz w:val="32"/>
          <w:szCs w:val="32"/>
        </w:rPr>
      </w:pPr>
      <w:r w:rsidRPr="00AA617E">
        <w:rPr>
          <w:rFonts w:ascii="Times New Roman" w:eastAsia="方正仿宋_GBK" w:hAnsi="Times New Roman"/>
          <w:sz w:val="32"/>
          <w:szCs w:val="32"/>
        </w:rPr>
        <w:t>另，法院的民事审判并非刑事侦查，一审宣判后的上诉期间，当事人是否偿还欠款，需要当事人陈述及举证，本案二审期间没有相关证据证明欠款偿还的事实，二审法院根据现有证据作出裁判，符合法律规定。</w:t>
      </w:r>
    </w:p>
    <w:p w:rsidR="00645401" w:rsidRPr="00AA617E" w:rsidRDefault="00645401" w:rsidP="00645401">
      <w:pPr>
        <w:spacing w:line="600" w:lineRule="exact"/>
        <w:ind w:firstLineChars="196" w:firstLine="627"/>
        <w:rPr>
          <w:rFonts w:ascii="Times New Roman" w:eastAsia="黑体" w:hAnsi="Times New Roman"/>
          <w:sz w:val="32"/>
          <w:szCs w:val="32"/>
        </w:rPr>
      </w:pPr>
      <w:r w:rsidRPr="00AA617E">
        <w:rPr>
          <w:rFonts w:ascii="Times New Roman" w:eastAsia="黑体" w:hAnsi="Times New Roman"/>
          <w:sz w:val="32"/>
          <w:szCs w:val="32"/>
        </w:rPr>
        <w:t>四、结论</w:t>
      </w:r>
    </w:p>
    <w:p w:rsidR="00645401" w:rsidRPr="00AA617E" w:rsidRDefault="00645401" w:rsidP="00645401">
      <w:pPr>
        <w:spacing w:line="600" w:lineRule="exact"/>
        <w:ind w:firstLineChars="196" w:firstLine="627"/>
        <w:rPr>
          <w:rFonts w:ascii="Times New Roman" w:eastAsia="方正仿宋_GBK" w:hAnsi="Times New Roman"/>
          <w:sz w:val="32"/>
          <w:szCs w:val="32"/>
        </w:rPr>
      </w:pPr>
      <w:r w:rsidRPr="00AA617E">
        <w:rPr>
          <w:rFonts w:ascii="Times New Roman" w:eastAsia="方正仿宋_GBK" w:hAnsi="Times New Roman"/>
          <w:sz w:val="32"/>
          <w:szCs w:val="32"/>
        </w:rPr>
        <w:t>你庭的申辩理由不成立。</w:t>
      </w:r>
    </w:p>
    <w:p w:rsidR="00645401" w:rsidRDefault="00645401" w:rsidP="00645401">
      <w:pPr>
        <w:spacing w:line="600" w:lineRule="exact"/>
        <w:ind w:firstLineChars="196" w:firstLine="627"/>
        <w:rPr>
          <w:rFonts w:ascii="Times New Roman" w:eastAsia="方正仿宋_GBK" w:hAnsi="Times New Roman"/>
          <w:sz w:val="32"/>
          <w:szCs w:val="32"/>
        </w:rPr>
      </w:pPr>
    </w:p>
    <w:p w:rsidR="00645401" w:rsidRPr="00AA617E" w:rsidRDefault="00645401" w:rsidP="00645401">
      <w:pPr>
        <w:spacing w:line="600" w:lineRule="exact"/>
        <w:ind w:firstLineChars="196" w:firstLine="627"/>
        <w:rPr>
          <w:rFonts w:ascii="Times New Roman" w:eastAsia="方正仿宋_GBK" w:hAnsi="Times New Roman"/>
          <w:sz w:val="32"/>
          <w:szCs w:val="32"/>
        </w:rPr>
      </w:pPr>
    </w:p>
    <w:p w:rsidR="00645401" w:rsidRDefault="00672699" w:rsidP="00645401">
      <w:pPr>
        <w:rPr>
          <w:rFonts w:ascii="Times New Roman" w:eastAsia="方正仿宋_GBK" w:hAnsi="Times New Roman"/>
          <w:kern w:val="0"/>
          <w:sz w:val="32"/>
          <w:szCs w:val="32"/>
          <w:lang w:val="zh-CN"/>
        </w:rPr>
      </w:pPr>
      <w:r>
        <w:rPr>
          <w:rFonts w:ascii="Times New Roman" w:eastAsia="方正仿宋_GBK" w:hAnsi="Times New Roman" w:hint="eastAsia"/>
          <w:sz w:val="32"/>
          <w:szCs w:val="32"/>
        </w:rPr>
        <w:t xml:space="preserve">                              </w:t>
      </w:r>
      <w:r w:rsidR="00645401" w:rsidRPr="00AA617E">
        <w:rPr>
          <w:rFonts w:ascii="Times New Roman" w:eastAsia="方正仿宋_GBK" w:hAnsi="Times New Roman"/>
          <w:sz w:val="32"/>
          <w:szCs w:val="32"/>
        </w:rPr>
        <w:t>二〇一九年五月七日</w:t>
      </w:r>
    </w:p>
    <w:p w:rsidR="00645401" w:rsidRDefault="00645401" w:rsidP="0019716F"/>
    <w:sectPr w:rsidR="00645401" w:rsidSect="004F558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270B" w:rsidRDefault="0042270B" w:rsidP="007F1BEC">
      <w:r>
        <w:separator/>
      </w:r>
    </w:p>
  </w:endnote>
  <w:endnote w:type="continuationSeparator" w:id="1">
    <w:p w:rsidR="0042270B" w:rsidRDefault="0042270B" w:rsidP="007F1BE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20002A87" w:usb1="80000000" w:usb2="00000008" w:usb3="00000000" w:csb0="000001FF" w:csb1="00000000"/>
  </w:font>
  <w:font w:name="华文中宋">
    <w:panose1 w:val="02010600040101010101"/>
    <w:charset w:val="86"/>
    <w:family w:val="auto"/>
    <w:pitch w:val="variable"/>
    <w:sig w:usb0="00000287" w:usb1="080F0000" w:usb2="00000010" w:usb3="00000000" w:csb0="0004009F"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E24" w:rsidRDefault="003B6640">
    <w:pPr>
      <w:pStyle w:val="a3"/>
      <w:jc w:val="center"/>
    </w:pPr>
    <w:r>
      <w:fldChar w:fldCharType="begin"/>
    </w:r>
    <w:r w:rsidR="00CD06B7">
      <w:instrText xml:space="preserve"> PAGE   \* MERGEFORMAT </w:instrText>
    </w:r>
    <w:r>
      <w:fldChar w:fldCharType="separate"/>
    </w:r>
    <w:r w:rsidR="00672699" w:rsidRPr="00672699">
      <w:rPr>
        <w:noProof/>
        <w:lang w:val="zh-CN"/>
      </w:rPr>
      <w:t>1</w:t>
    </w:r>
    <w:r>
      <w:fldChar w:fldCharType="end"/>
    </w:r>
  </w:p>
  <w:p w:rsidR="00A64DBE" w:rsidRDefault="0042270B" w:rsidP="00792F81">
    <w:pPr>
      <w:pStyle w:val="a3"/>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0D5" w:rsidRDefault="003B6640">
    <w:pPr>
      <w:pStyle w:val="a3"/>
      <w:jc w:val="center"/>
    </w:pPr>
    <w:r>
      <w:fldChar w:fldCharType="begin"/>
    </w:r>
    <w:r w:rsidR="00CD06B7">
      <w:instrText xml:space="preserve"> PAGE   \* MERGEFORMAT </w:instrText>
    </w:r>
    <w:r>
      <w:fldChar w:fldCharType="separate"/>
    </w:r>
    <w:r w:rsidR="00672699" w:rsidRPr="00672699">
      <w:rPr>
        <w:noProof/>
        <w:lang w:val="zh-CN"/>
      </w:rPr>
      <w:t>6</w:t>
    </w:r>
    <w:r>
      <w:fldChar w:fldCharType="end"/>
    </w:r>
  </w:p>
  <w:p w:rsidR="00A64DBE" w:rsidRDefault="0042270B">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270B" w:rsidRDefault="0042270B" w:rsidP="007F1BEC">
      <w:r>
        <w:separator/>
      </w:r>
    </w:p>
  </w:footnote>
  <w:footnote w:type="continuationSeparator" w:id="1">
    <w:p w:rsidR="0042270B" w:rsidRDefault="0042270B" w:rsidP="007F1BE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9716F"/>
    <w:rsid w:val="0019716F"/>
    <w:rsid w:val="00236469"/>
    <w:rsid w:val="003B6640"/>
    <w:rsid w:val="0042270B"/>
    <w:rsid w:val="004F5587"/>
    <w:rsid w:val="00645401"/>
    <w:rsid w:val="00672699"/>
    <w:rsid w:val="006B4A73"/>
    <w:rsid w:val="006F6056"/>
    <w:rsid w:val="00732600"/>
    <w:rsid w:val="007A14B6"/>
    <w:rsid w:val="007F1BEC"/>
    <w:rsid w:val="00AD1073"/>
    <w:rsid w:val="00CD06B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716F"/>
    <w:pPr>
      <w:widowControl w:val="0"/>
      <w:jc w:val="both"/>
    </w:pPr>
    <w:rPr>
      <w:kern w:val="2"/>
      <w:sz w:val="21"/>
      <w:szCs w:val="22"/>
    </w:rPr>
  </w:style>
  <w:style w:type="paragraph" w:styleId="1">
    <w:name w:val="heading 1"/>
    <w:basedOn w:val="a"/>
    <w:next w:val="a"/>
    <w:link w:val="1Char"/>
    <w:uiPriority w:val="9"/>
    <w:qFormat/>
    <w:rsid w:val="00732600"/>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732600"/>
    <w:rPr>
      <w:b/>
      <w:bCs/>
      <w:kern w:val="44"/>
      <w:sz w:val="44"/>
      <w:szCs w:val="44"/>
    </w:rPr>
  </w:style>
  <w:style w:type="paragraph" w:styleId="10">
    <w:name w:val="toc 1"/>
    <w:basedOn w:val="a"/>
    <w:next w:val="a"/>
    <w:autoRedefine/>
    <w:uiPriority w:val="39"/>
    <w:semiHidden/>
    <w:unhideWhenUsed/>
    <w:qFormat/>
    <w:rsid w:val="00732600"/>
    <w:pPr>
      <w:widowControl/>
      <w:spacing w:after="100" w:line="276" w:lineRule="auto"/>
      <w:jc w:val="left"/>
    </w:pPr>
    <w:rPr>
      <w:kern w:val="0"/>
      <w:sz w:val="22"/>
    </w:rPr>
  </w:style>
  <w:style w:type="paragraph" w:styleId="2">
    <w:name w:val="toc 2"/>
    <w:basedOn w:val="a"/>
    <w:next w:val="a"/>
    <w:autoRedefine/>
    <w:uiPriority w:val="39"/>
    <w:semiHidden/>
    <w:unhideWhenUsed/>
    <w:qFormat/>
    <w:rsid w:val="00732600"/>
    <w:pPr>
      <w:widowControl/>
      <w:spacing w:after="100" w:line="276" w:lineRule="auto"/>
      <w:ind w:left="220"/>
      <w:jc w:val="left"/>
    </w:pPr>
    <w:rPr>
      <w:kern w:val="0"/>
      <w:sz w:val="22"/>
    </w:rPr>
  </w:style>
  <w:style w:type="paragraph" w:styleId="3">
    <w:name w:val="toc 3"/>
    <w:basedOn w:val="a"/>
    <w:next w:val="a"/>
    <w:autoRedefine/>
    <w:uiPriority w:val="39"/>
    <w:semiHidden/>
    <w:unhideWhenUsed/>
    <w:qFormat/>
    <w:rsid w:val="00732600"/>
    <w:pPr>
      <w:widowControl/>
      <w:spacing w:after="100" w:line="276" w:lineRule="auto"/>
      <w:ind w:left="440"/>
      <w:jc w:val="left"/>
    </w:pPr>
    <w:rPr>
      <w:kern w:val="0"/>
      <w:sz w:val="22"/>
    </w:rPr>
  </w:style>
  <w:style w:type="paragraph" w:styleId="a3">
    <w:name w:val="footer"/>
    <w:basedOn w:val="a"/>
    <w:link w:val="Char"/>
    <w:uiPriority w:val="99"/>
    <w:unhideWhenUsed/>
    <w:qFormat/>
    <w:rsid w:val="00732600"/>
    <w:pPr>
      <w:tabs>
        <w:tab w:val="center" w:pos="4153"/>
        <w:tab w:val="right" w:pos="8306"/>
      </w:tabs>
      <w:snapToGrid w:val="0"/>
      <w:jc w:val="left"/>
    </w:pPr>
    <w:rPr>
      <w:kern w:val="0"/>
      <w:sz w:val="18"/>
      <w:szCs w:val="18"/>
    </w:rPr>
  </w:style>
  <w:style w:type="character" w:customStyle="1" w:styleId="Char">
    <w:name w:val="页脚 Char"/>
    <w:basedOn w:val="a0"/>
    <w:link w:val="a3"/>
    <w:uiPriority w:val="99"/>
    <w:qFormat/>
    <w:rsid w:val="00732600"/>
    <w:rPr>
      <w:rFonts w:ascii="Calibri" w:eastAsia="宋体" w:hAnsi="Calibri" w:cs="Times New Roman"/>
      <w:sz w:val="18"/>
      <w:szCs w:val="18"/>
    </w:rPr>
  </w:style>
  <w:style w:type="paragraph" w:styleId="a4">
    <w:name w:val="Plain Text"/>
    <w:basedOn w:val="a"/>
    <w:link w:val="Char0"/>
    <w:uiPriority w:val="99"/>
    <w:qFormat/>
    <w:rsid w:val="00732600"/>
    <w:rPr>
      <w:rFonts w:ascii="宋体" w:hAnsi="Courier New" w:cs="Courier New"/>
      <w:sz w:val="30"/>
      <w:szCs w:val="30"/>
    </w:rPr>
  </w:style>
  <w:style w:type="character" w:customStyle="1" w:styleId="Char0">
    <w:name w:val="纯文本 Char"/>
    <w:basedOn w:val="a0"/>
    <w:link w:val="a4"/>
    <w:uiPriority w:val="99"/>
    <w:qFormat/>
    <w:rsid w:val="00732600"/>
    <w:rPr>
      <w:rFonts w:ascii="宋体" w:hAnsi="Courier New" w:cs="Courier New"/>
      <w:kern w:val="2"/>
      <w:sz w:val="30"/>
      <w:szCs w:val="30"/>
    </w:rPr>
  </w:style>
  <w:style w:type="paragraph" w:styleId="a5">
    <w:name w:val="List Paragraph"/>
    <w:basedOn w:val="a"/>
    <w:uiPriority w:val="34"/>
    <w:unhideWhenUsed/>
    <w:qFormat/>
    <w:rsid w:val="00732600"/>
    <w:pPr>
      <w:ind w:firstLineChars="200" w:firstLine="420"/>
    </w:pPr>
  </w:style>
  <w:style w:type="paragraph" w:styleId="TOC">
    <w:name w:val="TOC Heading"/>
    <w:basedOn w:val="1"/>
    <w:next w:val="a"/>
    <w:uiPriority w:val="39"/>
    <w:semiHidden/>
    <w:unhideWhenUsed/>
    <w:qFormat/>
    <w:rsid w:val="00732600"/>
    <w:pPr>
      <w:widowControl/>
      <w:spacing w:before="480" w:after="0" w:line="276" w:lineRule="auto"/>
      <w:jc w:val="left"/>
      <w:outlineLvl w:val="9"/>
    </w:pPr>
    <w:rPr>
      <w:rFonts w:ascii="Cambria" w:hAnsi="Cambria"/>
      <w:color w:val="365F91"/>
      <w:kern w:val="0"/>
      <w:sz w:val="28"/>
      <w:szCs w:val="28"/>
    </w:rPr>
  </w:style>
  <w:style w:type="paragraph" w:customStyle="1" w:styleId="a6">
    <w:name w:val="司法正文"/>
    <w:link w:val="Char1"/>
    <w:qFormat/>
    <w:rsid w:val="00732600"/>
    <w:pPr>
      <w:widowControl w:val="0"/>
      <w:ind w:firstLineChars="200" w:firstLine="200"/>
      <w:jc w:val="both"/>
    </w:pPr>
    <w:rPr>
      <w:rFonts w:ascii="仿宋" w:eastAsia="仿宋" w:hAnsi="仿宋"/>
      <w:kern w:val="32"/>
      <w:sz w:val="32"/>
      <w:szCs w:val="32"/>
    </w:rPr>
  </w:style>
  <w:style w:type="character" w:customStyle="1" w:styleId="Char1">
    <w:name w:val="司法正文 Char"/>
    <w:link w:val="a6"/>
    <w:rsid w:val="00732600"/>
    <w:rPr>
      <w:rFonts w:ascii="仿宋" w:eastAsia="仿宋" w:hAnsi="仿宋"/>
      <w:kern w:val="32"/>
      <w:sz w:val="32"/>
      <w:szCs w:val="32"/>
    </w:rPr>
  </w:style>
  <w:style w:type="paragraph" w:customStyle="1" w:styleId="Style2">
    <w:name w:val="_Style 2"/>
    <w:basedOn w:val="a"/>
    <w:next w:val="a"/>
    <w:qFormat/>
    <w:rsid w:val="00732600"/>
    <w:pPr>
      <w:pBdr>
        <w:top w:val="single" w:sz="6" w:space="1" w:color="auto"/>
      </w:pBdr>
      <w:jc w:val="center"/>
    </w:pPr>
    <w:rPr>
      <w:rFonts w:ascii="Arial" w:hAnsi="Times New Roman"/>
      <w:vanish/>
      <w:sz w:val="16"/>
    </w:rPr>
  </w:style>
  <w:style w:type="paragraph" w:styleId="a7">
    <w:name w:val="header"/>
    <w:basedOn w:val="a"/>
    <w:link w:val="Char2"/>
    <w:uiPriority w:val="99"/>
    <w:unhideWhenUsed/>
    <w:rsid w:val="00AD1073"/>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7"/>
    <w:uiPriority w:val="99"/>
    <w:rsid w:val="00AD1073"/>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716F"/>
    <w:pPr>
      <w:widowControl w:val="0"/>
      <w:jc w:val="both"/>
    </w:pPr>
    <w:rPr>
      <w:kern w:val="2"/>
      <w:sz w:val="21"/>
      <w:szCs w:val="22"/>
    </w:rPr>
  </w:style>
  <w:style w:type="paragraph" w:styleId="1">
    <w:name w:val="heading 1"/>
    <w:basedOn w:val="a"/>
    <w:next w:val="a"/>
    <w:link w:val="1Char"/>
    <w:uiPriority w:val="9"/>
    <w:qFormat/>
    <w:rsid w:val="00732600"/>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732600"/>
    <w:rPr>
      <w:b/>
      <w:bCs/>
      <w:kern w:val="44"/>
      <w:sz w:val="44"/>
      <w:szCs w:val="44"/>
    </w:rPr>
  </w:style>
  <w:style w:type="paragraph" w:styleId="10">
    <w:name w:val="toc 1"/>
    <w:basedOn w:val="a"/>
    <w:next w:val="a"/>
    <w:autoRedefine/>
    <w:uiPriority w:val="39"/>
    <w:semiHidden/>
    <w:unhideWhenUsed/>
    <w:qFormat/>
    <w:rsid w:val="00732600"/>
    <w:pPr>
      <w:widowControl/>
      <w:spacing w:after="100" w:line="276" w:lineRule="auto"/>
      <w:jc w:val="left"/>
    </w:pPr>
    <w:rPr>
      <w:kern w:val="0"/>
      <w:sz w:val="22"/>
    </w:rPr>
  </w:style>
  <w:style w:type="paragraph" w:styleId="2">
    <w:name w:val="toc 2"/>
    <w:basedOn w:val="a"/>
    <w:next w:val="a"/>
    <w:autoRedefine/>
    <w:uiPriority w:val="39"/>
    <w:semiHidden/>
    <w:unhideWhenUsed/>
    <w:qFormat/>
    <w:rsid w:val="00732600"/>
    <w:pPr>
      <w:widowControl/>
      <w:spacing w:after="100" w:line="276" w:lineRule="auto"/>
      <w:ind w:left="220"/>
      <w:jc w:val="left"/>
    </w:pPr>
    <w:rPr>
      <w:kern w:val="0"/>
      <w:sz w:val="22"/>
    </w:rPr>
  </w:style>
  <w:style w:type="paragraph" w:styleId="3">
    <w:name w:val="toc 3"/>
    <w:basedOn w:val="a"/>
    <w:next w:val="a"/>
    <w:autoRedefine/>
    <w:uiPriority w:val="39"/>
    <w:semiHidden/>
    <w:unhideWhenUsed/>
    <w:qFormat/>
    <w:rsid w:val="00732600"/>
    <w:pPr>
      <w:widowControl/>
      <w:spacing w:after="100" w:line="276" w:lineRule="auto"/>
      <w:ind w:left="440"/>
      <w:jc w:val="left"/>
    </w:pPr>
    <w:rPr>
      <w:kern w:val="0"/>
      <w:sz w:val="22"/>
    </w:rPr>
  </w:style>
  <w:style w:type="paragraph" w:styleId="a3">
    <w:name w:val="footer"/>
    <w:basedOn w:val="a"/>
    <w:link w:val="Char"/>
    <w:uiPriority w:val="99"/>
    <w:unhideWhenUsed/>
    <w:qFormat/>
    <w:rsid w:val="00732600"/>
    <w:pPr>
      <w:tabs>
        <w:tab w:val="center" w:pos="4153"/>
        <w:tab w:val="right" w:pos="8306"/>
      </w:tabs>
      <w:snapToGrid w:val="0"/>
      <w:jc w:val="left"/>
    </w:pPr>
    <w:rPr>
      <w:kern w:val="0"/>
      <w:sz w:val="18"/>
      <w:szCs w:val="18"/>
    </w:rPr>
  </w:style>
  <w:style w:type="character" w:customStyle="1" w:styleId="Char">
    <w:name w:val="页脚 Char"/>
    <w:basedOn w:val="a0"/>
    <w:link w:val="a3"/>
    <w:uiPriority w:val="99"/>
    <w:qFormat/>
    <w:rsid w:val="00732600"/>
    <w:rPr>
      <w:rFonts w:ascii="Calibri" w:eastAsia="宋体" w:hAnsi="Calibri" w:cs="Times New Roman"/>
      <w:sz w:val="18"/>
      <w:szCs w:val="18"/>
    </w:rPr>
  </w:style>
  <w:style w:type="paragraph" w:styleId="a4">
    <w:name w:val="Plain Text"/>
    <w:basedOn w:val="a"/>
    <w:link w:val="Char0"/>
    <w:uiPriority w:val="99"/>
    <w:qFormat/>
    <w:rsid w:val="00732600"/>
    <w:rPr>
      <w:rFonts w:ascii="宋体" w:hAnsi="Courier New" w:cs="Courier New"/>
      <w:sz w:val="30"/>
      <w:szCs w:val="30"/>
    </w:rPr>
  </w:style>
  <w:style w:type="character" w:customStyle="1" w:styleId="Char0">
    <w:name w:val="纯文本 Char"/>
    <w:basedOn w:val="a0"/>
    <w:link w:val="a4"/>
    <w:uiPriority w:val="99"/>
    <w:qFormat/>
    <w:rsid w:val="00732600"/>
    <w:rPr>
      <w:rFonts w:ascii="宋体" w:hAnsi="Courier New" w:cs="Courier New"/>
      <w:kern w:val="2"/>
      <w:sz w:val="30"/>
      <w:szCs w:val="30"/>
    </w:rPr>
  </w:style>
  <w:style w:type="paragraph" w:styleId="a5">
    <w:name w:val="List Paragraph"/>
    <w:basedOn w:val="a"/>
    <w:uiPriority w:val="34"/>
    <w:unhideWhenUsed/>
    <w:qFormat/>
    <w:rsid w:val="00732600"/>
    <w:pPr>
      <w:ind w:firstLineChars="200" w:firstLine="420"/>
    </w:pPr>
  </w:style>
  <w:style w:type="paragraph" w:styleId="TOC">
    <w:name w:val="TOC Heading"/>
    <w:basedOn w:val="1"/>
    <w:next w:val="a"/>
    <w:uiPriority w:val="39"/>
    <w:semiHidden/>
    <w:unhideWhenUsed/>
    <w:qFormat/>
    <w:rsid w:val="00732600"/>
    <w:pPr>
      <w:widowControl/>
      <w:spacing w:before="480" w:after="0" w:line="276" w:lineRule="auto"/>
      <w:jc w:val="left"/>
      <w:outlineLvl w:val="9"/>
    </w:pPr>
    <w:rPr>
      <w:rFonts w:ascii="Cambria" w:hAnsi="Cambria"/>
      <w:color w:val="365F91"/>
      <w:kern w:val="0"/>
      <w:sz w:val="28"/>
      <w:szCs w:val="28"/>
    </w:rPr>
  </w:style>
  <w:style w:type="paragraph" w:customStyle="1" w:styleId="a6">
    <w:name w:val="司法正文"/>
    <w:link w:val="Char1"/>
    <w:qFormat/>
    <w:rsid w:val="00732600"/>
    <w:pPr>
      <w:widowControl w:val="0"/>
      <w:ind w:firstLineChars="200" w:firstLine="200"/>
      <w:jc w:val="both"/>
    </w:pPr>
    <w:rPr>
      <w:rFonts w:ascii="仿宋" w:eastAsia="仿宋" w:hAnsi="仿宋"/>
      <w:kern w:val="32"/>
      <w:sz w:val="32"/>
      <w:szCs w:val="32"/>
    </w:rPr>
  </w:style>
  <w:style w:type="character" w:customStyle="1" w:styleId="Char1">
    <w:name w:val="司法正文 Char"/>
    <w:link w:val="a6"/>
    <w:rsid w:val="00732600"/>
    <w:rPr>
      <w:rFonts w:ascii="仿宋" w:eastAsia="仿宋" w:hAnsi="仿宋"/>
      <w:kern w:val="32"/>
      <w:sz w:val="32"/>
      <w:szCs w:val="32"/>
    </w:rPr>
  </w:style>
  <w:style w:type="paragraph" w:customStyle="1" w:styleId="Style2">
    <w:name w:val="_Style 2"/>
    <w:basedOn w:val="a"/>
    <w:next w:val="a"/>
    <w:qFormat/>
    <w:rsid w:val="00732600"/>
    <w:pPr>
      <w:pBdr>
        <w:top w:val="single" w:sz="6" w:space="1" w:color="auto"/>
      </w:pBdr>
      <w:jc w:val="center"/>
    </w:pPr>
    <w:rPr>
      <w:rFonts w:ascii="Arial" w:hAnsi="Times New Roman"/>
      <w:vanish/>
      <w:sz w:val="16"/>
    </w:rPr>
  </w:style>
  <w:style w:type="paragraph" w:styleId="a7">
    <w:name w:val="header"/>
    <w:basedOn w:val="a"/>
    <w:link w:val="Char2"/>
    <w:uiPriority w:val="99"/>
    <w:unhideWhenUsed/>
    <w:rsid w:val="00AD1073"/>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7"/>
    <w:uiPriority w:val="99"/>
    <w:rsid w:val="00AD1073"/>
    <w:rPr>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21</Pages>
  <Words>1466</Words>
  <Characters>8357</Characters>
  <Application>Microsoft Office Word</Application>
  <DocSecurity>0</DocSecurity>
  <Lines>69</Lines>
  <Paragraphs>19</Paragraphs>
  <ScaleCrop>false</ScaleCrop>
  <Company>Microsoft</Company>
  <LinksUpToDate>false</LinksUpToDate>
  <CharactersWithSpaces>9804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NTKO</cp:lastModifiedBy>
  <cp:revision>3</cp:revision>
  <dcterms:created xsi:type="dcterms:W3CDTF">2019-12-03T02:40:00Z</dcterms:created>
  <dcterms:modified xsi:type="dcterms:W3CDTF">2019-12-03T02:46:00Z</dcterms:modified>
</cp:coreProperties>
</file>