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after="157" w:afterLines="50" w:line="460" w:lineRule="exact"/>
        <w:jc w:val="center"/>
        <w:textAlignment w:val="auto"/>
        <w:outlineLvl w:val="9"/>
        <w:rPr>
          <w:rFonts w:hint="eastAsia" w:ascii="仿宋" w:hAnsi="仿宋" w:eastAsia="仿宋" w:cs="仿宋"/>
          <w:b/>
          <w:sz w:val="36"/>
          <w:szCs w:val="36"/>
          <w:lang w:val="en-US" w:eastAsia="zh-CN"/>
        </w:rPr>
      </w:pPr>
      <w:bookmarkStart w:id="0" w:name="_GoBack"/>
      <w:r>
        <w:rPr>
          <w:rFonts w:hint="eastAsia" w:ascii="仿宋" w:hAnsi="仿宋" w:eastAsia="仿宋" w:cs="仿宋"/>
          <w:b/>
          <w:sz w:val="36"/>
          <w:szCs w:val="36"/>
          <w:lang w:val="en-US" w:eastAsia="zh-CN"/>
        </w:rPr>
        <w:t>重庆市第三中级人民法院</w:t>
      </w:r>
    </w:p>
    <w:p>
      <w:pPr>
        <w:keepNext w:val="0"/>
        <w:keepLines w:val="0"/>
        <w:pageBreakBefore w:val="0"/>
        <w:widowControl w:val="0"/>
        <w:kinsoku/>
        <w:wordWrap/>
        <w:overflowPunct/>
        <w:topLinePunct w:val="0"/>
        <w:bidi w:val="0"/>
        <w:spacing w:after="157" w:afterLines="50" w:line="460" w:lineRule="exact"/>
        <w:jc w:val="center"/>
        <w:textAlignment w:val="auto"/>
        <w:outlineLvl w:val="9"/>
        <w:rPr>
          <w:rFonts w:hint="eastAsia" w:ascii="仿宋" w:hAnsi="仿宋" w:eastAsia="仿宋" w:cs="仿宋"/>
          <w:b/>
          <w:sz w:val="28"/>
          <w:szCs w:val="28"/>
        </w:rPr>
      </w:pPr>
      <w:r>
        <w:rPr>
          <w:rFonts w:hint="eastAsia" w:ascii="仿宋" w:hAnsi="仿宋" w:eastAsia="仿宋" w:cs="仿宋"/>
          <w:b/>
          <w:sz w:val="28"/>
          <w:szCs w:val="28"/>
        </w:rPr>
        <w:t>民一条线发改案件问题汇总</w:t>
      </w:r>
    </w:p>
    <w:p>
      <w:pPr>
        <w:keepNext w:val="0"/>
        <w:keepLines w:val="0"/>
        <w:pageBreakBefore w:val="0"/>
        <w:widowControl w:val="0"/>
        <w:kinsoku/>
        <w:wordWrap/>
        <w:overflowPunct/>
        <w:topLinePunct w:val="0"/>
        <w:bidi w:val="0"/>
        <w:spacing w:after="157" w:afterLines="50" w:line="460" w:lineRule="exact"/>
        <w:jc w:val="center"/>
        <w:textAlignment w:val="auto"/>
        <w:outlineLvl w:val="9"/>
        <w:rPr>
          <w:rFonts w:hint="eastAsia" w:ascii="仿宋" w:hAnsi="仿宋" w:eastAsia="仿宋" w:cs="仿宋"/>
          <w:b/>
          <w:sz w:val="28"/>
          <w:szCs w:val="28"/>
        </w:rPr>
      </w:pPr>
      <w:r>
        <w:rPr>
          <w:rFonts w:hint="eastAsia" w:ascii="仿宋" w:hAnsi="仿宋" w:eastAsia="仿宋" w:cs="仿宋"/>
          <w:kern w:val="0"/>
          <w:sz w:val="28"/>
          <w:szCs w:val="28"/>
        </w:rPr>
        <w:t>（结案</w:t>
      </w:r>
      <w:r>
        <w:rPr>
          <w:rFonts w:hint="eastAsia" w:ascii="仿宋" w:hAnsi="仿宋" w:eastAsia="仿宋" w:cs="仿宋"/>
          <w:kern w:val="0"/>
          <w:sz w:val="28"/>
          <w:szCs w:val="28"/>
          <w:lang w:val="en-US" w:eastAsia="zh-CN"/>
        </w:rPr>
        <w:t>年度</w:t>
      </w:r>
      <w:r>
        <w:rPr>
          <w:rFonts w:hint="eastAsia" w:ascii="仿宋" w:hAnsi="仿宋" w:eastAsia="仿宋" w:cs="仿宋"/>
          <w:kern w:val="0"/>
          <w:sz w:val="28"/>
          <w:szCs w:val="28"/>
        </w:rPr>
        <w:t>：2018年）</w:t>
      </w:r>
    </w:p>
    <w:p>
      <w:pPr>
        <w:keepNext w:val="0"/>
        <w:keepLines w:val="0"/>
        <w:pageBreakBefore w:val="0"/>
        <w:widowControl w:val="0"/>
        <w:kinsoku/>
        <w:wordWrap/>
        <w:overflowPunct/>
        <w:topLinePunct w:val="0"/>
        <w:bidi w:val="0"/>
        <w:spacing w:after="157" w:afterLines="50" w:line="460" w:lineRule="exact"/>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 xml:space="preserve">     一、总体情况</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2018年1月1日—2018年</w:t>
      </w:r>
      <w:r>
        <w:rPr>
          <w:rFonts w:hint="eastAsia" w:ascii="仿宋" w:hAnsi="仿宋" w:eastAsia="仿宋" w:cs="仿宋"/>
          <w:sz w:val="28"/>
          <w:szCs w:val="28"/>
          <w:lang w:val="en-US" w:eastAsia="zh-CN"/>
        </w:rPr>
        <w:t>12</w:t>
      </w:r>
      <w:r>
        <w:rPr>
          <w:rFonts w:hint="eastAsia" w:ascii="仿宋" w:hAnsi="仿宋" w:eastAsia="仿宋" w:cs="仿宋"/>
          <w:sz w:val="28"/>
          <w:szCs w:val="28"/>
        </w:rPr>
        <w:t>月31日，重庆市第三中级人民法院民一条线共结二审案件</w:t>
      </w:r>
      <w:r>
        <w:rPr>
          <w:rFonts w:hint="eastAsia" w:ascii="仿宋" w:hAnsi="仿宋" w:eastAsia="仿宋" w:cs="仿宋"/>
          <w:sz w:val="28"/>
          <w:szCs w:val="28"/>
          <w:lang w:val="en-US" w:eastAsia="zh-CN"/>
        </w:rPr>
        <w:t>916</w:t>
      </w:r>
      <w:r>
        <w:rPr>
          <w:rFonts w:hint="eastAsia" w:ascii="仿宋" w:hAnsi="仿宋" w:eastAsia="仿宋" w:cs="仿宋"/>
          <w:sz w:val="28"/>
          <w:szCs w:val="28"/>
        </w:rPr>
        <w:t>件，发改案件</w:t>
      </w:r>
      <w:r>
        <w:rPr>
          <w:rFonts w:hint="eastAsia" w:ascii="仿宋" w:hAnsi="仿宋" w:eastAsia="仿宋" w:cs="仿宋"/>
          <w:sz w:val="28"/>
          <w:szCs w:val="28"/>
          <w:lang w:val="en-US" w:eastAsia="zh-CN"/>
        </w:rPr>
        <w:t>160</w:t>
      </w:r>
      <w:r>
        <w:rPr>
          <w:rFonts w:hint="eastAsia" w:ascii="仿宋" w:hAnsi="仿宋" w:eastAsia="仿宋" w:cs="仿宋"/>
          <w:sz w:val="28"/>
          <w:szCs w:val="28"/>
        </w:rPr>
        <w:t>件（</w:t>
      </w:r>
      <w:r>
        <w:rPr>
          <w:rFonts w:hint="eastAsia" w:ascii="仿宋" w:hAnsi="仿宋" w:eastAsia="仿宋" w:cs="仿宋"/>
          <w:sz w:val="28"/>
          <w:szCs w:val="28"/>
          <w:lang w:val="en-US" w:eastAsia="zh-CN"/>
        </w:rPr>
        <w:t>改判143件</w:t>
      </w:r>
      <w:r>
        <w:rPr>
          <w:rFonts w:hint="eastAsia" w:ascii="仿宋" w:hAnsi="仿宋" w:eastAsia="仿宋" w:cs="仿宋"/>
          <w:sz w:val="28"/>
          <w:szCs w:val="28"/>
        </w:rPr>
        <w:t>，发回重审</w:t>
      </w:r>
      <w:r>
        <w:rPr>
          <w:rFonts w:hint="eastAsia" w:ascii="仿宋" w:hAnsi="仿宋" w:eastAsia="仿宋" w:cs="仿宋"/>
          <w:sz w:val="28"/>
          <w:szCs w:val="28"/>
          <w:lang w:val="en-US" w:eastAsia="zh-CN"/>
        </w:rPr>
        <w:t>14</w:t>
      </w:r>
      <w:r>
        <w:rPr>
          <w:rFonts w:hint="eastAsia" w:ascii="仿宋" w:hAnsi="仿宋" w:eastAsia="仿宋" w:cs="仿宋"/>
          <w:sz w:val="28"/>
          <w:szCs w:val="28"/>
        </w:rPr>
        <w:t>件，撤销原判并驳回起诉</w:t>
      </w:r>
      <w:r>
        <w:rPr>
          <w:rFonts w:hint="eastAsia" w:ascii="仿宋" w:hAnsi="仿宋" w:eastAsia="仿宋" w:cs="仿宋"/>
          <w:sz w:val="28"/>
          <w:szCs w:val="28"/>
          <w:lang w:val="en-US" w:eastAsia="zh-CN"/>
        </w:rPr>
        <w:t>2</w:t>
      </w:r>
      <w:r>
        <w:rPr>
          <w:rFonts w:hint="eastAsia" w:ascii="仿宋" w:hAnsi="仿宋" w:eastAsia="仿宋" w:cs="仿宋"/>
          <w:sz w:val="28"/>
          <w:szCs w:val="28"/>
        </w:rPr>
        <w:t>件，撤销原裁定并指令审理1件），发改案件数占二审结案案件比重为</w:t>
      </w:r>
      <w:r>
        <w:rPr>
          <w:rFonts w:hint="eastAsia" w:ascii="仿宋" w:hAnsi="仿宋" w:eastAsia="仿宋" w:cs="仿宋"/>
          <w:sz w:val="28"/>
          <w:szCs w:val="28"/>
          <w:lang w:val="en-US" w:eastAsia="zh-CN"/>
        </w:rPr>
        <w:t>17.47</w:t>
      </w:r>
      <w:r>
        <w:rPr>
          <w:rFonts w:hint="eastAsia" w:ascii="仿宋" w:hAnsi="仿宋" w:eastAsia="仿宋" w:cs="仿宋"/>
          <w:sz w:val="28"/>
          <w:szCs w:val="28"/>
        </w:rPr>
        <w:t>%。上述发改案件中，涪陵区法院</w:t>
      </w:r>
      <w:r>
        <w:rPr>
          <w:rFonts w:hint="eastAsia" w:ascii="仿宋" w:hAnsi="仿宋" w:eastAsia="仿宋" w:cs="仿宋"/>
          <w:sz w:val="28"/>
          <w:szCs w:val="28"/>
          <w:lang w:val="en-US" w:eastAsia="zh-CN"/>
        </w:rPr>
        <w:t>49</w:t>
      </w:r>
      <w:r>
        <w:rPr>
          <w:rFonts w:hint="eastAsia" w:ascii="仿宋" w:hAnsi="仿宋" w:eastAsia="仿宋" w:cs="仿宋"/>
          <w:sz w:val="28"/>
          <w:szCs w:val="28"/>
        </w:rPr>
        <w:t>件（含</w:t>
      </w:r>
      <w:r>
        <w:rPr>
          <w:rFonts w:hint="eastAsia" w:ascii="仿宋" w:hAnsi="仿宋" w:eastAsia="仿宋" w:cs="仿宋"/>
          <w:sz w:val="28"/>
          <w:szCs w:val="28"/>
          <w:lang w:val="en-US" w:eastAsia="zh-CN"/>
        </w:rPr>
        <w:t>2</w:t>
      </w:r>
      <w:r>
        <w:rPr>
          <w:rFonts w:hint="eastAsia" w:ascii="仿宋" w:hAnsi="仿宋" w:eastAsia="仿宋" w:cs="仿宋"/>
          <w:sz w:val="28"/>
          <w:szCs w:val="28"/>
        </w:rPr>
        <w:t>件发回重审案件、1件撤销原判并驳回起诉案件），南川区法院</w:t>
      </w:r>
      <w:r>
        <w:rPr>
          <w:rFonts w:hint="eastAsia" w:ascii="仿宋" w:hAnsi="仿宋" w:eastAsia="仿宋" w:cs="仿宋"/>
          <w:sz w:val="28"/>
          <w:szCs w:val="28"/>
          <w:lang w:val="en-US" w:eastAsia="zh-CN"/>
        </w:rPr>
        <w:t>22</w:t>
      </w:r>
      <w:r>
        <w:rPr>
          <w:rFonts w:hint="eastAsia" w:ascii="仿宋" w:hAnsi="仿宋" w:eastAsia="仿宋" w:cs="仿宋"/>
          <w:sz w:val="28"/>
          <w:szCs w:val="28"/>
        </w:rPr>
        <w:t>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含2件发回重审案件）</w:t>
      </w:r>
      <w:r>
        <w:rPr>
          <w:rFonts w:hint="eastAsia" w:ascii="仿宋" w:hAnsi="仿宋" w:eastAsia="仿宋" w:cs="仿宋"/>
          <w:sz w:val="28"/>
          <w:szCs w:val="28"/>
        </w:rPr>
        <w:t>，武隆区法院</w:t>
      </w:r>
      <w:r>
        <w:rPr>
          <w:rFonts w:hint="eastAsia" w:ascii="仿宋" w:hAnsi="仿宋" w:eastAsia="仿宋" w:cs="仿宋"/>
          <w:sz w:val="28"/>
          <w:szCs w:val="28"/>
          <w:lang w:val="en-US" w:eastAsia="zh-CN"/>
        </w:rPr>
        <w:t>22</w:t>
      </w:r>
      <w:r>
        <w:rPr>
          <w:rFonts w:hint="eastAsia" w:ascii="仿宋" w:hAnsi="仿宋" w:eastAsia="仿宋" w:cs="仿宋"/>
          <w:sz w:val="28"/>
          <w:szCs w:val="28"/>
        </w:rPr>
        <w:t>件（含2件发回重审案件），垫江县法院</w:t>
      </w:r>
      <w:r>
        <w:rPr>
          <w:rFonts w:hint="eastAsia" w:ascii="仿宋" w:hAnsi="仿宋" w:eastAsia="仿宋" w:cs="仿宋"/>
          <w:sz w:val="28"/>
          <w:szCs w:val="28"/>
          <w:lang w:val="en-US" w:eastAsia="zh-CN"/>
        </w:rPr>
        <w:t>31</w:t>
      </w:r>
      <w:r>
        <w:rPr>
          <w:rFonts w:hint="eastAsia" w:ascii="仿宋" w:hAnsi="仿宋" w:eastAsia="仿宋" w:cs="仿宋"/>
          <w:sz w:val="28"/>
          <w:szCs w:val="28"/>
        </w:rPr>
        <w:t>件（</w:t>
      </w:r>
      <w:r>
        <w:rPr>
          <w:rFonts w:hint="eastAsia" w:ascii="仿宋" w:hAnsi="仿宋" w:eastAsia="仿宋" w:cs="仿宋"/>
          <w:sz w:val="28"/>
          <w:szCs w:val="28"/>
          <w:lang w:val="en-US" w:eastAsia="zh-CN"/>
        </w:rPr>
        <w:t>含2件发回重审案件、</w:t>
      </w:r>
      <w:r>
        <w:rPr>
          <w:rFonts w:hint="eastAsia" w:ascii="仿宋" w:hAnsi="仿宋" w:eastAsia="仿宋" w:cs="仿宋"/>
          <w:sz w:val="28"/>
          <w:szCs w:val="28"/>
        </w:rPr>
        <w:t>1件撤销原裁定并指令审理案件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1件</w:t>
      </w:r>
      <w:r>
        <w:rPr>
          <w:rFonts w:hint="eastAsia" w:ascii="仿宋" w:hAnsi="仿宋" w:eastAsia="仿宋" w:cs="仿宋"/>
          <w:sz w:val="28"/>
          <w:szCs w:val="28"/>
        </w:rPr>
        <w:t>撤销原判并驳回起诉</w:t>
      </w:r>
      <w:r>
        <w:rPr>
          <w:rFonts w:hint="eastAsia" w:ascii="仿宋" w:hAnsi="仿宋" w:eastAsia="仿宋" w:cs="仿宋"/>
          <w:sz w:val="28"/>
          <w:szCs w:val="28"/>
          <w:lang w:val="en-US" w:eastAsia="zh-CN"/>
        </w:rPr>
        <w:t>案件</w:t>
      </w:r>
      <w:r>
        <w:rPr>
          <w:rFonts w:hint="eastAsia" w:ascii="仿宋" w:hAnsi="仿宋" w:eastAsia="仿宋" w:cs="仿宋"/>
          <w:sz w:val="28"/>
          <w:szCs w:val="28"/>
        </w:rPr>
        <w:t>），丰都县法院</w:t>
      </w:r>
      <w:r>
        <w:rPr>
          <w:rFonts w:hint="eastAsia" w:ascii="仿宋" w:hAnsi="仿宋" w:eastAsia="仿宋" w:cs="仿宋"/>
          <w:sz w:val="28"/>
          <w:szCs w:val="28"/>
          <w:lang w:val="en-US" w:eastAsia="zh-CN"/>
        </w:rPr>
        <w:t>36</w:t>
      </w:r>
      <w:r>
        <w:rPr>
          <w:rFonts w:hint="eastAsia" w:ascii="仿宋" w:hAnsi="仿宋" w:eastAsia="仿宋" w:cs="仿宋"/>
          <w:sz w:val="28"/>
          <w:szCs w:val="28"/>
        </w:rPr>
        <w:t>件（含</w:t>
      </w:r>
      <w:r>
        <w:rPr>
          <w:rFonts w:hint="eastAsia" w:ascii="仿宋" w:hAnsi="仿宋" w:eastAsia="仿宋" w:cs="仿宋"/>
          <w:sz w:val="28"/>
          <w:szCs w:val="28"/>
          <w:lang w:val="en-US" w:eastAsia="zh-CN"/>
        </w:rPr>
        <w:t>6</w:t>
      </w:r>
      <w:r>
        <w:rPr>
          <w:rFonts w:hint="eastAsia" w:ascii="仿宋" w:hAnsi="仿宋" w:eastAsia="仿宋" w:cs="仿宋"/>
          <w:sz w:val="28"/>
          <w:szCs w:val="28"/>
        </w:rPr>
        <w:t>件发回重审案件）。发改案件占比分单位来看，涪陵区法院为</w:t>
      </w:r>
      <w:r>
        <w:rPr>
          <w:rFonts w:hint="eastAsia" w:ascii="仿宋" w:hAnsi="仿宋" w:eastAsia="仿宋" w:cs="仿宋"/>
          <w:sz w:val="28"/>
          <w:szCs w:val="28"/>
          <w:lang w:val="en-US" w:eastAsia="zh-CN"/>
        </w:rPr>
        <w:t>15.17</w:t>
      </w:r>
      <w:r>
        <w:rPr>
          <w:rFonts w:hint="eastAsia" w:ascii="仿宋" w:hAnsi="仿宋" w:eastAsia="仿宋" w:cs="仿宋"/>
          <w:sz w:val="28"/>
          <w:szCs w:val="28"/>
        </w:rPr>
        <w:t>%（二审案件</w:t>
      </w:r>
      <w:r>
        <w:rPr>
          <w:rFonts w:hint="eastAsia" w:ascii="仿宋" w:hAnsi="仿宋" w:eastAsia="仿宋" w:cs="仿宋"/>
          <w:sz w:val="28"/>
          <w:szCs w:val="28"/>
          <w:lang w:val="en-US" w:eastAsia="zh-CN"/>
        </w:rPr>
        <w:t>323</w:t>
      </w:r>
      <w:r>
        <w:rPr>
          <w:rFonts w:hint="eastAsia" w:ascii="仿宋" w:hAnsi="仿宋" w:eastAsia="仿宋" w:cs="仿宋"/>
          <w:sz w:val="28"/>
          <w:szCs w:val="28"/>
        </w:rPr>
        <w:t>件），南川区法院为</w:t>
      </w:r>
      <w:r>
        <w:rPr>
          <w:rFonts w:hint="eastAsia" w:ascii="仿宋" w:hAnsi="仿宋" w:eastAsia="仿宋" w:cs="仿宋"/>
          <w:sz w:val="28"/>
          <w:szCs w:val="28"/>
          <w:lang w:val="en-US" w:eastAsia="zh-CN"/>
        </w:rPr>
        <w:t>13.58</w:t>
      </w:r>
      <w:r>
        <w:rPr>
          <w:rFonts w:hint="eastAsia" w:ascii="仿宋" w:hAnsi="仿宋" w:eastAsia="仿宋" w:cs="仿宋"/>
          <w:sz w:val="28"/>
          <w:szCs w:val="28"/>
        </w:rPr>
        <w:t>%（二审案件</w:t>
      </w:r>
      <w:r>
        <w:rPr>
          <w:rFonts w:hint="eastAsia" w:ascii="仿宋" w:hAnsi="仿宋" w:eastAsia="仿宋" w:cs="仿宋"/>
          <w:sz w:val="28"/>
          <w:szCs w:val="28"/>
          <w:lang w:val="en-US" w:eastAsia="zh-CN"/>
        </w:rPr>
        <w:t>162</w:t>
      </w:r>
      <w:r>
        <w:rPr>
          <w:rFonts w:hint="eastAsia" w:ascii="仿宋" w:hAnsi="仿宋" w:eastAsia="仿宋" w:cs="仿宋"/>
          <w:sz w:val="28"/>
          <w:szCs w:val="28"/>
        </w:rPr>
        <w:t>件），武隆区法院为</w:t>
      </w:r>
      <w:r>
        <w:rPr>
          <w:rFonts w:hint="eastAsia" w:ascii="仿宋" w:hAnsi="仿宋" w:eastAsia="仿宋" w:cs="仿宋"/>
          <w:sz w:val="28"/>
          <w:szCs w:val="28"/>
          <w:lang w:val="en-US" w:eastAsia="zh-CN"/>
        </w:rPr>
        <w:t>15.94</w:t>
      </w:r>
      <w:r>
        <w:rPr>
          <w:rFonts w:hint="eastAsia" w:ascii="仿宋" w:hAnsi="仿宋" w:eastAsia="仿宋" w:cs="仿宋"/>
          <w:sz w:val="28"/>
          <w:szCs w:val="28"/>
        </w:rPr>
        <w:t>%（二审案件</w:t>
      </w:r>
      <w:r>
        <w:rPr>
          <w:rFonts w:hint="eastAsia" w:ascii="仿宋" w:hAnsi="仿宋" w:eastAsia="仿宋" w:cs="仿宋"/>
          <w:sz w:val="28"/>
          <w:szCs w:val="28"/>
          <w:lang w:val="en-US" w:eastAsia="zh-CN"/>
        </w:rPr>
        <w:t>138</w:t>
      </w:r>
      <w:r>
        <w:rPr>
          <w:rFonts w:hint="eastAsia" w:ascii="仿宋" w:hAnsi="仿宋" w:eastAsia="仿宋" w:cs="仿宋"/>
          <w:sz w:val="28"/>
          <w:szCs w:val="28"/>
        </w:rPr>
        <w:t>件），垫江县法院为</w:t>
      </w:r>
      <w:r>
        <w:rPr>
          <w:rFonts w:hint="eastAsia" w:ascii="仿宋" w:hAnsi="仿宋" w:eastAsia="仿宋" w:cs="仿宋"/>
          <w:sz w:val="28"/>
          <w:szCs w:val="28"/>
          <w:lang w:val="en-US" w:eastAsia="zh-CN"/>
        </w:rPr>
        <w:t>21.09</w:t>
      </w:r>
      <w:r>
        <w:rPr>
          <w:rFonts w:hint="eastAsia" w:ascii="仿宋" w:hAnsi="仿宋" w:eastAsia="仿宋" w:cs="仿宋"/>
          <w:sz w:val="28"/>
          <w:szCs w:val="28"/>
        </w:rPr>
        <w:t>%（二审案件</w:t>
      </w:r>
      <w:r>
        <w:rPr>
          <w:rFonts w:hint="eastAsia" w:ascii="仿宋" w:hAnsi="仿宋" w:eastAsia="仿宋" w:cs="仿宋"/>
          <w:sz w:val="28"/>
          <w:szCs w:val="28"/>
          <w:lang w:val="en-US" w:eastAsia="zh-CN"/>
        </w:rPr>
        <w:t>147</w:t>
      </w:r>
      <w:r>
        <w:rPr>
          <w:rFonts w:hint="eastAsia" w:ascii="仿宋" w:hAnsi="仿宋" w:eastAsia="仿宋" w:cs="仿宋"/>
          <w:sz w:val="28"/>
          <w:szCs w:val="28"/>
        </w:rPr>
        <w:t>件），丰都县法院为</w:t>
      </w:r>
      <w:r>
        <w:rPr>
          <w:rFonts w:hint="eastAsia" w:ascii="仿宋" w:hAnsi="仿宋" w:eastAsia="仿宋" w:cs="仿宋"/>
          <w:sz w:val="28"/>
          <w:szCs w:val="28"/>
          <w:lang w:val="en-US" w:eastAsia="zh-CN"/>
        </w:rPr>
        <w:t>24.66</w:t>
      </w:r>
      <w:r>
        <w:rPr>
          <w:rFonts w:hint="eastAsia" w:ascii="仿宋" w:hAnsi="仿宋" w:eastAsia="仿宋" w:cs="仿宋"/>
          <w:sz w:val="28"/>
          <w:szCs w:val="28"/>
        </w:rPr>
        <w:t>%（二审案件</w:t>
      </w:r>
      <w:r>
        <w:rPr>
          <w:rFonts w:hint="eastAsia" w:ascii="仿宋" w:hAnsi="仿宋" w:eastAsia="仿宋" w:cs="仿宋"/>
          <w:sz w:val="28"/>
          <w:szCs w:val="28"/>
          <w:lang w:val="en-US" w:eastAsia="zh-CN"/>
        </w:rPr>
        <w:t>146</w:t>
      </w:r>
      <w:r>
        <w:rPr>
          <w:rFonts w:hint="eastAsia" w:ascii="仿宋" w:hAnsi="仿宋" w:eastAsia="仿宋" w:cs="仿宋"/>
          <w:sz w:val="28"/>
          <w:szCs w:val="28"/>
        </w:rPr>
        <w:t>件）。</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本次</w:t>
      </w:r>
      <w:r>
        <w:rPr>
          <w:rFonts w:hint="eastAsia" w:ascii="仿宋" w:hAnsi="仿宋" w:eastAsia="仿宋" w:cs="仿宋"/>
          <w:b/>
          <w:bCs/>
          <w:sz w:val="28"/>
          <w:szCs w:val="28"/>
        </w:rPr>
        <w:t>分析二审改发案件约</w:t>
      </w:r>
      <w:r>
        <w:rPr>
          <w:rFonts w:hint="eastAsia" w:ascii="仿宋" w:hAnsi="仿宋" w:eastAsia="仿宋" w:cs="仿宋"/>
          <w:b/>
          <w:bCs/>
          <w:sz w:val="28"/>
          <w:szCs w:val="28"/>
          <w:lang w:val="en-US" w:eastAsia="zh-CN"/>
        </w:rPr>
        <w:t>160</w:t>
      </w:r>
      <w:r>
        <w:rPr>
          <w:rFonts w:hint="eastAsia" w:ascii="仿宋" w:hAnsi="仿宋" w:eastAsia="仿宋" w:cs="仿宋"/>
          <w:b/>
          <w:bCs/>
          <w:sz w:val="28"/>
          <w:szCs w:val="28"/>
        </w:rPr>
        <w:t>件，因新证据改发占据较大比例。</w:t>
      </w:r>
      <w:r>
        <w:rPr>
          <w:rFonts w:hint="eastAsia" w:ascii="仿宋" w:hAnsi="仿宋" w:eastAsia="仿宋" w:cs="仿宋"/>
          <w:sz w:val="28"/>
          <w:szCs w:val="28"/>
        </w:rPr>
        <w:t>但是新证据改发案件中，考虑到基层法院考核压力，民一庭在改发案件中，只要当事人在二审中提交新证据、新陈述，一般均以新证据改发。但真实情况是：一审判决对事实认定、法律适用、数据计算等是存在问题的，70%以上以新证据为由改发的案件并非真正因二审出现了新证据导致改发。</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一审法院为涪陵区法院的（2018）渝03民终854号、(2018)渝03民终970号、(2018)渝03民终704号、（2018）渝03民终267号、（2017）渝03民终1933号；一审法院为南川区法院的(2018)渝03民终483号；一审法院为武隆区法院的(2018)渝03民终659号、（2018）渝03民终195号、(2018)渝03民终710号、（2018）渝03民终891号、（2017）渝03民终1480号、(2018)渝03民终798号；一审法院为垫江县法院的(2018)渝03民终102号、(2017)渝03民终2130号、(2018)渝03民终839号、(2018)渝03民终840号；一审法院为丰都县法院的（2018）渝03民终828号、（2018）渝03民终631号、(2018)渝03民终926号、（2018）渝03民终437号等案件。</w:t>
      </w:r>
    </w:p>
    <w:p>
      <w:pPr>
        <w:keepNext w:val="0"/>
        <w:keepLines w:val="0"/>
        <w:pageBreakBefore w:val="0"/>
        <w:widowControl w:val="0"/>
        <w:tabs>
          <w:tab w:val="left" w:pos="1815"/>
        </w:tabs>
        <w:kinsoku/>
        <w:wordWrap/>
        <w:overflowPunct/>
        <w:topLinePunct w:val="0"/>
        <w:autoSpaceDE w:val="0"/>
        <w:autoSpaceDN w:val="0"/>
        <w:bidi w:val="0"/>
        <w:adjustRightInd w:val="0"/>
        <w:spacing w:after="157" w:afterLines="50" w:line="460" w:lineRule="exact"/>
        <w:ind w:firstLine="540"/>
        <w:textAlignment w:val="auto"/>
        <w:outlineLvl w:val="9"/>
        <w:rPr>
          <w:rFonts w:hint="eastAsia" w:ascii="仿宋" w:hAnsi="仿宋" w:eastAsia="仿宋" w:cs="仿宋"/>
          <w:sz w:val="28"/>
          <w:szCs w:val="28"/>
        </w:rPr>
      </w:pPr>
      <w:r>
        <w:rPr>
          <w:rFonts w:hint="eastAsia" w:ascii="仿宋" w:hAnsi="仿宋" w:eastAsia="仿宋" w:cs="仿宋"/>
          <w:b/>
          <w:bCs/>
          <w:sz w:val="28"/>
          <w:szCs w:val="28"/>
          <w:lang w:eastAsia="zh-CN"/>
        </w:rPr>
        <w:t>（二）证据认定方面</w:t>
      </w:r>
      <w:r>
        <w:rPr>
          <w:rFonts w:hint="eastAsia" w:ascii="仿宋" w:hAnsi="仿宋" w:eastAsia="仿宋" w:cs="仿宋"/>
          <w:sz w:val="28"/>
          <w:szCs w:val="28"/>
        </w:rPr>
        <w:t>：个别案件中，一审判决对当事人双方举示的证据认定不当，在事实真伪不明状态下，不能根据证据规则准确判断当事人主张的积极事实、消极事实是否存在。一般认为，在待证事实存在的可能性大于不存在的可能性时，应认定事实存在。同时，在分配举证责任时，应考虑：主张积极事实存在的当事人应当对该积极事实存在负举证责任；当事人距离证据的远近，一方当事人对证据较近，方便举证或掌握证据的，应将举证责任分配给该当事人；案外人执行异议之诉中案外人的举证责任高于一般案件中的举证责任等。同时，要注重生活经验法则的运用，能够通过生活经验法则认定的事实，可以减轻负有举证责任一方的举证要求。</w:t>
      </w:r>
    </w:p>
    <w:p>
      <w:pPr>
        <w:keepNext w:val="0"/>
        <w:keepLines w:val="0"/>
        <w:pageBreakBefore w:val="0"/>
        <w:widowControl w:val="0"/>
        <w:tabs>
          <w:tab w:val="left" w:pos="1815"/>
        </w:tabs>
        <w:kinsoku/>
        <w:wordWrap/>
        <w:overflowPunct/>
        <w:topLinePunct w:val="0"/>
        <w:autoSpaceDE w:val="0"/>
        <w:autoSpaceDN w:val="0"/>
        <w:bidi w:val="0"/>
        <w:adjustRightInd w:val="0"/>
        <w:spacing w:after="157" w:afterLines="50" w:line="460" w:lineRule="exact"/>
        <w:ind w:firstLine="540"/>
        <w:textAlignment w:val="auto"/>
        <w:outlineLvl w:val="9"/>
        <w:rPr>
          <w:rFonts w:hint="eastAsia" w:ascii="仿宋" w:hAnsi="仿宋" w:eastAsia="仿宋" w:cs="仿宋"/>
          <w:sz w:val="28"/>
          <w:szCs w:val="28"/>
        </w:rPr>
      </w:pPr>
      <w:r>
        <w:rPr>
          <w:rFonts w:hint="eastAsia" w:ascii="仿宋" w:hAnsi="仿宋" w:eastAsia="仿宋" w:cs="仿宋"/>
          <w:sz w:val="28"/>
          <w:szCs w:val="28"/>
        </w:rPr>
        <w:t>如(2018)渝03民终1051号、（2018）渝03民终697号、(2018)渝03民终609号案、（2018）渝03民终828号等。</w:t>
      </w:r>
    </w:p>
    <w:p>
      <w:pPr>
        <w:keepNext w:val="0"/>
        <w:keepLines w:val="0"/>
        <w:pageBreakBefore w:val="0"/>
        <w:widowControl w:val="0"/>
        <w:tabs>
          <w:tab w:val="left" w:pos="1815"/>
        </w:tabs>
        <w:kinsoku/>
        <w:wordWrap/>
        <w:overflowPunct/>
        <w:topLinePunct w:val="0"/>
        <w:autoSpaceDE w:val="0"/>
        <w:autoSpaceDN w:val="0"/>
        <w:bidi w:val="0"/>
        <w:adjustRightInd w:val="0"/>
        <w:spacing w:after="157" w:afterLines="50" w:line="460" w:lineRule="exact"/>
        <w:ind w:firstLine="540"/>
        <w:textAlignment w:val="auto"/>
        <w:outlineLvl w:val="9"/>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三）事实认定方面：</w:t>
      </w:r>
      <w:r>
        <w:rPr>
          <w:rFonts w:hint="eastAsia" w:ascii="仿宋" w:hAnsi="仿宋" w:eastAsia="仿宋" w:cs="仿宋"/>
          <w:sz w:val="28"/>
          <w:szCs w:val="28"/>
          <w:lang w:val="en-US" w:eastAsia="zh-CN"/>
        </w:rPr>
        <w:t>许多被改判的案件中，一审判决对事实的认定不全面、不客观，导致影响判决结果的事实被忽视，造成了一审判决“事实认定正确但有遗漏”的现象发生。</w:t>
      </w:r>
    </w:p>
    <w:p>
      <w:pPr>
        <w:keepNext w:val="0"/>
        <w:keepLines w:val="0"/>
        <w:pageBreakBefore w:val="0"/>
        <w:widowControl w:val="0"/>
        <w:tabs>
          <w:tab w:val="left" w:pos="1815"/>
        </w:tabs>
        <w:kinsoku/>
        <w:wordWrap/>
        <w:overflowPunct/>
        <w:topLinePunct w:val="0"/>
        <w:autoSpaceDE w:val="0"/>
        <w:autoSpaceDN w:val="0"/>
        <w:bidi w:val="0"/>
        <w:adjustRightInd w:val="0"/>
        <w:spacing w:after="157" w:afterLines="50" w:line="460" w:lineRule="exact"/>
        <w:ind w:firstLine="54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w:t>
      </w:r>
      <w:r>
        <w:rPr>
          <w:rFonts w:hint="eastAsia" w:ascii="仿宋" w:hAnsi="仿宋" w:eastAsia="仿宋" w:cs="仿宋"/>
          <w:kern w:val="0"/>
          <w:sz w:val="28"/>
          <w:szCs w:val="28"/>
        </w:rPr>
        <w:t>(2018)渝03民终616号</w:t>
      </w:r>
      <w:r>
        <w:rPr>
          <w:rFonts w:hint="eastAsia" w:ascii="仿宋" w:hAnsi="仿宋" w:eastAsia="仿宋" w:cs="仿宋"/>
          <w:kern w:val="0"/>
          <w:sz w:val="28"/>
          <w:szCs w:val="28"/>
          <w:lang w:val="en-US" w:eastAsia="zh-CN"/>
        </w:rPr>
        <w:t>等。</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二、个案中有待统一的问题</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（一）机动车交通事故责任纠纷案件</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1、关于商业三者险中的免责条款认定问题</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不管机动车超载、未年检、驾驶人员无从业许可证、机动车无营运许可证等与交通事故发生有无因果关系，人民法院都应该按照商业三者险保险合同约定处理，而非以机动车超载、未年检等与事故发生无因果关系就一概否定保险人的拒赔或加扣免赔的抗辩。商业三者险合同是被保险人与保险人之间签订的保险合同，责任保险合同是分配保险人与被保险人之间的风险，而非分配保险人或被保险人与受害人之间的风险，最高人民法院道路交通事故司法解释明确在交通事故责任纠纷案件中将商业三者险纳入一并审理时应按照被保险人与保险人之间的合同约定进行处理。在证明当事人有保险合同约定的拒赔情形的，在保险人证明其对免责条款尽到了告知和明确说明义务的，应该按照商业三者险的合同约定进行处理。对此，重庆市高院也有统一的规定，重庆市高级人民法院在2017年4月20日作出的《重庆市高级人民法院关于保险合同纠纷法律适用问题的解答》中，明确：“6、商业三者险保险合同中约定，机动车在超载、未年检、驾驶人酒后驾驶、无证驾驶或准驾车型不符等状态下发生保险事故时保险人应减轻或免除保险责任的，若约定的免责事项与保险事故的发生没有因果关系，保险人主张减轻或免除保险责任的，人民法院是否支持？答：保险合同中约定的在特定危险状态下发生保险事故保险人减轻或免除保险责任的免责条款系危险状态免责条款。该类条款的作用是为了让保险事故发生时的危险水平与缔结保险合同时的危险水平大致相当，以维护对价平衡原则。因此只要保险事故发生于该免责条款所规定的危险状态之下，保险人即可减轻或免除其保险责任，而无须证明保险事故是由该危险状态所导致。”</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该解答与最高人民法院审理保险纠纷的观点比较一致，各基层法院在审理类似的案件中，应该予以遵守。</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关于保险人对</w:t>
      </w:r>
      <w:r>
        <w:rPr>
          <w:rFonts w:hint="eastAsia" w:ascii="仿宋" w:hAnsi="仿宋" w:eastAsia="仿宋" w:cs="仿宋"/>
          <w:sz w:val="28"/>
          <w:szCs w:val="28"/>
        </w:rPr>
        <w:t>免责条款提示、解释和说明义务履行问题</w:t>
      </w:r>
      <w:r>
        <w:rPr>
          <w:rFonts w:hint="eastAsia" w:ascii="仿宋" w:hAnsi="仿宋" w:eastAsia="仿宋" w:cs="仿宋"/>
          <w:kern w:val="0"/>
          <w:sz w:val="28"/>
          <w:szCs w:val="28"/>
        </w:rPr>
        <w:t>，保险人提交了投保单、投保人声明书、保险条款等较为完整的证据材料，投保人对其中的签字或盖章不予否认的，一般认为保险人对相关免责条款尽到了提示、解释和说明义务。</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另外，保险人将法律、行政法规中的禁止性规定如超载、醉驾等情形作为保险合同免责条款的免责事由，保险人对该条款作出提示后，即使未对该免责条款进行解释和明确说明，保险人依然有权对符合免责事由的被保险人进行拒赔。关于提示义务的认定，可以按照《最高人民法院关于适用&lt;中华人民共和国</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"http://149.22.0.202:61601/law?fn=chl368s752.txt&amp;dbt=chl" \t "_blank" </w:instrText>
      </w:r>
      <w:r>
        <w:rPr>
          <w:rFonts w:hint="eastAsia" w:ascii="仿宋" w:hAnsi="仿宋" w:eastAsia="仿宋" w:cs="仿宋"/>
          <w:sz w:val="28"/>
          <w:szCs w:val="28"/>
        </w:rPr>
        <w:fldChar w:fldCharType="separate"/>
      </w:r>
      <w:r>
        <w:rPr>
          <w:rStyle w:val="9"/>
          <w:rFonts w:hint="eastAsia" w:ascii="仿宋" w:hAnsi="仿宋" w:eastAsia="仿宋" w:cs="仿宋"/>
          <w:color w:val="auto"/>
          <w:kern w:val="0"/>
          <w:sz w:val="28"/>
          <w:szCs w:val="28"/>
          <w:u w:val="none"/>
        </w:rPr>
        <w:t>保险法</w:t>
      </w:r>
      <w:r>
        <w:rPr>
          <w:rStyle w:val="9"/>
          <w:rFonts w:hint="eastAsia" w:ascii="仿宋" w:hAnsi="仿宋" w:eastAsia="仿宋" w:cs="仿宋"/>
          <w:color w:val="auto"/>
          <w:kern w:val="0"/>
          <w:sz w:val="28"/>
          <w:szCs w:val="28"/>
          <w:u w:val="none"/>
        </w:rPr>
        <w:fldChar w:fldCharType="end"/>
      </w:r>
      <w:r>
        <w:rPr>
          <w:rFonts w:hint="eastAsia" w:ascii="仿宋" w:hAnsi="仿宋" w:eastAsia="仿宋" w:cs="仿宋"/>
          <w:kern w:val="0"/>
          <w:sz w:val="28"/>
          <w:szCs w:val="28"/>
        </w:rPr>
        <w:t>&gt;若干问题的解释（二）》第十一条第一款规定，即“保险合同订立时，保险人在投保单或者保险单等其他保险凭证上，对保险合同中免除保险人责任的条款，以足以引起投保人注意的文字、字体、符号或者其他明显标志作出提示的，人民法院应当认定其履行了</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"http://149.22.0.202:61601/law?fn=chl368s752.txt&amp;dbt=chl" \t "_blank" </w:instrText>
      </w:r>
      <w:r>
        <w:rPr>
          <w:rFonts w:hint="eastAsia" w:ascii="仿宋" w:hAnsi="仿宋" w:eastAsia="仿宋" w:cs="仿宋"/>
          <w:sz w:val="28"/>
          <w:szCs w:val="28"/>
        </w:rPr>
        <w:fldChar w:fldCharType="separate"/>
      </w:r>
      <w:r>
        <w:rPr>
          <w:rStyle w:val="9"/>
          <w:rFonts w:hint="eastAsia" w:ascii="仿宋" w:hAnsi="仿宋" w:eastAsia="仿宋" w:cs="仿宋"/>
          <w:color w:val="auto"/>
          <w:kern w:val="0"/>
          <w:sz w:val="28"/>
          <w:szCs w:val="28"/>
          <w:u w:val="none"/>
        </w:rPr>
        <w:t>保险法</w:t>
      </w:r>
      <w:r>
        <w:rPr>
          <w:rStyle w:val="9"/>
          <w:rFonts w:hint="eastAsia" w:ascii="仿宋" w:hAnsi="仿宋" w:eastAsia="仿宋" w:cs="仿宋"/>
          <w:color w:val="auto"/>
          <w:kern w:val="0"/>
          <w:sz w:val="28"/>
          <w:szCs w:val="28"/>
          <w:u w:val="none"/>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"http://149.22.0.202:61601/law?fn=chl368s752.txt&amp;term=17" \l "17" \t "_blank" </w:instrText>
      </w:r>
      <w:r>
        <w:rPr>
          <w:rFonts w:hint="eastAsia" w:ascii="仿宋" w:hAnsi="仿宋" w:eastAsia="仿宋" w:cs="仿宋"/>
          <w:sz w:val="28"/>
          <w:szCs w:val="28"/>
        </w:rPr>
        <w:fldChar w:fldCharType="separate"/>
      </w:r>
      <w:r>
        <w:rPr>
          <w:rStyle w:val="9"/>
          <w:rFonts w:hint="eastAsia" w:ascii="仿宋" w:hAnsi="仿宋" w:eastAsia="仿宋" w:cs="仿宋"/>
          <w:color w:val="auto"/>
          <w:kern w:val="0"/>
          <w:sz w:val="28"/>
          <w:szCs w:val="28"/>
          <w:u w:val="none"/>
        </w:rPr>
        <w:t>第十七条</w:t>
      </w:r>
      <w:r>
        <w:rPr>
          <w:rStyle w:val="9"/>
          <w:rFonts w:hint="eastAsia" w:ascii="仿宋" w:hAnsi="仿宋" w:eastAsia="仿宋" w:cs="仿宋"/>
          <w:color w:val="auto"/>
          <w:kern w:val="0"/>
          <w:sz w:val="28"/>
          <w:szCs w:val="28"/>
          <w:u w:val="none"/>
        </w:rPr>
        <w:fldChar w:fldCharType="end"/>
      </w:r>
      <w:r>
        <w:rPr>
          <w:rFonts w:hint="eastAsia" w:ascii="仿宋" w:hAnsi="仿宋" w:eastAsia="仿宋" w:cs="仿宋"/>
          <w:kern w:val="0"/>
          <w:sz w:val="28"/>
          <w:szCs w:val="28"/>
        </w:rPr>
        <w:t>第二款规定的提示义务”。</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如中国人民财产保险股份有限公司南川支公司与敖晓洪、王邦模、重庆市南川区长宏汽车商贸有限责任公司机动车交通事故责任纠纷 (2018)渝03民终530号案。</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如</w:t>
      </w:r>
      <w:r>
        <w:rPr>
          <w:rFonts w:hint="eastAsia" w:ascii="仿宋" w:hAnsi="仿宋" w:eastAsia="仿宋" w:cs="仿宋"/>
          <w:sz w:val="28"/>
          <w:szCs w:val="28"/>
        </w:rPr>
        <w:t>中国太平洋财产保险股份有限公司重庆市九龙坡支公司与陈学初、殷坤云、杨中平、钟光伦、喻中强、王焱、重庆同益汽车运输有限公司机动车交通事故责任纠纷(2018)渝03民终483号案。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2、鉴定费问题</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保险法》第六十六条规定，“责任保险的被保险人因给第三者造成损害的保险事故而被提起仲裁或者诉讼的，被保险人支付的仲裁或者诉讼费用以及其他必要的、合理的费用，除合同另有约定外，由保险人承担。”即，如保险合同未约定保险人不承担诉讼、鉴定费用，则保险人应该承担诉讼、鉴定费用。交强险条款中约定了因交通事故产生的仲裁或者诉讼费用以及其他相关费用。所以，在交强险中判决保险人承担鉴定费不妥。但2015年车险费改以后，新的《机动车综合商业保险条款》并未将鉴定费排除于保险责任之外，故可在商业三者险项下判决由保险人承担鉴定费。</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如张明贵与涪陵区陵都加油站、国任财产保险股份有限公司重庆分公司、重庆金轮运输有限公司机动车交通事故责任纠纷（2018）渝03民终854号案。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3、关于残疾赔偿金、死亡赔偿金的标准问题</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从法政策的角度，在全国户籍改革的大背景下，对残疾赔偿金城农标准的认定宜从宽。从性质上看，残疾赔偿金：我国司法实践中采用“劳动能力丧失说”或“收入丧失说”，残疾赔偿金是根据受害人丧失劳动能力程度或者伤残等级计算的。死亡赔偿金：我国立法与司法实践目前采取“继承丧失说”。基于残疾、死亡赔偿金的性质，被抚养人生活费与受害人情况密切相关，被抚养人生活费的赔偿并非被抚养人的实际生活需要，而是因受害人伤残或者死亡后导致的受害人个人收入中用于家庭成员消费需要的减少，所以，被抚养人生活费其性质应为受害人未来损失的一部分，与受害人实际情况相关联，在具体赔偿时应以受害人的情况确定采用城镇标准还是农村标准。</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第八次全国法院民事商事审判会议（民事部分）纪要》第八条对此亦有明确规定：在计算被抚养人生活费时，如果受害人是农村居民但是按照城镇标准计算残疾赔偿金或者死亡赔偿金时，其被抚养人生活费也应按照受诉法院所在地上一年度城镇居民人均消费性支出标准计算。</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受害人系农村户籍，进城务工后，收入主要来源于城镇，经常居住地与主要收入来源地不一致，即可能仍住在农村，根据侵权法理论分析及残疾赔偿金、死亡赔偿金是填补被侵权人逸失利益，对被侵权人未来经济损失补偿之精神，原则上应当按照城镇标准计算残疾赔偿金或死亡赔偿金。</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如郑啟会与王玖平、中国人民财产保险股份有限公司武隆支公司机动车交通事故责任纠纷(2018)渝03民终970号案</w:t>
      </w:r>
      <w:r>
        <w:rPr>
          <w:rFonts w:hint="eastAsia" w:ascii="仿宋" w:hAnsi="仿宋" w:eastAsia="仿宋" w:cs="仿宋"/>
          <w:sz w:val="28"/>
          <w:szCs w:val="28"/>
          <w:lang w:eastAsia="zh-CN"/>
        </w:rPr>
        <w:t>；陈万春</w:t>
      </w:r>
      <w:r>
        <w:rPr>
          <w:rFonts w:hint="eastAsia" w:ascii="仿宋" w:hAnsi="仿宋" w:eastAsia="仿宋" w:cs="仿宋"/>
          <w:sz w:val="28"/>
          <w:szCs w:val="28"/>
        </w:rPr>
        <w:t>与</w:t>
      </w:r>
      <w:r>
        <w:rPr>
          <w:rFonts w:hint="eastAsia" w:ascii="仿宋" w:hAnsi="仿宋" w:eastAsia="仿宋" w:cs="仿宋"/>
          <w:sz w:val="28"/>
          <w:szCs w:val="28"/>
          <w:lang w:eastAsia="zh-CN"/>
        </w:rPr>
        <w:t>唐春常、张勇、周少荣、重庆公路运输（集团）有限公司长寿分公司、</w:t>
      </w:r>
      <w:r>
        <w:rPr>
          <w:rFonts w:hint="eastAsia" w:ascii="仿宋" w:hAnsi="仿宋" w:eastAsia="仿宋" w:cs="仿宋"/>
          <w:sz w:val="28"/>
          <w:szCs w:val="28"/>
        </w:rPr>
        <w:t>中国人民财产保险股份有限公司</w:t>
      </w:r>
      <w:r>
        <w:rPr>
          <w:rFonts w:hint="eastAsia" w:ascii="仿宋" w:hAnsi="仿宋" w:eastAsia="仿宋" w:cs="仿宋"/>
          <w:sz w:val="28"/>
          <w:szCs w:val="28"/>
          <w:lang w:eastAsia="zh-CN"/>
        </w:rPr>
        <w:t>重庆市高新技术产业开发区营业部、秦黎明、廖玉兰、付廷成、</w:t>
      </w:r>
      <w:r>
        <w:rPr>
          <w:rFonts w:hint="eastAsia" w:ascii="仿宋" w:hAnsi="仿宋" w:eastAsia="仿宋" w:cs="仿宋"/>
          <w:sz w:val="28"/>
          <w:szCs w:val="28"/>
        </w:rPr>
        <w:t>中国人民财产保险股份有限公司</w:t>
      </w:r>
      <w:r>
        <w:rPr>
          <w:rFonts w:hint="eastAsia" w:ascii="仿宋" w:hAnsi="仿宋" w:eastAsia="仿宋" w:cs="仿宋"/>
          <w:sz w:val="28"/>
          <w:szCs w:val="28"/>
          <w:lang w:eastAsia="zh-CN"/>
        </w:rPr>
        <w:t>重庆市分公司机动车交通事故责任</w:t>
      </w:r>
      <w:r>
        <w:rPr>
          <w:rFonts w:hint="eastAsia" w:ascii="仿宋" w:hAnsi="仿宋" w:eastAsia="仿宋" w:cs="仿宋"/>
          <w:sz w:val="28"/>
          <w:szCs w:val="28"/>
        </w:rPr>
        <w:t>纠纷(2018)渝03民终1726号案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4、残疾赔偿金计算时间的年龄节点</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主要涉及年满六十周岁的受害人如何计算残疾赔偿金年限，是以交通事故发生时抑或定残日为时间点计算年限？实践中存在争议，但残疾赔偿金的性质，通说认为是未来收入的逸失，即残疾赔偿金是对未来收入的补偿。所以，交通事故发生至在定残期间，赔偿义务人赔偿受害人误工费，而在定残后赔偿残疾赔偿金，逻辑上较为严密，对各方当事人利益平衡也更为得当。所以，残疾赔偿金的计算时间的年龄节点应该是定残日。对此，最高院人赔解释第25条也有相对明确的解释，即“定残之日”。</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如中国太平洋财产保险股份有限公司重庆市九龙坡支公司与陈学初、殷坤云、杨中平、钟光伦、喻中强、王焱、重庆同益汽车运输有限公司机动车交通事故责任纠纷(2018)渝03民终483号案。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5、精神抚慰金</w:t>
      </w:r>
    </w:p>
    <w:p>
      <w:pPr>
        <w:keepNext w:val="0"/>
        <w:keepLines w:val="0"/>
        <w:pageBreakBefore w:val="0"/>
        <w:widowControl w:val="0"/>
        <w:kinsoku/>
        <w:wordWrap/>
        <w:overflowPunct/>
        <w:topLinePunct w:val="0"/>
        <w:bidi w:val="0"/>
        <w:adjustRightInd w:val="0"/>
        <w:snapToGrid w:val="0"/>
        <w:spacing w:after="157" w:afterLines="50" w:line="460" w:lineRule="exact"/>
        <w:ind w:right="420" w:rightChars="20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按照重庆高院的相关意见，受害者承担事故的主要以上责任，或者肇事方已承担刑事责任的，一般不应支持精神抚慰金。</w:t>
      </w:r>
    </w:p>
    <w:p>
      <w:pPr>
        <w:keepNext w:val="0"/>
        <w:keepLines w:val="0"/>
        <w:pageBreakBefore w:val="0"/>
        <w:widowControl w:val="0"/>
        <w:kinsoku/>
        <w:wordWrap/>
        <w:overflowPunct/>
        <w:topLinePunct w:val="0"/>
        <w:bidi w:val="0"/>
        <w:adjustRightInd w:val="0"/>
        <w:snapToGrid w:val="0"/>
        <w:spacing w:after="157" w:afterLines="50" w:line="460" w:lineRule="exact"/>
        <w:ind w:right="420" w:rightChars="20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如恒邦财产保险股份有限公司与宋天兴、宋李氏、王敏、宋小东、宋晓燕、胡小明、李春、重庆铺金公路运输有限公司万盛分公司、张学强机动车交通事故责任纠纷(2018)渝03民终892号案。</w:t>
      </w:r>
    </w:p>
    <w:p>
      <w:pPr>
        <w:keepNext w:val="0"/>
        <w:keepLines w:val="0"/>
        <w:pageBreakBefore w:val="0"/>
        <w:widowControl w:val="0"/>
        <w:kinsoku/>
        <w:wordWrap/>
        <w:overflowPunct/>
        <w:topLinePunct w:val="0"/>
        <w:bidi w:val="0"/>
        <w:adjustRightInd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6、重新鉴定的相关程序问题</w:t>
      </w:r>
    </w:p>
    <w:p>
      <w:pPr>
        <w:keepNext w:val="0"/>
        <w:keepLines w:val="0"/>
        <w:pageBreakBefore w:val="0"/>
        <w:widowControl w:val="0"/>
        <w:kinsoku/>
        <w:wordWrap/>
        <w:overflowPunct/>
        <w:topLinePunct w:val="0"/>
        <w:bidi w:val="0"/>
        <w:adjustRightInd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改发案件中，有3件是因为一审法院对鉴定组织不力，导致二审重新鉴定而改判。所以，一审法院对重新鉴定类案件，应该在鉴定前确定具体的选择鉴定机构的日期，或者准确留下申请人的联系方式以便鉴定机构通知申请人缴费等，在鉴定后还应该组织当事人对鉴定意见书或者无法鉴定的事由等进行质证。</w:t>
      </w:r>
    </w:p>
    <w:p>
      <w:pPr>
        <w:keepNext w:val="0"/>
        <w:keepLines w:val="0"/>
        <w:pageBreakBefore w:val="0"/>
        <w:widowControl w:val="0"/>
        <w:kinsoku/>
        <w:wordWrap/>
        <w:overflowPunct/>
        <w:topLinePunct w:val="0"/>
        <w:bidi w:val="0"/>
        <w:adjustRightInd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中国平安财产保险股份有限公司达州中心支公司与伍小林、黄云山、大竹县和顺物流有限责任公司机动车交通事故责任纠纷(2017)渝03民终1368号案、中国人民财产保险股份有限公司大竹支公司与卓鹏、唐德军机动车交通事故责任纠纷二审(2018)渝03民终48号案、彭正兵与宋平、李长军、中国人民财产保险股份有限公司成都市分公司机动车交通事故责任纠纷 (2018)渝03民终690号案。</w:t>
      </w:r>
    </w:p>
    <w:p>
      <w:pPr>
        <w:keepNext w:val="0"/>
        <w:keepLines w:val="0"/>
        <w:pageBreakBefore w:val="0"/>
        <w:widowControl w:val="0"/>
        <w:kinsoku/>
        <w:wordWrap/>
        <w:overflowPunct/>
        <w:topLinePunct w:val="0"/>
        <w:bidi w:val="0"/>
        <w:adjustRightInd w:val="0"/>
        <w:snapToGrid w:val="0"/>
        <w:spacing w:after="157" w:afterLines="50" w:line="46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7、交通事故中“三者”的认定</w:t>
      </w:r>
    </w:p>
    <w:p>
      <w:pPr>
        <w:keepNext w:val="0"/>
        <w:keepLines w:val="0"/>
        <w:pageBreakBefore w:val="0"/>
        <w:widowControl w:val="0"/>
        <w:kinsoku/>
        <w:wordWrap/>
        <w:overflowPunct/>
        <w:topLinePunct w:val="0"/>
        <w:bidi w:val="0"/>
        <w:spacing w:after="157" w:afterLines="50" w:line="460" w:lineRule="exact"/>
        <w:ind w:firstLine="645"/>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一般认为，交通事故中，“三者”的认定具有一定的时空性，在发生交通事故的瞬间，机动车上的乘坐人非因撞击等被动脱离机动车，而是主动脱离机动车站立于车外，此时其应该为“三者”，并非乘坐人，应该属于交强险的赔付对象。机动车驾驶员发生事故时，因其对机动车具有控制力，无论主动离开或被动脱离机动车，均不能转化为“三者”，不属于本车交强险的赔付对象。《</w:t>
      </w:r>
      <w:r>
        <w:rPr>
          <w:rFonts w:hint="eastAsia" w:ascii="仿宋" w:hAnsi="仿宋" w:eastAsia="仿宋" w:cs="仿宋"/>
          <w:bCs/>
          <w:sz w:val="28"/>
          <w:szCs w:val="28"/>
        </w:rPr>
        <w:t>重庆市高级人民法院关于保险合同纠纷法律适用问题的解答》也涉及到该问题，“7、商业三者险中车上人员与第三者如何认定？答：</w:t>
      </w:r>
      <w:r>
        <w:rPr>
          <w:rFonts w:hint="eastAsia" w:ascii="仿宋" w:hAnsi="仿宋" w:eastAsia="仿宋" w:cs="仿宋"/>
          <w:sz w:val="28"/>
          <w:szCs w:val="28"/>
        </w:rPr>
        <w:t>车上人员在正常下车后被所乘机动车造成人身伤亡的，可以被认定为第三者，但因其自身过失导致事故发生的，由于不存在侵权责任，缺乏适用责任保险的前提，保险人主张其不属于商业三者险合同约定的第三者的，人民法院应予支持。车上人员在事故发生过程中，因事故原因脱离所乘机动车而受害，包括脱离所乘机动车后又被所乘机动车碰撞、碾压导致人身伤亡的，均不应被认定为第三者。”</w:t>
      </w:r>
    </w:p>
    <w:p>
      <w:pPr>
        <w:keepNext w:val="0"/>
        <w:keepLines w:val="0"/>
        <w:pageBreakBefore w:val="0"/>
        <w:widowControl w:val="0"/>
        <w:kinsoku/>
        <w:wordWrap/>
        <w:overflowPunct/>
        <w:topLinePunct w:val="0"/>
        <w:bidi w:val="0"/>
        <w:spacing w:after="157" w:afterLines="50" w:line="460" w:lineRule="exact"/>
        <w:ind w:firstLine="645"/>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如中国太平洋财产保险股份有限公司垫江支公司与郭爱娟等、中国平安财产保险股份有限公司贵阳中心支公司、中国人民财产保险股份有限公司漳浦支公司机动车交通事故责任纠纷（2018)渝03民终106号案。</w:t>
      </w:r>
    </w:p>
    <w:p>
      <w:pPr>
        <w:keepNext w:val="0"/>
        <w:keepLines w:val="0"/>
        <w:pageBreakBefore w:val="0"/>
        <w:widowControl w:val="0"/>
        <w:kinsoku/>
        <w:wordWrap/>
        <w:overflowPunct/>
        <w:topLinePunct w:val="0"/>
        <w:bidi w:val="0"/>
        <w:spacing w:after="157" w:afterLines="50" w:line="460" w:lineRule="exact"/>
        <w:ind w:firstLine="645"/>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8、关于交强险无责赔付问题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在处理多车相撞事故时，无责车辆参与了交通事故的，即属于同一起交通事故的，保险公司理赔实践中，一般都会扣除交强险无责赔付的相关金额。故，在审理涉及到类似案件时，对相关责任主体提出的无责赔付主张，应该予以支持。对交通事故案件中无责车辆的保险人未参加诉讼的，应通知其参加诉讼。</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如李家余与重庆市汽车运输集团垫江运输有限责任公司、成善华、中国平安财产保险股份有限公司涪陵中心支公司机动车交通事故责任纠纷(2018)渝03民终550号案。</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9、受害者为已达退休年龄的农村居民的误工费问题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农村居民已达退休年龄，依赖农业收入为主要生活来源的，结合中国农村现实，参与农村劳动是常态，司法应尊重这一事实。故在并无证据证明受害人有其他生活来源的情况下，对虽然超过六十岁但是生活在农村的受害者，尚有一定的劳动能力的，</w:t>
      </w:r>
      <w:r>
        <w:rPr>
          <w:rFonts w:hint="eastAsia" w:ascii="仿宋" w:hAnsi="仿宋" w:eastAsia="仿宋" w:cs="仿宋"/>
          <w:sz w:val="28"/>
          <w:szCs w:val="28"/>
          <w:lang w:val="en-US" w:eastAsia="zh-CN"/>
        </w:rPr>
        <w:t>受害人提供了相应的证据的，</w:t>
      </w:r>
      <w:r>
        <w:rPr>
          <w:rFonts w:hint="eastAsia" w:ascii="仿宋" w:hAnsi="仿宋" w:eastAsia="仿宋" w:cs="仿宋"/>
          <w:sz w:val="28"/>
          <w:szCs w:val="28"/>
        </w:rPr>
        <w:t>一般仍应支持一定的误工费。</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如林先琼、陈若平与靳全均、太平财产保险有限公司重庆分公司机动车交通事故责任纠纷二审(2018)渝03民终839号、(2018)渝03民终840号案</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10、“超标”电动车肇事的交强险赔偿问题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该类</w:t>
      </w:r>
      <w:r>
        <w:rPr>
          <w:rFonts w:hint="eastAsia" w:ascii="仿宋" w:hAnsi="仿宋" w:eastAsia="仿宋" w:cs="仿宋"/>
          <w:sz w:val="28"/>
          <w:szCs w:val="28"/>
        </w:rPr>
        <w:t>车辆</w:t>
      </w:r>
      <w:r>
        <w:rPr>
          <w:rFonts w:hint="eastAsia" w:ascii="仿宋" w:hAnsi="仿宋" w:eastAsia="仿宋" w:cs="仿宋"/>
          <w:sz w:val="28"/>
          <w:szCs w:val="28"/>
          <w:lang w:eastAsia="zh-CN"/>
        </w:rPr>
        <w:t>是以电动车性质销售的。</w:t>
      </w:r>
      <w:r>
        <w:rPr>
          <w:rFonts w:hint="eastAsia" w:ascii="仿宋" w:hAnsi="仿宋" w:eastAsia="仿宋" w:cs="仿宋"/>
          <w:sz w:val="28"/>
          <w:szCs w:val="28"/>
          <w:lang w:val="en-US" w:eastAsia="zh-CN"/>
        </w:rPr>
        <w:t>但要求其购买交强险，存有多重障碍：其一，作为购买人来说，其基于自身常识很难判断其所购电动车为摩托车；其二，囿于国家对电动车立法不完善，即使其认识到车辆属于</w:t>
      </w:r>
      <w:r>
        <w:rPr>
          <w:rFonts w:hint="eastAsia" w:ascii="仿宋" w:hAnsi="仿宋" w:eastAsia="仿宋" w:cs="仿宋"/>
          <w:sz w:val="28"/>
          <w:szCs w:val="28"/>
        </w:rPr>
        <w:t>轻便电瓶二轮摩托车，</w:t>
      </w:r>
      <w:r>
        <w:rPr>
          <w:rFonts w:hint="eastAsia" w:ascii="仿宋" w:hAnsi="仿宋" w:eastAsia="仿宋" w:cs="仿宋"/>
          <w:sz w:val="28"/>
          <w:szCs w:val="28"/>
          <w:lang w:val="en-US" w:eastAsia="zh-CN"/>
        </w:rPr>
        <w:t>但该类车辆上牌与否一般超出当事人的预见；其三，即使电动车上牌后领取了行驶证，但保险公司一般对该类车采取拒保交强险的态度，一般人无法为其电动车购买交强险。所以，不管电动车是否“超标”为机动车，不购买交强险都不能归责于车辆所有人，人民法院不宜判决责任方在交强险限额先行赔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如余元芳与熊廷文、夏东华机动车交通事故责任纠纷一审(2018)渝0102民初1380号、二审（2018）渝03民终1388号案；王林与赵修琼、陈庆容、陈伟机动车交通事故责任纠纷(2018)渝03民终1523号案。</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11、救助基金垫付的问题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民法院在审理机动车交通事故责任纠纷案件中，如果发现有交通事故救助基金垫付医疗费用的，为保护公共利益、平衡当事人利益以及避免案件之间发生事实认定冲突等情况发生，应作出如下处理：若受害人请求的医疗费用中已经包含救助基金垫付的医疗费用，人民法院应该通知救助基金，支持其以有独立请求权的第三人参加诉讼；若受害人请求的医疗费用中不含救助基金垫付的医疗费用，人民法院也应该尽量通知救助基金，支持其就垫付的医疗费提起诉讼，而后两案合并审理，避免作出相互冲突的判决。</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如余元芳与熊廷文、夏东华机动车交通事故责任纠纷一审(2018)渝0102民初1380号、二审（2018）渝03民终1388号案。</w:t>
      </w:r>
    </w:p>
    <w:p>
      <w:pPr>
        <w:keepNext w:val="0"/>
        <w:keepLines w:val="0"/>
        <w:pageBreakBefore w:val="0"/>
        <w:widowControl w:val="0"/>
        <w:kinsoku/>
        <w:wordWrap/>
        <w:overflowPunct/>
        <w:topLinePunct w:val="0"/>
        <w:bidi w:val="0"/>
        <w:spacing w:after="157" w:afterLines="50" w:line="460" w:lineRule="exact"/>
        <w:ind w:firstLine="645"/>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12、基本医疗保险基金已经支付医疗费问题</w:t>
      </w:r>
    </w:p>
    <w:p>
      <w:pPr>
        <w:keepNext w:val="0"/>
        <w:keepLines w:val="0"/>
        <w:pageBreakBefore w:val="0"/>
        <w:widowControl w:val="0"/>
        <w:kinsoku/>
        <w:wordWrap/>
        <w:overflowPunct/>
        <w:topLinePunct w:val="0"/>
        <w:bidi w:val="0"/>
        <w:spacing w:after="157" w:afterLines="50" w:line="460" w:lineRule="exact"/>
        <w:ind w:firstLine="645"/>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实践中，有部分交通事故案件的受害人是通过国家基本医疗保险基金报销了部分医疗费。从</w:t>
      </w:r>
      <w:r>
        <w:rPr>
          <w:rFonts w:hint="eastAsia" w:ascii="仿宋" w:hAnsi="仿宋" w:eastAsia="仿宋" w:cs="仿宋"/>
          <w:sz w:val="28"/>
          <w:szCs w:val="28"/>
        </w:rPr>
        <w:t>《</w:t>
      </w:r>
      <w:r>
        <w:rPr>
          <w:rFonts w:hint="eastAsia" w:ascii="仿宋" w:hAnsi="仿宋" w:eastAsia="仿宋" w:cs="仿宋"/>
          <w:sz w:val="28"/>
          <w:szCs w:val="28"/>
          <w:lang w:val="en-US" w:eastAsia="zh-CN"/>
        </w:rPr>
        <w:t>中华人民共和同社会保险法》第二十八条规定来看，该法对基本医疗保险基金支付的限制仅限于药品目录、诊疗项目等，并未将交通事故排除在外。尽管《重庆市城镇职工基本医疗保险市级统筹暂行办法》第二十六条明确将自杀、自残、斗殴、吸毒、医疗事故、交通事故等发生的医疗费用排除在基本医疗保险基金报销支付范围之外，但一方面该规章制定于2001年，在社会保险法之前，社会保险法已经作出规定，应以社会保险法规定为准；另一方面，各地社保部门在实践中也在报销支付交通事故造成的伤者医疗费。我国社会保险法明确将应当从工伤保险基金中支付的、第三人承担的、公共卫生负担的、在境外就医的四种医疗费排除在基本医疗保险基金的支付范围之外，但并不意味着，只要有第三人侵权，基本医疗保险基金就对受害者不再报销支付。如何报销支付医疗费，要区分几种情况：其一，第三人对受害人受伤承担全部责任的，则基本医疗保险基金不予报销支付，第三人不支付或者无法确定第三人的，基本医疗保险基金可以先行按照药品目录、诊疗项目标准支付，然后向第三人追偿；其二，第三人对受害人受伤承担部分责任的，则基本医疗保险基金对第三人承担的责任比例对应的医疗费，不报销支付，其余医疗费则应该由基本医疗保险基金按照支付药品目录、诊疗项目等支付；其三，意外受伤无第三人参与或者第三人不承担责任的，基本医疗保险基金对当事人产生的医疗费按照药品目录、诊疗项目等全额支付。最后，也是最重要的，如果侵权人系受害人的近亲属、家庭成员，若社会保险局主张追偿，人民法院应驳回其追偿请求。</w:t>
      </w:r>
    </w:p>
    <w:p>
      <w:pPr>
        <w:keepNext w:val="0"/>
        <w:keepLines w:val="0"/>
        <w:pageBreakBefore w:val="0"/>
        <w:widowControl w:val="0"/>
        <w:kinsoku/>
        <w:wordWrap/>
        <w:overflowPunct/>
        <w:topLinePunct w:val="0"/>
        <w:bidi w:val="0"/>
        <w:spacing w:after="157" w:afterLines="50" w:line="460" w:lineRule="exact"/>
        <w:ind w:firstLine="562" w:firstLineChars="200"/>
        <w:textAlignment w:val="auto"/>
        <w:outlineLvl w:val="9"/>
        <w:rPr>
          <w:rFonts w:hint="eastAsia" w:ascii="仿宋" w:hAnsi="仿宋" w:eastAsia="仿宋" w:cs="仿宋"/>
          <w:b/>
          <w:sz w:val="28"/>
          <w:szCs w:val="28"/>
        </w:rPr>
      </w:pPr>
      <w:r>
        <w:rPr>
          <w:rFonts w:hint="eastAsia" w:ascii="仿宋" w:hAnsi="仿宋" w:eastAsia="仿宋" w:cs="仿宋"/>
          <w:b/>
          <w:sz w:val="28"/>
          <w:szCs w:val="28"/>
        </w:rPr>
        <w:t>（二）</w:t>
      </w:r>
      <w:r>
        <w:rPr>
          <w:rFonts w:hint="eastAsia" w:ascii="仿宋" w:hAnsi="仿宋" w:eastAsia="仿宋" w:cs="仿宋"/>
          <w:b/>
          <w:kern w:val="0"/>
          <w:sz w:val="28"/>
          <w:szCs w:val="28"/>
        </w:rPr>
        <w:t>其他侵权案件中的问题</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1、共同饮酒等团队活动中个别参与人受害的责任认定</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共同饮酒者之一死亡，除应当证明死亡与饮酒有因果关系外，还应该严格审查其他参与人有无强制劝酒、对醉酒者是否尽到照顾义务等，若其他参与饮酒者并未有以上情形，则原则上其他参与饮酒者不承担赔偿责任。</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2"/>
          <w:sz w:val="28"/>
          <w:szCs w:val="28"/>
        </w:rPr>
      </w:pPr>
      <w:r>
        <w:rPr>
          <w:rFonts w:hint="eastAsia" w:ascii="仿宋" w:hAnsi="仿宋" w:eastAsia="仿宋" w:cs="仿宋"/>
          <w:kern w:val="0"/>
          <w:sz w:val="28"/>
          <w:szCs w:val="28"/>
        </w:rPr>
        <w:t>如</w:t>
      </w:r>
      <w:r>
        <w:rPr>
          <w:rFonts w:hint="eastAsia" w:ascii="仿宋" w:hAnsi="仿宋" w:eastAsia="仿宋" w:cs="仿宋"/>
          <w:kern w:val="2"/>
          <w:sz w:val="28"/>
          <w:szCs w:val="28"/>
        </w:rPr>
        <w:t>陈娟与徐成林、冉群、舒凤霞、徐子琪、徐子涵生命权纠纷（2018）渝03民终267号案。</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2、关于公平责任的适用</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公平原则不可滥用。一般来说，人民法院适用公平责任案件应该有法律明确的规定。案件受理后，只有遍历过错责任、过错推定、无过错责任后，又不属于侵权责任法明确规定的几类适用公平责任原则的案件，基于损害分担，方可在极端的情况下适用公平责任原则，判决由一方向另一方适当补偿。</w:t>
      </w:r>
    </w:p>
    <w:p>
      <w:pPr>
        <w:pStyle w:val="15"/>
        <w:keepNext w:val="0"/>
        <w:keepLines w:val="0"/>
        <w:pageBreakBefore w:val="0"/>
        <w:widowControl w:val="0"/>
        <w:kinsoku/>
        <w:wordWrap/>
        <w:overflowPunct/>
        <w:topLinePunct w:val="0"/>
        <w:bidi w:val="0"/>
        <w:spacing w:after="157" w:afterLines="50" w:line="460" w:lineRule="exact"/>
        <w:ind w:firstLine="560"/>
        <w:jc w:val="both"/>
        <w:textAlignment w:val="auto"/>
        <w:outlineLvl w:val="9"/>
        <w:rPr>
          <w:rFonts w:hint="eastAsia" w:ascii="仿宋" w:hAnsi="仿宋" w:eastAsia="仿宋" w:cs="仿宋"/>
          <w:kern w:val="0"/>
          <w:sz w:val="28"/>
          <w:szCs w:val="28"/>
        </w:rPr>
      </w:pPr>
      <w:r>
        <w:rPr>
          <w:rFonts w:hint="eastAsia" w:ascii="仿宋" w:hAnsi="仿宋" w:eastAsia="仿宋" w:cs="仿宋"/>
          <w:sz w:val="28"/>
          <w:szCs w:val="28"/>
        </w:rPr>
        <w:t>如</w:t>
      </w:r>
      <w:r>
        <w:rPr>
          <w:rFonts w:hint="eastAsia" w:ascii="仿宋" w:hAnsi="仿宋" w:eastAsia="仿宋" w:cs="仿宋"/>
          <w:kern w:val="0"/>
          <w:sz w:val="28"/>
          <w:szCs w:val="28"/>
        </w:rPr>
        <w:t>丁安秀与肖斌提供劳务者受害责任纠纷</w:t>
      </w:r>
      <w:r>
        <w:rPr>
          <w:rFonts w:hint="eastAsia" w:ascii="仿宋" w:hAnsi="仿宋" w:eastAsia="仿宋" w:cs="仿宋"/>
          <w:kern w:val="2"/>
          <w:sz w:val="28"/>
          <w:szCs w:val="28"/>
        </w:rPr>
        <w:t>(2018)渝03民终222号</w:t>
      </w:r>
      <w:r>
        <w:rPr>
          <w:rFonts w:hint="eastAsia" w:ascii="仿宋" w:hAnsi="仿宋" w:eastAsia="仿宋" w:cs="仿宋"/>
          <w:kern w:val="0"/>
          <w:sz w:val="28"/>
          <w:szCs w:val="28"/>
        </w:rPr>
        <w:t>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3</w:t>
      </w:r>
      <w:r>
        <w:rPr>
          <w:rFonts w:hint="eastAsia" w:ascii="仿宋" w:hAnsi="仿宋" w:eastAsia="仿宋" w:cs="仿宋"/>
          <w:sz w:val="28"/>
          <w:szCs w:val="28"/>
        </w:rPr>
        <w:t>、关于建工意外险与雇主责任险的相关区别</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建筑行业中，作为用工主体的雇主购买的保险一般分为两种：雇主责任险和团体意外险（记名或不记名均存在），相同保额的情况下，通常雇主责任险保费远远高于团体意外险的保费，而建筑行政主管机关要求施工人购买保险，对保险种类未做要求。所以，很多雇主或承包人选择购买保费较低的团体意外险。雇主责任险的被保险人为雇主，在雇主未为雇员投保工伤保险的情况下，转移的是雇主的工伤赔付等风险，而团体意外险的被保险人为雇员，尽管雇主购买该险种的目的可能也是转移自己的风险，但该险种的实质是为雇员提供保障，受益人是雇员本人或其家人，在雇员收到工伤保险或其替代赔付后，若雇员还收到团体意外险的保险赔付款，具有法律依据，不能视为不当得利，雇主也没有权利要求雇员返还。所以，团体意外险宜视为雇主为雇员购买的“福利”，而不能视为转移雇主的工伤赔付风险。</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如代元与被重庆市和霖建筑工程有限责任公司不当得利纠纷 (2018)渝03民终20号案。</w:t>
      </w:r>
    </w:p>
    <w:p>
      <w:pPr>
        <w:keepNext w:val="0"/>
        <w:keepLines w:val="0"/>
        <w:pageBreakBefore w:val="0"/>
        <w:widowControl w:val="0"/>
        <w:kinsoku/>
        <w:wordWrap/>
        <w:overflowPunct/>
        <w:topLinePunct w:val="0"/>
        <w:bidi w:val="0"/>
        <w:spacing w:after="157" w:afterLines="50" w:line="460" w:lineRule="exact"/>
        <w:ind w:firstLine="645"/>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4、关于</w:t>
      </w:r>
      <w:r>
        <w:rPr>
          <w:rFonts w:hint="eastAsia" w:ascii="仿宋" w:hAnsi="仿宋" w:eastAsia="仿宋" w:cs="仿宋"/>
          <w:sz w:val="28"/>
          <w:szCs w:val="28"/>
        </w:rPr>
        <w:t>社会保险基金先行支付的医疗费处理</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在人身损害赔偿纠纷案件中，社会保险制度不能减轻侵权人的侵权责任，而被侵权人也不能因侵权人的违法行为而获利。如果已经支付了医疗费的社会医疗保险机构没有参加诉讼，法院应该向其告知本案的诉讼情况，支持其</w:t>
      </w:r>
      <w:r>
        <w:rPr>
          <w:rFonts w:hint="eastAsia" w:ascii="仿宋" w:hAnsi="仿宋" w:eastAsia="仿宋" w:cs="仿宋"/>
          <w:sz w:val="28"/>
          <w:szCs w:val="28"/>
          <w:lang w:val="en-US" w:eastAsia="zh-CN"/>
        </w:rPr>
        <w:t>以有独立请求权第三人身份</w:t>
      </w:r>
      <w:r>
        <w:rPr>
          <w:rFonts w:hint="eastAsia" w:ascii="仿宋" w:hAnsi="仿宋" w:eastAsia="仿宋" w:cs="仿宋"/>
          <w:sz w:val="28"/>
          <w:szCs w:val="28"/>
        </w:rPr>
        <w:t>行使追偿权。处理医保支付医疗费的侵权案件，应明确两个原则：一是受害人对医保和侵权人的赔偿不能双得；二是侵权人不能因受害人享有医保而减轻赔偿责任。有部分案件符合医疗保险报销政策，同时有侵权人应该承担侵权责任且并非承担100%的责任，则总医疗费中，应该由侵权人承担的医疗费用不属于医保报销范围，已经报销的，人民法院应当按照责任比例判决侵权人向医保机构返还已经报销的医疗费用。侵权人已经支付给被侵权人的，应判决被侵权人向医保机构返还。</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kern w:val="2"/>
          <w:sz w:val="28"/>
          <w:szCs w:val="28"/>
        </w:rPr>
        <w:t>夏忠容与武隆县孟瑞健康咨询服务</w:t>
      </w:r>
      <w:r>
        <w:rPr>
          <w:rFonts w:hint="eastAsia" w:ascii="仿宋" w:hAnsi="仿宋" w:eastAsia="仿宋" w:cs="仿宋"/>
          <w:sz w:val="28"/>
          <w:szCs w:val="28"/>
        </w:rPr>
        <w:t>部、重庆市武隆区社会保险局健康权纠纷（2018）渝03民终891号案。</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5、关于受害人误工费期限的计算问题</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误工时间根据受害人接受治疗的医疗机构出具的证明确定。</w:t>
      </w:r>
      <w:r>
        <w:rPr>
          <w:rFonts w:hint="eastAsia" w:ascii="仿宋" w:hAnsi="仿宋" w:eastAsia="仿宋" w:cs="仿宋"/>
          <w:sz w:val="28"/>
          <w:szCs w:val="28"/>
          <w:lang w:val="en-US" w:eastAsia="zh-CN"/>
        </w:rPr>
        <w:t>但现实中往往医疗机构对误工期未予说明，或者只是建议较短的休息、勿负重等时间。所以，受害人因提供劳务、交通事故等受伤致残的，其往往在伤残鉴定时一般会鉴定误工期限，而一般鉴定的误工期限长于受伤之日至定残之日之间的天数，此时，人民法院应严格按照人赔解释规定，将误工期计算至定残日前一天，而不能按照鉴定意见认定。若鉴定意见认定的误工期限短于受伤之日至定残之日之间的天数,或者受害人伤情未构成伤残的，则可以按照鉴定意见书进行认定。</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如安诚财产保险股份有限公司重庆分公司武隆支公司与王民秀、重庆市武隆区景乐旅游投资有限公司、叶秋杰机动车交通事故责任纠纷(2018)渝03民终1816号案。</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（三）建工案件</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1、实际施工人的表见代理问题</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表见代理的前提是无权代理，认定无权代理行为是否构成表见代理，要严格从两方面考虑，一是要求代理人的无权代理行为在客观上形成具有代理权的表象；二是要求相对人在主观上善意且无过失地相信行为人有代理权，即相对人“有理由相信”无权代理人有代理权。缺一均不构成表见代理，人民法院应对此进行严格审查。</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如夏祥、夏靖与重庆锦新建设集团有限公司建筑设备租赁合同纠纷(2018)渝03民终246号案。</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2、家庭装修中是否要求施工人具有相应资质的问题</w:t>
      </w:r>
    </w:p>
    <w:p>
      <w:pPr>
        <w:pStyle w:val="15"/>
        <w:keepNext w:val="0"/>
        <w:keepLines w:val="0"/>
        <w:pageBreakBefore w:val="0"/>
        <w:widowControl w:val="0"/>
        <w:kinsoku/>
        <w:wordWrap/>
        <w:overflowPunct/>
        <w:topLinePunct w:val="0"/>
        <w:bidi w:val="0"/>
        <w:spacing w:after="157" w:afterLines="50" w:line="460" w:lineRule="exact"/>
        <w:ind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一般认为，住宅装饰装修分为两个阶段，即建设工程竣工验收前的装饰装</w:t>
      </w:r>
      <w:r>
        <w:rPr>
          <w:rFonts w:hint="eastAsia" w:ascii="仿宋" w:hAnsi="仿宋" w:eastAsia="仿宋" w:cs="仿宋"/>
          <w:kern w:val="2"/>
          <w:sz w:val="28"/>
          <w:szCs w:val="28"/>
          <w:lang w:val="en-US" w:eastAsia="zh-CN" w:bidi="ar-SA"/>
        </w:rPr>
        <w:t>修（合同主体是发包方和承包方）和建设工程竣工验收合格后的装饰装修（合同主体是业主或者住宅使用人与装修施工方）。竣工验收合格前的装饰装修属于建设工程施工的一部分，根据相关法律规定，其合同效力的认定应与建设工程施工合同效力的认定标准一致。而建设工程竣工验收后、房屋交付给业主后，由业主和装修施工方签订的装饰装修合同不属于《建筑法》《建设工程质量管理条例》的调整范围，也不适用《最高人民法院关于审理建设工程施工合同纠纷案件适用法律问题的解释》相关规定认定装饰装修合同无效，而应当适用《中华人民共和国合同法》总则及关于承揽合同的相关规定认定合同效力。对无资质的施工人与业主签订的家装合同，除符合其他法定的无效情形外，一般不认定无效。</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如丰都县鸿瑞建材经营部与蔡福英装饰装修合同纠纷 (2018)渝03民终756号案。</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3、工程款计算问题</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工类案件中，涉及违法发包、分包、转包、挂靠等不规范情形，很多案件涉及到自然人主体，这类主体法律意识不高，出具结算类材料如收条、欠条、清单等往往存在重复计算、账务相互包含等现象，此时，一审法院务必注意，在计算账务时予以仔细审查，对重复计算、相互包含等款项予以扣除。</w:t>
      </w:r>
    </w:p>
    <w:p>
      <w:pPr>
        <w:keepNext w:val="0"/>
        <w:keepLines w:val="0"/>
        <w:pageBreakBefore w:val="0"/>
        <w:widowControl w:val="0"/>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如</w:t>
      </w:r>
      <w:r>
        <w:rPr>
          <w:rFonts w:hint="eastAsia" w:ascii="仿宋" w:hAnsi="仿宋" w:eastAsia="仿宋" w:cs="仿宋"/>
          <w:sz w:val="28"/>
          <w:szCs w:val="28"/>
        </w:rPr>
        <w:t>邱远桂与曾祥海建设工程施工合同纠纷</w:t>
      </w:r>
      <w:r>
        <w:rPr>
          <w:rFonts w:hint="eastAsia" w:ascii="仿宋" w:hAnsi="仿宋" w:eastAsia="仿宋" w:cs="仿宋"/>
          <w:sz w:val="28"/>
          <w:szCs w:val="28"/>
          <w:lang w:val="en-US" w:eastAsia="zh-CN"/>
        </w:rPr>
        <w:t>二审</w:t>
      </w:r>
      <w:r>
        <w:rPr>
          <w:rFonts w:hint="eastAsia" w:ascii="仿宋" w:hAnsi="仿宋" w:eastAsia="仿宋" w:cs="仿宋"/>
          <w:sz w:val="28"/>
          <w:szCs w:val="28"/>
        </w:rPr>
        <w:t>（2018）渝03民终1458号案</w:t>
      </w:r>
      <w:r>
        <w:rPr>
          <w:rFonts w:hint="eastAsia" w:ascii="仿宋" w:hAnsi="仿宋" w:eastAsia="仿宋" w:cs="仿宋"/>
          <w:sz w:val="28"/>
          <w:szCs w:val="28"/>
          <w:lang w:eastAsia="zh-CN"/>
        </w:rPr>
        <w:t>。</w:t>
      </w:r>
    </w:p>
    <w:p>
      <w:pPr>
        <w:keepNext w:val="0"/>
        <w:keepLines w:val="0"/>
        <w:pageBreakBefore w:val="0"/>
        <w:widowControl w:val="0"/>
        <w:numPr>
          <w:ilvl w:val="0"/>
          <w:numId w:val="1"/>
        </w:numPr>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关于建设工程优先受偿权是否以建设工程合同有效为前提问题。</w:t>
      </w:r>
    </w:p>
    <w:p>
      <w:pPr>
        <w:keepNext w:val="0"/>
        <w:keepLines w:val="0"/>
        <w:pageBreakBefore w:val="0"/>
        <w:widowControl w:val="0"/>
        <w:numPr>
          <w:ilvl w:val="0"/>
          <w:numId w:val="0"/>
        </w:numPr>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人民法院曾经在2011年的民事会议纪要中明确，合同无效的，承包人不享有优先受偿权，而在其后的多个司法文件、司法判决中确认了优先受偿权不受建设工程合同效力影响。建设工程施工合同司法解释二第17条也未要求行使优先受偿权的前提是施工合同有效，只要求建设工程质量合格就可以行使优先受偿权。所以，承包人的建设工程优先受偿权不受施工合同效力的影响。同时，即使是建设工程未取得建设工程规划许可证等证件，仍不能否定承包人的优先受偿权。</w:t>
      </w:r>
    </w:p>
    <w:p>
      <w:pPr>
        <w:keepNext w:val="0"/>
        <w:keepLines w:val="0"/>
        <w:pageBreakBefore w:val="0"/>
        <w:widowControl w:val="0"/>
        <w:numPr>
          <w:ilvl w:val="0"/>
          <w:numId w:val="0"/>
        </w:numPr>
        <w:kinsoku/>
        <w:wordWrap/>
        <w:overflowPunct/>
        <w:topLinePunct w:val="0"/>
        <w:bidi w:val="0"/>
        <w:snapToGrid w:val="0"/>
        <w:spacing w:after="157" w:afterLines="50"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如重庆市渝西建筑工程有限公司与重庆龙王洞生态农业发展有限公司、邓大勇、谭兴于、邓志锋建设工程施工合同纠纷（2018）渝03民终1564号案。</w:t>
      </w:r>
    </w:p>
    <w:p>
      <w:pPr>
        <w:keepNext w:val="0"/>
        <w:keepLines w:val="0"/>
        <w:pageBreakBefore w:val="0"/>
        <w:widowControl w:val="0"/>
        <w:kinsoku/>
        <w:wordWrap/>
        <w:overflowPunct/>
        <w:topLinePunct w:val="0"/>
        <w:bidi w:val="0"/>
        <w:spacing w:after="157" w:afterLines="50" w:line="460" w:lineRule="exact"/>
        <w:ind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（四）物权类案件</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1、涉及无权处分的情形，因涉及真正权利人的失权，故应严格审查受让人是否构成物权法106条规定的善意取得，从交易的价格、各方当事人的熟识度、登记记载情况、物权的占有情况等综合审查。</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在涉及不动产登记错误、受让人取得登记名义人资格后但不能以善意取得等取得物权时，物权人或债权人请求人民法院直接确认其享有不动产所有权的，因不动产物权的取得，除交付外，尚需办理登记手续，在涉案不动产尚登记在他人名下的情况下，当事人请求确认其享有不动产所有权的，缺乏法律依据，人民法院不宜直接判决确权，而应当判决他人向权利人办理登记过户。</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如王建军与杨翔、赵治强、代远凌所有权确认纠纷（2017）渝03民终1933号案。</w:t>
      </w:r>
    </w:p>
    <w:p>
      <w:pPr>
        <w:keepNext w:val="0"/>
        <w:keepLines w:val="0"/>
        <w:pageBreakBefore w:val="0"/>
        <w:widowControl w:val="0"/>
        <w:kinsoku/>
        <w:wordWrap/>
        <w:overflowPunct/>
        <w:topLinePunct w:val="0"/>
        <w:bidi w:val="0"/>
        <w:spacing w:after="157" w:afterLines="50" w:line="460" w:lineRule="exact"/>
        <w:ind w:firstLine="562" w:firstLineChars="200"/>
        <w:jc w:val="left"/>
        <w:textAlignment w:val="auto"/>
        <w:outlineLvl w:val="9"/>
        <w:rPr>
          <w:rFonts w:hint="eastAsia" w:ascii="仿宋" w:hAnsi="仿宋" w:eastAsia="仿宋" w:cs="仿宋"/>
          <w:b/>
          <w:sz w:val="28"/>
          <w:szCs w:val="28"/>
        </w:rPr>
      </w:pPr>
      <w:r>
        <w:rPr>
          <w:rFonts w:hint="eastAsia" w:ascii="仿宋" w:hAnsi="仿宋" w:eastAsia="仿宋" w:cs="仿宋"/>
          <w:b/>
          <w:sz w:val="28"/>
          <w:szCs w:val="28"/>
        </w:rPr>
        <w:t>（五）婚姻家庭类案件</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1、离婚财产分配问题</w:t>
      </w:r>
    </w:p>
    <w:p>
      <w:pPr>
        <w:keepNext w:val="0"/>
        <w:keepLines w:val="0"/>
        <w:pageBreakBefore w:val="0"/>
        <w:widowControl w:val="0"/>
        <w:kinsoku/>
        <w:wordWrap/>
        <w:overflowPunct/>
        <w:topLinePunct w:val="0"/>
        <w:bidi w:val="0"/>
        <w:spacing w:after="157" w:afterLines="50" w:line="460" w:lineRule="exact"/>
        <w:ind w:firstLine="567"/>
        <w:textAlignment w:val="auto"/>
        <w:outlineLvl w:val="9"/>
        <w:rPr>
          <w:rFonts w:hint="eastAsia" w:ascii="仿宋" w:hAnsi="仿宋" w:eastAsia="仿宋" w:cs="仿宋"/>
          <w:sz w:val="28"/>
          <w:szCs w:val="28"/>
        </w:rPr>
      </w:pPr>
      <w:r>
        <w:rPr>
          <w:rFonts w:hint="eastAsia" w:ascii="仿宋" w:hAnsi="仿宋" w:eastAsia="仿宋" w:cs="仿宋"/>
          <w:sz w:val="28"/>
          <w:szCs w:val="28"/>
        </w:rPr>
        <w:t>基层法院对当事人离婚时财产处理特别是涉及财产较多时，不能一次性全部分配完毕，这种导向是不正确的。一是在离婚后再通过离婚后财产纠纷进行再三诉讼，增加当事人诉累，也给人民法院增加了工作量；二是因一审对财产未分配完毕，容易导致该类案件上诉率升高，矛盾增大；三是如果二审法院对财产进行了分配，有剥夺当事人上诉权之嫌。所以，人民法院对离婚案件，在判决离婚时，能够对财产一并处理完毕就尽量处理完毕。</w:t>
      </w:r>
    </w:p>
    <w:p>
      <w:pPr>
        <w:keepNext w:val="0"/>
        <w:keepLines w:val="0"/>
        <w:pageBreakBefore w:val="0"/>
        <w:widowControl w:val="0"/>
        <w:kinsoku/>
        <w:wordWrap/>
        <w:overflowPunct/>
        <w:topLinePunct w:val="0"/>
        <w:bidi w:val="0"/>
        <w:spacing w:after="157" w:afterLines="50" w:line="460" w:lineRule="exact"/>
        <w:ind w:firstLine="567"/>
        <w:textAlignment w:val="auto"/>
        <w:outlineLvl w:val="9"/>
        <w:rPr>
          <w:rFonts w:hint="eastAsia" w:ascii="仿宋" w:hAnsi="仿宋" w:eastAsia="仿宋" w:cs="仿宋"/>
          <w:sz w:val="28"/>
          <w:szCs w:val="28"/>
        </w:rPr>
      </w:pPr>
      <w:r>
        <w:rPr>
          <w:rFonts w:hint="eastAsia" w:ascii="仿宋" w:hAnsi="仿宋" w:eastAsia="仿宋" w:cs="仿宋"/>
          <w:sz w:val="28"/>
          <w:szCs w:val="28"/>
        </w:rPr>
        <w:t>如周春菊与杨代明离婚纠纷(2018)渝03民终205号案。</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2、离婚后要求变更抚养费给付标准问题</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离婚后，双方在经济状况、抚养能力未发生重大变化，原则上对抚养费给付标准不予调整。因双方离婚时对子女抚养、财产分配等进行调解后，该调解协议是解决离婚纠纷的一揽子协定，相互之间不是独立的，若允许一方在并无重大生活变故出现而径直改变离婚协议约定，判决另一方给付抚养费，那么一是将助长不诚信行为，另一方面将对双方也不公平。</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如袁其碧与吴文佳抚养费纠纷 (2018)渝03民终102号案。</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3、离婚后土地承包经营权的分割问题</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离婚双方当事人婚姻缔结于二轮土地承包之前（二轮土地承包之后结婚且将户籍迁入男方家庭，丧失原居住地土地承包经营权的，是否也应该对男方家庭土地承包经营权享有权益？），在当事人已经离婚的情况下，离婚后双方如果仍为该集体经济组织成员，其仍享有农村土地的承包经营权。此时，其要求对承包地进行实物分割，人民法院应予支持。可以判决对土地承包经营权对应的承包地进行实物分割。而不应仅仅确认脱离原家庭承包户的一方仅享有土地承包经营收益，而向原家庭承包户主张承包经营收益。这一方面有利于保护离婚后脱离原家庭承包户的一方当事人合法权益（生存权益），另一方面有利于纠纷的一次性解决。若离婚后女方将户籍迁出男方家庭所在集体经济组织、结婚后在原集体经济组织仍享有农村土地承包经营权等情形，请求分割农村承包地的，应不予支持。</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如陈金敏与唐余树、唐滢滢、唐小娟土地承包经营权纠纷二审(2018)渝03民终1697号案</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4、关于涉及子女抚养的判项用语问题</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从司法实践情况看，很多离婚案件裁判文书在确定子女的抚养关系时，在判项中常表述为婚生子女某某随（父或母一方）生活。这可能是受到了《子女抚养意见》的影响。该司法解释第一条规定“两周岁以下的子女，一般随母方生活。母方有下列情形之一的，看随父方生活。”但该司法解释</w:t>
      </w:r>
      <w:r>
        <w:rPr>
          <w:rFonts w:hint="eastAsia" w:ascii="仿宋" w:hAnsi="仿宋" w:eastAsia="仿宋" w:cs="仿宋"/>
          <w:sz w:val="28"/>
          <w:szCs w:val="28"/>
          <w:lang w:val="en-US" w:eastAsia="zh-CN"/>
        </w:rPr>
        <w:t>比对</w:t>
      </w:r>
      <w:r>
        <w:rPr>
          <w:rFonts w:hint="eastAsia" w:ascii="仿宋" w:hAnsi="仿宋" w:eastAsia="仿宋" w:cs="仿宋"/>
          <w:sz w:val="28"/>
          <w:szCs w:val="28"/>
        </w:rPr>
        <w:t>的是1980年颁布的《婚姻法》，1980年颁布的《婚姻法》第二十九条规定“离婚后，子女无论由父方或母方抚养义务，仍是父母双方在的子女。离婚后，父母对于子女仍有抚养和教育的权利和义务”。为了避免当事人将“由父方或母方抚养”误解为抚养权归乙方当时《子女抚养意见》采用了以“随生活”替代“由抚养”的表述方式。但是，2001年《婚姻法》进行修正时，已将上述条文中的“离婚后，子女无论由父方或母方抚养”修改为“离婚后，子女无论由父或母直接抚养”。增加“直接”两字已可避免当事人将“由直接抚养”误解为抚养权归属一方。基于以上变化，</w:t>
      </w:r>
      <w:r>
        <w:rPr>
          <w:rFonts w:hint="eastAsia" w:ascii="仿宋" w:hAnsi="仿宋" w:eastAsia="仿宋" w:cs="仿宋"/>
          <w:sz w:val="28"/>
          <w:szCs w:val="28"/>
          <w:lang w:val="en-US" w:eastAsia="zh-CN"/>
        </w:rPr>
        <w:t>建议将涉及子女抚养的判项用词时，不再使用“随</w:t>
      </w:r>
      <w:r>
        <w:rPr>
          <w:rFonts w:hint="eastAsia" w:ascii="仿宋" w:hAnsi="仿宋" w:eastAsia="仿宋" w:cs="仿宋"/>
          <w:sz w:val="28"/>
          <w:szCs w:val="28"/>
        </w:rPr>
        <w:t>某某随（父或母一方）生活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代之以“由某某（父或母一方）直接抚养”。</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（六）执行异议之诉类案件</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1、案外人执行异议之诉类案件证据审查问题</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根据民事诉讼法及其司法解释的规定，案外人</w:t>
      </w:r>
      <w:r>
        <w:rPr>
          <w:rFonts w:hint="eastAsia" w:ascii="仿宋" w:hAnsi="仿宋" w:eastAsia="仿宋" w:cs="仿宋"/>
          <w:sz w:val="28"/>
          <w:szCs w:val="28"/>
        </w:rPr>
        <w:t>能否阻却执行，审查的是案外人能否提供充分的证据证明其享有足以排除执行的民事权益，在案外人不能提供充分的证据证明其享有足以排除执行的民事权益时，人民法院只能判决驳回案外人的诉讼请求，没有其他选择。在人民法院已经采取执行措施的前提下，对于执行标的物的权益是否是被执行人享有，不是执行异议之诉的审查范围。</w:t>
      </w:r>
      <w:r>
        <w:rPr>
          <w:rFonts w:hint="eastAsia" w:ascii="仿宋" w:hAnsi="仿宋" w:eastAsia="仿宋" w:cs="仿宋"/>
          <w:sz w:val="28"/>
          <w:szCs w:val="28"/>
          <w:lang w:val="en-US" w:eastAsia="zh-CN"/>
        </w:rPr>
        <w:t>即使现有证据不能证明执行标的属于被执行人，人民法院仍应驳回案外人的诉讼请求。</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w:t>
      </w:r>
      <w:r>
        <w:rPr>
          <w:rFonts w:hint="eastAsia" w:ascii="仿宋" w:hAnsi="仿宋" w:eastAsia="仿宋" w:cs="仿宋"/>
          <w:sz w:val="28"/>
          <w:szCs w:val="28"/>
        </w:rPr>
        <w:t>杨小梅、陈晓华因与周大纯、传光胜、李孙涛、艾玉勇、李世会、重庆市乔隆商贸有限公司、重庆梦工房建筑劳务有限公司、江汉油田瑞腾达工程潜江有限公司、周华案外人执行异议之诉（2018)渝03民终1061号案。</w:t>
      </w:r>
    </w:p>
    <w:p>
      <w:pPr>
        <w:keepNext w:val="0"/>
        <w:keepLines w:val="0"/>
        <w:pageBreakBefore w:val="0"/>
        <w:widowControl w:val="0"/>
        <w:kinsoku/>
        <w:wordWrap/>
        <w:overflowPunct/>
        <w:topLinePunct w:val="0"/>
        <w:bidi w:val="0"/>
        <w:snapToGrid w:val="0"/>
        <w:spacing w:after="157" w:afterLines="50" w:line="460" w:lineRule="exact"/>
        <w:ind w:firstLine="562" w:firstLineChars="200"/>
        <w:textAlignment w:val="auto"/>
        <w:outlineLvl w:val="9"/>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七</w:t>
      </w:r>
      <w:r>
        <w:rPr>
          <w:rFonts w:hint="eastAsia" w:ascii="仿宋" w:hAnsi="仿宋" w:eastAsia="仿宋" w:cs="仿宋"/>
          <w:b/>
          <w:sz w:val="28"/>
          <w:szCs w:val="28"/>
        </w:rPr>
        <w:t>）其他程序性问题</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sz w:val="28"/>
          <w:szCs w:val="28"/>
        </w:rPr>
        <w:t>1、有判决书中在列当事人身份时，有出现“</w:t>
      </w:r>
      <w:r>
        <w:rPr>
          <w:rFonts w:hint="eastAsia" w:ascii="仿宋" w:hAnsi="仿宋" w:eastAsia="仿宋" w:cs="仿宋"/>
          <w:kern w:val="0"/>
          <w:sz w:val="28"/>
          <w:szCs w:val="28"/>
        </w:rPr>
        <w:t>原告塈被告”的情况，该方式列当事人身份无任何法律依据。对该类合并审理的案件，人民法院应通过分别制作判决书的形式解决。</w:t>
      </w:r>
    </w:p>
    <w:p>
      <w:pPr>
        <w:keepNext w:val="0"/>
        <w:keepLines w:val="0"/>
        <w:pageBreakBefore w:val="0"/>
        <w:widowControl w:val="0"/>
        <w:kinsoku/>
        <w:wordWrap/>
        <w:overflowPunct/>
        <w:topLinePunct w:val="0"/>
        <w:bidi w:val="0"/>
        <w:spacing w:after="157" w:afterLines="50" w:line="460" w:lineRule="exact"/>
        <w:ind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如</w:t>
      </w:r>
      <w:r>
        <w:rPr>
          <w:rFonts w:hint="eastAsia" w:ascii="仿宋" w:hAnsi="仿宋" w:eastAsia="仿宋" w:cs="仿宋"/>
          <w:sz w:val="28"/>
          <w:szCs w:val="28"/>
        </w:rPr>
        <w:t>中国太平洋财产保险股份有限公司重庆市九龙坡支公司与陈学初、殷坤云、杨中平、钟光伦、喻中强、王焱、重庆同益汽车运输有限公司机动车交通事故责任纠纷(2018)渝03民终483号案。</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2、在无民事行为能力作为当事人时，有判决未列明其法定代理人，剥夺了当事人的诉讼权利。</w:t>
      </w:r>
    </w:p>
    <w:p>
      <w:pPr>
        <w:keepNext w:val="0"/>
        <w:keepLines w:val="0"/>
        <w:pageBreakBefore w:val="0"/>
        <w:widowControl w:val="0"/>
        <w:kinsoku/>
        <w:wordWrap/>
        <w:overflowPunct/>
        <w:topLinePunct w:val="0"/>
        <w:bidi w:val="0"/>
        <w:spacing w:after="157" w:afterLines="50" w:line="460" w:lineRule="exact"/>
        <w:ind w:firstLine="630"/>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如</w:t>
      </w:r>
      <w:r>
        <w:rPr>
          <w:rFonts w:hint="eastAsia" w:ascii="仿宋" w:hAnsi="仿宋" w:eastAsia="仿宋" w:cs="仿宋"/>
          <w:sz w:val="28"/>
          <w:szCs w:val="28"/>
        </w:rPr>
        <w:t>屈暗箭与罗见中、屈洪海、杨乾珍健康权纠纷(2018)渝03民终918号案。</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3、重复诉讼问题，应严格审查诉讼案件是否符合</w:t>
      </w:r>
      <w:r>
        <w:rPr>
          <w:rFonts w:hint="eastAsia" w:ascii="仿宋" w:hAnsi="仿宋" w:eastAsia="仿宋" w:cs="仿宋"/>
          <w:sz w:val="28"/>
          <w:szCs w:val="28"/>
        </w:rPr>
        <w:t>《最高人民法院关于适用&lt;中华人民共和国民事诉讼法&gt;的解释》第二百四十七条规定的重复诉讼条件，同时应着重审查后诉的审判会否实质上否定前诉的判决结果。</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重庆市垫江房地产有限责任公司与刘晓东、魏陵波、李双霜返还原物纠纷(2018)渝03民终1012号案、北城致远集团有限公司与重庆刚宏建筑劳务有限公司、北城致远集团有限公司一建公司（已注销）、重庆市金科实业集团科润房地产开发有限公司建设工程施工合同纠纷（2018）渝03民终403号案。</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4、必须参加诉讼的当事人未参加诉讼问题。主要涉及法定继承或共有物分割案件上，不管分割财产是否影响其他共有人、继承人权益，人民法院都应该通知其参加诉讼，而不能以不参加本案诉讼不影响其分配权利的理由，不通知前述当事人参加诉讼。</w:t>
      </w:r>
    </w:p>
    <w:p>
      <w:pPr>
        <w:keepNext w:val="0"/>
        <w:keepLines w:val="0"/>
        <w:pageBreakBefore w:val="0"/>
        <w:widowControl w:val="0"/>
        <w:kinsoku/>
        <w:wordWrap/>
        <w:overflowPunct/>
        <w:topLinePunct w:val="0"/>
        <w:autoSpaceDE w:val="0"/>
        <w:autoSpaceDN w:val="0"/>
        <w:bidi w:val="0"/>
        <w:adjustRightInd w:val="0"/>
        <w:spacing w:after="157" w:afterLines="50" w:line="4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如杨海忠、彭正美与付义胜共有物分割纠纷 (2018)渝03民终926号案。石其福、梁大琼与石川共有物分割纠纷（2018）渝03民终1353号案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5、关于补正裁定的出具问题</w:t>
      </w:r>
      <w:r>
        <w:rPr>
          <w:rFonts w:hint="eastAsia" w:ascii="仿宋" w:hAnsi="仿宋" w:eastAsia="仿宋" w:cs="仿宋"/>
          <w:kern w:val="0"/>
          <w:sz w:val="28"/>
          <w:szCs w:val="28"/>
        </w:rPr>
        <w:t>。一般来说，补正裁定的出具时间没有严格限制，但是在当事人提起上诉后，一审法院不应再出具补正裁定书。补正裁定一般只能补正笔误，而不能对事实认定、金额和具有履行内容的判项等进行补正。</w:t>
      </w:r>
    </w:p>
    <w:p>
      <w:pPr>
        <w:keepNext w:val="0"/>
        <w:keepLines w:val="0"/>
        <w:pageBreakBefore w:val="0"/>
        <w:widowControl w:val="0"/>
        <w:kinsoku/>
        <w:wordWrap/>
        <w:overflowPunct/>
        <w:topLinePunct w:val="0"/>
        <w:bidi w:val="0"/>
        <w:spacing w:after="157" w:afterLines="50" w:line="46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如</w:t>
      </w:r>
      <w:r>
        <w:rPr>
          <w:rFonts w:hint="eastAsia" w:ascii="仿宋" w:hAnsi="仿宋" w:eastAsia="仿宋" w:cs="仿宋"/>
          <w:sz w:val="28"/>
          <w:szCs w:val="28"/>
        </w:rPr>
        <w:t>蒋兴华与古民、国基建设集团有限公司、重庆携港实业集团有限公司、郭奇灵建设工程施工合同纠纷 (2018)渝03民终682号案。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6、个别案件的漏判现象。一审法院对此应当务必注意，对当事人的每项诉讼请求，不但应当作出评述、分析，更应当在判项中予以体现，否则将是遗漏当事人诉讼请求，属于重大错误。</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如秦纯兰、张杰与周必福、尹宇返还原物纠纷案（2018）渝03民终855号。</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当事人申请调取证据、鉴定问题。按照最高人民法院的司法政策精神，对查明案件事实有重要影响的证据，应依当事人申请调取、鉴定，否则将影响当事人实体权利的实现。故在此情形下，如果二审法院予以直接处理，会剥夺当事人的上诉权，应该在一审法院进行处理。故二审法院为保障当事人权利，发回一审法院进行处理。</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如黄武顺与吴建华财产损害赔偿纠纷(2018)渝03民终1432号案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传销类案件的处理问题。参照最高人民法院《关于咸阳爱心总公司与咸阳爱心公司1930名传销员传销纠纷如何适用(1998)38号通知的复函》(1999)民他字第2号规定精神，对参与传销人员请求传销组织人员、其他参与传销人员返还投资款、不当得利等诉讼请求，不属于人民法院民事诉讼的受理范围，应裁定驳回起诉。</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如余东江、刘金香与郭德惠不当得利纠纷(2018)渝03民终1577号案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简易程序超审限问题。根据《最高人民法院关于适用&lt;中华人民共和国民事诉讼法&gt;的解释》第二百五十八条规定：“适用简易程序审理的案件，审理期限到期后，双方当事人同意继续适用简易程序的，由本院院长批准，可以延长审理期限。延长后的审理期限累计不得超过六个月。” 人民法院适用简易程序审理的案件，法定的审限是立案之日起三个月，但是经本院院长批准，审限最长有六个月。如果在规定期间内不能结案，应征求双方同意并经本院院长批准再延长。虽然审限规定主要是法院内部监督制度要求，仍不能简单在案卷中写一份书面说明就可以随意延长。尽管对超审限是否发回重审存在争议，但三中院曾经有因超审限而发回重审的先例。一审法院对此务必注意。</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如重庆金卓建筑工程有限公司与王天文等建设工程施工合同纠纷系列(2018)渝03民终1618号、1634号、1636号、1637号、1641号、1642号、1672号、1673号、1674号、1675号、1676号11案。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执行异议案件当事人另案提起确权之诉的问题。本院在办理执行异议案件及执行异议之诉案件过程中，发现有基层法院(涪陵区法院）在明知双方当事人在执行异议、执行异议之诉程序之中，仍另案受理了涉及争讼财产的确权之诉。根据《最高人民法院关于依法制裁规避执行行为的若干意见》第九条和第十一条、《最关于执行权合理配置和科学运行的若干意见》第二十六条规定，案外人对已经被查封、扣押、冻结的财产主张确权，只能依照民事诉讼法第二百二十七条规定提起案外人执行异议之诉，而不能另行提起确权之诉。已经起诉的，裁定驳回起诉。</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张黎明与重庆市博天房地产开发有限公司申请人执行人执行异议之诉纠纷（2018）渝03民初374、375、376号案。</w:t>
      </w:r>
    </w:p>
    <w:p>
      <w:pPr>
        <w:keepNext w:val="0"/>
        <w:keepLines w:val="0"/>
        <w:pageBreakBefore w:val="0"/>
        <w:widowControl w:val="0"/>
        <w:kinsoku/>
        <w:wordWrap/>
        <w:overflowPunct/>
        <w:topLinePunct w:val="0"/>
        <w:bidi w:val="0"/>
        <w:spacing w:after="157" w:afterLines="50" w:line="460" w:lineRule="exact"/>
        <w:ind w:firstLine="540"/>
        <w:jc w:val="left"/>
        <w:textAlignment w:val="auto"/>
        <w:outlineLvl w:val="9"/>
        <w:rPr>
          <w:rFonts w:hint="eastAsia" w:ascii="仿宋" w:hAnsi="仿宋" w:eastAsia="仿宋" w:cs="仿宋"/>
          <w:sz w:val="28"/>
          <w:szCs w:val="28"/>
          <w:lang w:val="en-US" w:eastAsia="zh-C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BAB190"/>
    <w:multiLevelType w:val="singleLevel"/>
    <w:tmpl w:val="D9BAB19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28B6"/>
    <w:rsid w:val="00016A8C"/>
    <w:rsid w:val="000324CD"/>
    <w:rsid w:val="0003529B"/>
    <w:rsid w:val="000642BF"/>
    <w:rsid w:val="000767BD"/>
    <w:rsid w:val="00087A6E"/>
    <w:rsid w:val="00091AB0"/>
    <w:rsid w:val="001636F4"/>
    <w:rsid w:val="00172836"/>
    <w:rsid w:val="001C33F3"/>
    <w:rsid w:val="001F2921"/>
    <w:rsid w:val="002174FF"/>
    <w:rsid w:val="0022375E"/>
    <w:rsid w:val="00307D75"/>
    <w:rsid w:val="003226FC"/>
    <w:rsid w:val="00322EFA"/>
    <w:rsid w:val="003554B8"/>
    <w:rsid w:val="00355AAC"/>
    <w:rsid w:val="00393EF4"/>
    <w:rsid w:val="003964FD"/>
    <w:rsid w:val="003B3B7B"/>
    <w:rsid w:val="00412877"/>
    <w:rsid w:val="004A6B42"/>
    <w:rsid w:val="005A08F1"/>
    <w:rsid w:val="005E1BC9"/>
    <w:rsid w:val="005F4388"/>
    <w:rsid w:val="005F77E3"/>
    <w:rsid w:val="00630AD2"/>
    <w:rsid w:val="00636CE9"/>
    <w:rsid w:val="006F42C3"/>
    <w:rsid w:val="00716CC1"/>
    <w:rsid w:val="0077762A"/>
    <w:rsid w:val="007D5B59"/>
    <w:rsid w:val="007E7A10"/>
    <w:rsid w:val="007F311A"/>
    <w:rsid w:val="007F5004"/>
    <w:rsid w:val="00806A2D"/>
    <w:rsid w:val="00806B62"/>
    <w:rsid w:val="00807883"/>
    <w:rsid w:val="008C7C37"/>
    <w:rsid w:val="008D51B6"/>
    <w:rsid w:val="008E38F4"/>
    <w:rsid w:val="008F1991"/>
    <w:rsid w:val="00934E56"/>
    <w:rsid w:val="009561E5"/>
    <w:rsid w:val="009D6978"/>
    <w:rsid w:val="009F7D57"/>
    <w:rsid w:val="00A5708B"/>
    <w:rsid w:val="00A86A17"/>
    <w:rsid w:val="00B23702"/>
    <w:rsid w:val="00B35B6C"/>
    <w:rsid w:val="00B56406"/>
    <w:rsid w:val="00B61443"/>
    <w:rsid w:val="00B758D2"/>
    <w:rsid w:val="00B8616A"/>
    <w:rsid w:val="00BA7F61"/>
    <w:rsid w:val="00BB5774"/>
    <w:rsid w:val="00BC52C1"/>
    <w:rsid w:val="00C25E66"/>
    <w:rsid w:val="00C30FEA"/>
    <w:rsid w:val="00C47924"/>
    <w:rsid w:val="00C71F52"/>
    <w:rsid w:val="00C9769C"/>
    <w:rsid w:val="00CA4757"/>
    <w:rsid w:val="00CD2E46"/>
    <w:rsid w:val="00D41DB3"/>
    <w:rsid w:val="00D423C2"/>
    <w:rsid w:val="00D67A6F"/>
    <w:rsid w:val="00D7012B"/>
    <w:rsid w:val="00D92239"/>
    <w:rsid w:val="00D928B6"/>
    <w:rsid w:val="00DA59F3"/>
    <w:rsid w:val="00E01DDE"/>
    <w:rsid w:val="00E1232C"/>
    <w:rsid w:val="00E24796"/>
    <w:rsid w:val="00E47817"/>
    <w:rsid w:val="00EA259B"/>
    <w:rsid w:val="00EC2D03"/>
    <w:rsid w:val="00ED14B6"/>
    <w:rsid w:val="00F07E69"/>
    <w:rsid w:val="00FA7C0B"/>
    <w:rsid w:val="01A7106F"/>
    <w:rsid w:val="02CD1117"/>
    <w:rsid w:val="036656C5"/>
    <w:rsid w:val="03C14B4C"/>
    <w:rsid w:val="05B13C59"/>
    <w:rsid w:val="098E5643"/>
    <w:rsid w:val="0BBA190E"/>
    <w:rsid w:val="0D516200"/>
    <w:rsid w:val="0F5357C3"/>
    <w:rsid w:val="16D659B7"/>
    <w:rsid w:val="17470258"/>
    <w:rsid w:val="1B1E1218"/>
    <w:rsid w:val="1CF75D32"/>
    <w:rsid w:val="1EBD4312"/>
    <w:rsid w:val="216A7BA9"/>
    <w:rsid w:val="21E00985"/>
    <w:rsid w:val="239D2079"/>
    <w:rsid w:val="265D23C1"/>
    <w:rsid w:val="2DE63D40"/>
    <w:rsid w:val="2DFF5F59"/>
    <w:rsid w:val="301453E4"/>
    <w:rsid w:val="31735CC7"/>
    <w:rsid w:val="336B32DE"/>
    <w:rsid w:val="33722FCC"/>
    <w:rsid w:val="33B45EAC"/>
    <w:rsid w:val="34447613"/>
    <w:rsid w:val="37B361AE"/>
    <w:rsid w:val="37BB5608"/>
    <w:rsid w:val="3BED772C"/>
    <w:rsid w:val="3F5B6601"/>
    <w:rsid w:val="3FA3366D"/>
    <w:rsid w:val="40503B2E"/>
    <w:rsid w:val="419376EE"/>
    <w:rsid w:val="42F1028E"/>
    <w:rsid w:val="42FB4066"/>
    <w:rsid w:val="43353347"/>
    <w:rsid w:val="43596FBA"/>
    <w:rsid w:val="464520FF"/>
    <w:rsid w:val="4CA3524C"/>
    <w:rsid w:val="50AD3403"/>
    <w:rsid w:val="50FE6AA9"/>
    <w:rsid w:val="53E02695"/>
    <w:rsid w:val="53F247B5"/>
    <w:rsid w:val="54F053C7"/>
    <w:rsid w:val="55717BE1"/>
    <w:rsid w:val="574C3739"/>
    <w:rsid w:val="576008C1"/>
    <w:rsid w:val="59E32122"/>
    <w:rsid w:val="5C1254C3"/>
    <w:rsid w:val="5EFF63C8"/>
    <w:rsid w:val="611D69C9"/>
    <w:rsid w:val="62B412F7"/>
    <w:rsid w:val="648427DF"/>
    <w:rsid w:val="69C55E75"/>
    <w:rsid w:val="6CB83A63"/>
    <w:rsid w:val="703B4387"/>
    <w:rsid w:val="719845D9"/>
    <w:rsid w:val="731A4E88"/>
    <w:rsid w:val="752D0211"/>
    <w:rsid w:val="75E631B6"/>
    <w:rsid w:val="76D8673A"/>
    <w:rsid w:val="76E73153"/>
    <w:rsid w:val="791A15BE"/>
    <w:rsid w:val="7938309D"/>
    <w:rsid w:val="7A8C5296"/>
    <w:rsid w:val="7ACB0C91"/>
    <w:rsid w:val="7AD554DA"/>
    <w:rsid w:val="7AE01BE9"/>
    <w:rsid w:val="7B93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qFormat/>
    <w:uiPriority w:val="0"/>
    <w:rPr>
      <w:rFonts w:ascii="宋体" w:hAnsi="Courier New" w:eastAsia="宋体" w:cs="Times New Roman"/>
      <w:color w:val="000000"/>
      <w:szCs w:val="21"/>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1959A1"/>
      <w:u w:val="none"/>
    </w:rPr>
  </w:style>
  <w:style w:type="character" w:styleId="9">
    <w:name w:val="Hyperlink"/>
    <w:basedOn w:val="6"/>
    <w:semiHidden/>
    <w:unhideWhenUsed/>
    <w:qFormat/>
    <w:uiPriority w:val="99"/>
    <w:rPr>
      <w:color w:val="1959A1"/>
      <w:u w:val="none"/>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character" w:customStyle="1" w:styleId="13">
    <w:name w:val="纯文本 Char"/>
    <w:basedOn w:val="6"/>
    <w:link w:val="2"/>
    <w:qFormat/>
    <w:uiPriority w:val="0"/>
    <w:rPr>
      <w:rFonts w:ascii="宋体" w:hAnsi="Courier New" w:eastAsia="宋体" w:cs="Times New Roman"/>
      <w:color w:val="000000"/>
      <w:szCs w:val="21"/>
    </w:rPr>
  </w:style>
  <w:style w:type="character" w:customStyle="1" w:styleId="14">
    <w:name w:val="司法正文 Char"/>
    <w:basedOn w:val="6"/>
    <w:link w:val="15"/>
    <w:qFormat/>
    <w:locked/>
    <w:uiPriority w:val="0"/>
    <w:rPr>
      <w:rFonts w:ascii="仿宋" w:hAnsi="仿宋" w:eastAsia="仿宋"/>
      <w:kern w:val="32"/>
      <w:sz w:val="32"/>
      <w:szCs w:val="32"/>
    </w:rPr>
  </w:style>
  <w:style w:type="paragraph" w:customStyle="1" w:styleId="15">
    <w:name w:val="司法正文"/>
    <w:link w:val="14"/>
    <w:qFormat/>
    <w:uiPriority w:val="0"/>
    <w:pPr>
      <w:widowControl w:val="0"/>
      <w:ind w:firstLine="200" w:firstLineChars="200"/>
    </w:pPr>
    <w:rPr>
      <w:rFonts w:ascii="仿宋" w:hAnsi="仿宋" w:eastAsia="仿宋" w:cstheme="minorBidi"/>
      <w:kern w:val="32"/>
      <w:sz w:val="32"/>
      <w:szCs w:val="32"/>
      <w:lang w:val="en-US" w:eastAsia="zh-CN" w:bidi="ar-SA"/>
    </w:rPr>
  </w:style>
  <w:style w:type="paragraph" w:customStyle="1" w:styleId="16">
    <w:name w:val="正文 A"/>
    <w:qFormat/>
    <w:uiPriority w:val="99"/>
    <w:pPr>
      <w:widowControl w:val="0"/>
      <w:jc w:val="both"/>
    </w:pPr>
    <w:rPr>
      <w:rFonts w:ascii="Calibri" w:hAnsi="Calibri" w:eastAsia="Calibri" w:cs="Calibri"/>
      <w:color w:val="000000"/>
      <w:kern w:val="2"/>
      <w:sz w:val="21"/>
      <w:szCs w:val="21"/>
      <w:u w:color="000000"/>
      <w:lang w:val="zh-TW" w:eastAsia="zh-TW" w:bidi="ar-SA"/>
    </w:rPr>
  </w:style>
  <w:style w:type="character" w:customStyle="1" w:styleId="17">
    <w:name w:val="lawyeeWritContent0 Char"/>
    <w:basedOn w:val="6"/>
    <w:link w:val="18"/>
    <w:qFormat/>
    <w:locked/>
    <w:uiPriority w:val="0"/>
    <w:rPr>
      <w:rFonts w:ascii="仿宋_GB2312" w:hAnsi="Times New Roman" w:eastAsia="仿宋_GB2312"/>
      <w:sz w:val="32"/>
      <w:szCs w:val="21"/>
    </w:rPr>
  </w:style>
  <w:style w:type="paragraph" w:customStyle="1" w:styleId="18">
    <w:name w:val="lawyeeWritContent0"/>
    <w:basedOn w:val="1"/>
    <w:link w:val="17"/>
    <w:qFormat/>
    <w:uiPriority w:val="0"/>
    <w:pPr>
      <w:ind w:firstLine="200" w:firstLineChars="200"/>
    </w:pPr>
    <w:rPr>
      <w:rFonts w:ascii="仿宋_GB2312" w:hAnsi="Times New Roman" w:eastAsia="仿宋_GB2312"/>
      <w:sz w:val="32"/>
      <w:szCs w:val="21"/>
    </w:rPr>
  </w:style>
  <w:style w:type="character" w:customStyle="1" w:styleId="19">
    <w:name w:val="lawyeeWritContent1 Char"/>
    <w:basedOn w:val="6"/>
    <w:link w:val="20"/>
    <w:qFormat/>
    <w:locked/>
    <w:uiPriority w:val="0"/>
    <w:rPr>
      <w:rFonts w:ascii="仿宋_GB2312" w:hAnsi="Times New Roman" w:eastAsia="仿宋_GB2312"/>
      <w:sz w:val="32"/>
      <w:szCs w:val="21"/>
    </w:rPr>
  </w:style>
  <w:style w:type="paragraph" w:customStyle="1" w:styleId="20">
    <w:name w:val="lawyeeWritContent1"/>
    <w:basedOn w:val="1"/>
    <w:link w:val="19"/>
    <w:qFormat/>
    <w:uiPriority w:val="0"/>
    <w:pPr>
      <w:ind w:firstLine="200" w:firstLineChars="200"/>
    </w:pPr>
    <w:rPr>
      <w:rFonts w:ascii="仿宋_GB2312" w:hAnsi="Times New Roman" w:eastAsia="仿宋_GB231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重庆市第三中级人民法院</Company>
  <Pages>1</Pages>
  <Words>1308</Words>
  <Characters>7457</Characters>
  <Lines>62</Lines>
  <Paragraphs>17</Paragraphs>
  <TotalTime>14</TotalTime>
  <ScaleCrop>false</ScaleCrop>
  <LinksUpToDate>false</LinksUpToDate>
  <CharactersWithSpaces>8748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2018-09-13T08:12:00Z</dcterms:created>
  <dc:creator>陈中林</dc:creator>
  <cp:lastModifiedBy>NTKO</cp:lastModifiedBy>
  <cp:lastPrinted>2019-11-26T09:20:52Z</cp:lastPrinted>
  <dcterms:modified xsi:type="dcterms:W3CDTF">2019-11-26T09:21:34Z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