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(2019)渝0230民初3241号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原告：邓光萍，女，1964年10月31日出生，汉族，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重庆市丰都县三合街道商业一路380号2单元1-4，公民身份号码512324196410310025。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委托诉讼代理人：汤治强，重庆东龙律师事务所律师。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被告：重庆嵩悦旅游有限公司，住所地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重庆市丰都县仙女湖镇厢坝新农村建设1组团B3栋6号，统一社会信用代码91500230MA5U83BATP。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法定代表人：王嵩，总经理。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委托诉讼代理人：徐浩，上海江三角律师事务所律师。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委托诉讼代理人：朱喜林，上海江三角律师事务所律师。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被告：重庆枳江旅游有限公司，住所地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重庆市丰都县三合街道南西支路2号附5号2幢203号，统一社会信用代码91500230MA5YN5RM88。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法定代表人：彭智勇，经理。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委托诉讼代理人：胡武雄，重庆天宇三星律师事务所律师。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委托诉讼代理人：郎娟，重庆天宇三星律师事务所律师。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被告：重庆微旅国际旅行社有限公司，住所地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重庆渝中区沧白路商贸旅游大履永久国际大厦11楼，统一社会信用代码915001036664327581。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法定代表人：易娟，董事长。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委托诉讼代理人：沈凤鸽，重庆天宇三星律师事务所律师。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公共场所管理人责任纠纷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2019年6月13日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汤治强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徐浩及朱喜林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沈凤鸽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胡武雄与郎娟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连带共同赔偿原告的医疗费、误工费、护理费、营养费等共计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96085.61元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2018年12月31日晚，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在丰都县南天湖滑雪场举办“雪地跨年电音节”活动，旅游项目每人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68元（享重庆唯一滑雪夜场），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的管理人员任丽与邓光萍等旅游者联系前往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将游客交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接送，费用按二公司的协议办理。当晚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8时30分许，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邓光萍在滑雪中撞倒在滑雪场的铁柱上受伤，后被送往丰都县人民医院住院治疗，诊断为右侧第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2肋骨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骨折，肺挫伤等，住院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93天，住院期间原告支付医疗费4296元，交通费118.5元，被告支付了部分医疗费。后经重庆市法医学会鉴定，误工期限为90日；护理期限60日；营养费60日；续医费需10000元，原告支付鉴定费1670元。综上所述，被告未履行告知及安全保障义务，依法应当承担赔偿责任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(以下简称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原告是因自己不当行为所导致的，应由原告自己承担民事责任，本被告系旅游辅助服务者，已尽了安全保障义务，不存在过错，不应当承担民事责任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（以下简称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，本被告不是适格被告，不应当承担民事赔偿责任。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（以下简称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公司），本被告是负责接送到指定地点，已尽了义务，且原告受伤，系其自己行为导致，为此本被告不应当承担民事责任。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公司决定举办“雪地跨年电音节”商业演出活动，时间为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2018年12月31日19:00-24:00，地点：重庆市丰都县南天湖国际滑雪场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并在媒体上进行广泛宣传，宣传的广告用语为“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DJ电音、雪地烤羊、篝火晚会、跨年烟花、夜场滑雪表演、浪漫雪地帐篷、小丑表演”。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公司协助办理该次商业旅游活动，并由其工作人员办理收取服务费用等事宜，在收取服务费时标明，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68元一个人，含大巴车、换乘车、导服、保险、景区门票、看演出、戏雪、欣赏烟花表演，免费品尝高山羊肉，小吃。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邓光萍知晓该次活动后，支付了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68元参与旅游活动。2018年12月31日，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公司按照与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公司的协议将交费参与的游客邓光萍等多人交给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公司接待运送，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2018年12月31日19:00许，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公司将邓光萍等多人用大巴车运送到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重庆市丰都县南天湖国际滑雪场，因尚未到20时30分开演时间，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决定此段时间为游客自由活动时间，邓光萍见滑雪场入门关闭，但围栏有破损的缺口，夜色中有少量游客在滑雪，自己擅自决定从缺口处入场滑雪，入场后见没有滑雪板和工作人员，就自己寻找了防撞垫铺，开始滑雪，在滑雪的过程中，撞倒在滑雪场的铁柱上受伤，后被送往丰都县人民医院等住院治疗，诊断为鼻骨骨折，面部挫裂伤等，住院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93天，花去住院医疗费及门诊医疗费共计37056.83元，其中原告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支付医疗费等 5070元，被告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公司三被告共计支付医疗费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31986.83元，护理费900元。原告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邓光萍的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交通费发票计118.5元。2019年4月29日原告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邓光萍委托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重庆市法医学会鉴定，2019年5月20日该所作出司法鉴定意见，意见为，误工期限为90日；护理期限60日；营养费60日；续医费需10000元，原告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支付鉴定费1670元。本案在审理过程中被告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公司申请对原告邓光萍的续医费等事项重新鉴定，本院委托重庆法医验伤所对申请事项进行了重新鉴定，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2019年9月27日该司法鉴定所作出司法鉴定意见，意见为1.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邓光萍鼻部后续治疗费用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5000元左右；2.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邓光萍误工期限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60-90日左右，护理30-60日，营养30-60日。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公司支付本次鉴定费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2030元。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上述事实有当事人的陈述、营业执照、委托协议、宣传单、调查报告、微信记录、照片、病历记录、医疗费发票、司法鉴定意见书等证据，并经庭审举证、质证、认证予以确认。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原被告争议的焦点是：一、责任主体及责任形态等问题；二、损失金额的确定等问题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责任主体及责任形态等问题。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公司主办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DJ电音、雪地烤羊、篝火晚会、跨年烟花、夜场滑雪表演、浪漫雪地帐篷、小丑表演”商业集会活动，并进行广告宣传组织集会，该活动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公司依法对参与活动的游客有安全保障的义务，如实告知详细活动安全注意内容的义务。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公司在组织集会过程中未尽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夜场滑雪表演及游客戏雪内容说明义务及保障义务，误导游客可滑雪，诱发原告擅自从破损的拦网处进入滑雪场滑雪，以致撞倒受伤，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公司存在过失的过错行为，依法应当承担过错赔偿责任。被告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公司的工作人员，以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公司名义进行旅游服务销售活动，其行为属于协助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公司承办集会的职务行为，其工作人员在履行职务过程中存在未尽如实告知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夜场滑雪表演及游客戏雪内容说明义务，误导游客可滑雪，以致原告参与滑雪撞倒受伤，存在过失的过错责任，该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责任依法应当由被告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公司承担。被告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公司在接受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公司委托，承担游客接待运输与游客自由活动的管理过程中，存在未尽如实告知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夜场滑雪表演及游客戏雪内容说明义务，误导游客可滑雪，存在过失的过错责任，同时未对游客进行有效管理存在过失，依法应当承担过错赔偿责任。以上分析可知，被告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存在未尽安全保障义务的共同过失依法应当承担连带赔偿责任。原告在滑雪过程中，明知晚上滑雪存在较大风险，同时在滑雪场未开放无安全保护的条件下，擅自从破损的围栏缺口处进入滑雪场滑雪，以致撞倒受伤，自己存在明显过错，应当承担民事责任。综上，以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公司共同承担原告经济损失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55%赔偿责任(三被告的内部负担比例为，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公司各负担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20%，被告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15%赔偿责任)，原告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高秀平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自己负担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45%经济损失责任为宜。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损失金额的确定等问题。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邓光萍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的经济损失依法计算，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1.医疗费据实计算为37056.83元；2.后续医疗费按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重庆法医验伤司法鉴定意见确定为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5000元；3.交通费 为118.5元；4.住院伙食补助费计算为60元/天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93天=5580元；5.误工费计算为100元/天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93天=9300元；6.护理费计算为，120元/天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60天=7200元；7.营养费酌定为900元；8.鉴定费计1670元，以上共计66825.33元，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公司应共同赔偿的损失计算为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66825.33元</w:t>
      </w:r>
      <w:r>
        <w:rPr>
          <w:rFonts w:hint="default" w:ascii="Arial" w:hAnsi="Arial" w:eastAsia="仿宋" w:cs="Arial"/>
          <w:kern w:val="0"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55%=36753.93元，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微旅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枳江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公司实际共同赔偿的金额为，应赔偿的金额</w:t>
      </w:r>
      <w:r>
        <w:rPr>
          <w:rFonts w:hint="eastAsia" w:ascii="Arial" w:hAnsi="Arial" w:eastAsia="仿宋" w:cs="Arial"/>
          <w:kern w:val="0"/>
          <w:sz w:val="32"/>
          <w:szCs w:val="32"/>
          <w:lang w:val="en-US" w:eastAsia="zh-CN"/>
        </w:rPr>
        <w:t>减已赔偿的金额，计算为36753.93元-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31986.83元-900元=3867.1元。被告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公司虽申请重新鉴定，但重新作出的司法鉴定意见对原司法鉴定意见未作实质性的改变，因此发生的鉴定费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2030元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属于扩大的损失，依法应由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嵩悦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公司负担。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第八条、第二十六条、第三十四条第一款、</w:t>
      </w:r>
      <w:bookmarkStart w:id="0" w:name="_GoBack"/>
      <w:bookmarkEnd w:id="0"/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三十七条、《中华人民共和国旅游法》第三十二条、第五十条第一款、第五十四条、第五十六条、第六十一条、第八十条、《最高人民法院关于审理人身损害赔偿案件适用法律若干问题的解释》第十七条第一款、第十九条、第二十条、第二十一条、第二十二条、第二十三条、第二十四条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10日内共同赔偿（连带）原告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邓光萍经济损失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3867.1元；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邓光萍的其余诉讼请求。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1972.64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986.32元，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重庆嵩悦旅游有限公司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重庆微旅国际旅行社有限公司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重庆枳江旅游有限公司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30元，原告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邓光萍负担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896.32元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二〇一九年十一月二十二日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4F4845"/>
    <w:multiLevelType w:val="singleLevel"/>
    <w:tmpl w:val="AF4F48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D714A4"/>
    <w:multiLevelType w:val="singleLevel"/>
    <w:tmpl w:val="1BD714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2629BD"/>
    <w:rsid w:val="00516622"/>
    <w:rsid w:val="00891D59"/>
    <w:rsid w:val="00D70E96"/>
    <w:rsid w:val="011E0AF6"/>
    <w:rsid w:val="02AF0975"/>
    <w:rsid w:val="109C196C"/>
    <w:rsid w:val="163830F5"/>
    <w:rsid w:val="1776064C"/>
    <w:rsid w:val="1D0E344F"/>
    <w:rsid w:val="1D535272"/>
    <w:rsid w:val="1E7936CB"/>
    <w:rsid w:val="2055591F"/>
    <w:rsid w:val="20701584"/>
    <w:rsid w:val="24195522"/>
    <w:rsid w:val="24D434D0"/>
    <w:rsid w:val="25964FAA"/>
    <w:rsid w:val="2AC603D8"/>
    <w:rsid w:val="2EB17388"/>
    <w:rsid w:val="2EDC68C0"/>
    <w:rsid w:val="319C3990"/>
    <w:rsid w:val="325D6A26"/>
    <w:rsid w:val="32D73280"/>
    <w:rsid w:val="339760A3"/>
    <w:rsid w:val="34FD4D03"/>
    <w:rsid w:val="351A0B03"/>
    <w:rsid w:val="358521FF"/>
    <w:rsid w:val="364D41C7"/>
    <w:rsid w:val="365025D5"/>
    <w:rsid w:val="39FE6BA9"/>
    <w:rsid w:val="43327044"/>
    <w:rsid w:val="44D11D35"/>
    <w:rsid w:val="452030E9"/>
    <w:rsid w:val="457C43F2"/>
    <w:rsid w:val="45F63295"/>
    <w:rsid w:val="48035ABE"/>
    <w:rsid w:val="495710FD"/>
    <w:rsid w:val="4B9B5923"/>
    <w:rsid w:val="4C583102"/>
    <w:rsid w:val="4D277259"/>
    <w:rsid w:val="4EDC2DE1"/>
    <w:rsid w:val="4F0023B8"/>
    <w:rsid w:val="500448F9"/>
    <w:rsid w:val="508A5987"/>
    <w:rsid w:val="512F4218"/>
    <w:rsid w:val="56257591"/>
    <w:rsid w:val="59493EA8"/>
    <w:rsid w:val="59FA330C"/>
    <w:rsid w:val="5CD5191B"/>
    <w:rsid w:val="5E261520"/>
    <w:rsid w:val="5EB15768"/>
    <w:rsid w:val="5FF4346D"/>
    <w:rsid w:val="62A4442F"/>
    <w:rsid w:val="658D0B6C"/>
    <w:rsid w:val="6726631F"/>
    <w:rsid w:val="6C0F168A"/>
    <w:rsid w:val="6D4D3BA7"/>
    <w:rsid w:val="6F87087D"/>
    <w:rsid w:val="719C3F5B"/>
    <w:rsid w:val="73CE3CD9"/>
    <w:rsid w:val="742A42A8"/>
    <w:rsid w:val="749C3268"/>
    <w:rsid w:val="76413484"/>
    <w:rsid w:val="77E26E3F"/>
    <w:rsid w:val="7850494D"/>
    <w:rsid w:val="7853403D"/>
    <w:rsid w:val="789E0BDC"/>
    <w:rsid w:val="7B9C4CF3"/>
    <w:rsid w:val="7BD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2019-11-28T03:18:26Z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