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140"/>
          <w:sz w:val="44"/>
          <w:szCs w:val="44"/>
        </w:rPr>
      </w:pPr>
      <w:r>
        <w:rPr>
          <w:rFonts w:hint="eastAsia" w:ascii="方正小标宋简体" w:hAnsi="E-BZ9-PK74888-Identity-H" w:eastAsia="方正小标宋简体"/>
          <w:spacing w:val="140"/>
          <w:sz w:val="44"/>
          <w:szCs w:val="44"/>
        </w:rPr>
        <w:t>民事</w:t>
      </w:r>
      <w:r>
        <w:rPr>
          <w:rFonts w:ascii="方正小标宋简体" w:hAnsi="E-BZ9-PK74888-Identity-H" w:eastAsia="方正小标宋简体"/>
          <w:spacing w:val="140"/>
          <w:sz w:val="44"/>
          <w:szCs w:val="44"/>
        </w:rPr>
        <w:t>判决</w:t>
      </w:r>
      <w:r>
        <w:rPr>
          <w:rFonts w:hint="eastAsia" w:ascii="方正小标宋简体" w:hAnsi="E-BZ9-PK74888-Identity-H" w:eastAsia="方正小标宋简体"/>
          <w:spacing w:val="140"/>
          <w:sz w:val="44"/>
          <w:szCs w:val="44"/>
        </w:rPr>
        <w:t>书</w:t>
      </w:r>
    </w:p>
    <w:p>
      <w:pPr>
        <w:jc w:val="center"/>
        <w:rPr>
          <w:rFonts w:ascii="仿宋" w:hAnsi="仿宋" w:eastAsia="仿宋"/>
          <w:spacing w:val="80"/>
          <w:sz w:val="32"/>
          <w:szCs w:val="32"/>
        </w:rPr>
      </w:pPr>
    </w:p>
    <w:p>
      <w:pPr>
        <w:ind w:right="420" w:rightChars="200"/>
        <w:jc w:val="right"/>
        <w:rPr>
          <w:rFonts w:ascii="仿宋" w:hAnsi="仿宋" w:eastAsia="仿宋"/>
          <w:sz w:val="32"/>
          <w:szCs w:val="32"/>
        </w:rPr>
      </w:pPr>
      <w:r>
        <w:rPr>
          <w:rFonts w:hint="eastAsia" w:ascii="仿宋" w:hAnsi="仿宋" w:eastAsia="仿宋"/>
          <w:sz w:val="32"/>
          <w:szCs w:val="32"/>
        </w:rPr>
        <w:t>(2019)渝0230民初64</w:t>
      </w:r>
      <w:r>
        <w:rPr>
          <w:rFonts w:hint="eastAsia" w:ascii="仿宋" w:hAnsi="仿宋" w:eastAsia="仿宋"/>
          <w:sz w:val="32"/>
          <w:szCs w:val="32"/>
          <w:lang w:val="en-US" w:eastAsia="zh-CN"/>
        </w:rPr>
        <w:t>56</w:t>
      </w:r>
      <w:r>
        <w:rPr>
          <w:rFonts w:hint="eastAsia" w:ascii="仿宋" w:hAnsi="仿宋" w:eastAsia="仿宋"/>
          <w:sz w:val="32"/>
          <w:szCs w:val="32"/>
        </w:rPr>
        <w:t>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SSJ-PK74820000a3c-Identity-H"/>
          <w:kern w:val="0"/>
          <w:sz w:val="32"/>
          <w:szCs w:val="32"/>
          <w:lang w:eastAsia="zh-CN"/>
        </w:rPr>
        <w:t>许晓红</w:t>
      </w:r>
      <w:r>
        <w:rPr>
          <w:rFonts w:hint="eastAsia" w:ascii="仿宋" w:hAnsi="仿宋" w:eastAsia="仿宋" w:cs="SSJ-PK74820000a3c-Identity-H"/>
          <w:kern w:val="0"/>
          <w:sz w:val="32"/>
          <w:szCs w:val="32"/>
        </w:rPr>
        <w:t>，</w:t>
      </w:r>
      <w:r>
        <w:rPr>
          <w:rFonts w:hint="eastAsia" w:ascii="仿宋" w:hAnsi="仿宋" w:eastAsia="仿宋" w:cs="SSJ-PK74820000a3c-Identity-H"/>
          <w:kern w:val="0"/>
          <w:sz w:val="32"/>
          <w:szCs w:val="32"/>
          <w:lang w:eastAsia="zh-CN"/>
        </w:rPr>
        <w:t>女，</w:t>
      </w:r>
      <w:r>
        <w:rPr>
          <w:rFonts w:hint="eastAsia" w:ascii="仿宋" w:hAnsi="仿宋" w:eastAsia="仿宋" w:cs="SSJ-PK74820000a3c-Identity-H"/>
          <w:kern w:val="0"/>
          <w:sz w:val="32"/>
          <w:szCs w:val="32"/>
        </w:rPr>
        <w:t>19</w:t>
      </w:r>
      <w:r>
        <w:rPr>
          <w:rFonts w:hint="eastAsia" w:ascii="仿宋" w:hAnsi="仿宋" w:eastAsia="仿宋" w:cs="SSJ-PK74820000a3c-Identity-H"/>
          <w:kern w:val="0"/>
          <w:sz w:val="32"/>
          <w:szCs w:val="32"/>
          <w:lang w:val="en-US" w:eastAsia="zh-CN"/>
        </w:rPr>
        <w:t>74</w:t>
      </w:r>
      <w:r>
        <w:rPr>
          <w:rFonts w:hint="eastAsia" w:ascii="仿宋" w:hAnsi="仿宋" w:eastAsia="仿宋" w:cs="SSJ-PK74820000a3c-Identity-H"/>
          <w:kern w:val="0"/>
          <w:sz w:val="32"/>
          <w:szCs w:val="32"/>
        </w:rPr>
        <w:t>年</w:t>
      </w:r>
      <w:r>
        <w:rPr>
          <w:rFonts w:hint="eastAsia" w:ascii="仿宋" w:hAnsi="仿宋" w:eastAsia="仿宋" w:cs="SSJ-PK74820000a3c-Identity-H"/>
          <w:kern w:val="0"/>
          <w:sz w:val="32"/>
          <w:szCs w:val="32"/>
          <w:lang w:val="en-US" w:eastAsia="zh-CN"/>
        </w:rPr>
        <w:t>5</w:t>
      </w:r>
      <w:r>
        <w:rPr>
          <w:rFonts w:hint="eastAsia" w:ascii="仿宋" w:hAnsi="仿宋" w:eastAsia="仿宋" w:cs="SSJ-PK74820000a3c-Identity-H"/>
          <w:kern w:val="0"/>
          <w:sz w:val="32"/>
          <w:szCs w:val="32"/>
        </w:rPr>
        <w:t>月</w:t>
      </w:r>
      <w:r>
        <w:rPr>
          <w:rFonts w:hint="eastAsia" w:ascii="仿宋" w:hAnsi="仿宋" w:eastAsia="仿宋" w:cs="SSJ-PK74820000a3c-Identity-H"/>
          <w:kern w:val="0"/>
          <w:sz w:val="32"/>
          <w:szCs w:val="32"/>
          <w:lang w:val="en-US" w:eastAsia="zh-CN"/>
        </w:rPr>
        <w:t>2</w:t>
      </w:r>
      <w:r>
        <w:rPr>
          <w:rFonts w:hint="eastAsia" w:ascii="仿宋" w:hAnsi="仿宋" w:eastAsia="仿宋" w:cs="SSJ-PK74820000a3c-Identity-H"/>
          <w:kern w:val="0"/>
          <w:sz w:val="32"/>
          <w:szCs w:val="32"/>
        </w:rPr>
        <w:t>日出生，汉族，</w:t>
      </w:r>
      <w:r>
        <w:rPr>
          <w:rFonts w:hint="eastAsia" w:ascii="仿宋" w:hAnsi="仿宋" w:eastAsia="仿宋" w:cs="SSJ-PK74820000a3c-Identity-H"/>
          <w:kern w:val="0"/>
          <w:sz w:val="32"/>
          <w:szCs w:val="32"/>
          <w:lang w:eastAsia="zh-CN"/>
        </w:rPr>
        <w:t>居民，住重庆市丰都县三合街道滨江西路</w:t>
      </w:r>
      <w:r>
        <w:rPr>
          <w:rFonts w:hint="eastAsia" w:ascii="仿宋" w:hAnsi="仿宋" w:eastAsia="仿宋" w:cs="SSJ-PK74820000a3c-Identity-H"/>
          <w:kern w:val="0"/>
          <w:sz w:val="32"/>
          <w:szCs w:val="32"/>
          <w:lang w:val="en-US" w:eastAsia="zh-CN"/>
        </w:rPr>
        <w:t>106号附1号3单元6-2</w:t>
      </w:r>
      <w:r>
        <w:rPr>
          <w:rFonts w:hint="eastAsia" w:ascii="仿宋" w:hAnsi="仿宋" w:eastAsia="仿宋" w:cs="SSJ-PK74820000a3c-Identity-H"/>
          <w:kern w:val="0"/>
          <w:sz w:val="32"/>
          <w:szCs w:val="32"/>
        </w:rPr>
        <w:t>，公民身份号码51</w:t>
      </w:r>
      <w:r>
        <w:rPr>
          <w:rFonts w:hint="eastAsia" w:ascii="仿宋" w:hAnsi="仿宋" w:eastAsia="仿宋" w:cs="SSJ-PK74820000a3c-Identity-H"/>
          <w:kern w:val="0"/>
          <w:sz w:val="32"/>
          <w:szCs w:val="32"/>
          <w:lang w:val="en-US" w:eastAsia="zh-CN"/>
        </w:rPr>
        <w:t>2324197405023886</w:t>
      </w:r>
      <w:r>
        <w:rPr>
          <w:rFonts w:hint="eastAsia" w:ascii="仿宋" w:hAnsi="仿宋" w:eastAsia="仿宋" w:cs="SSJ-PK74820000a3c-Identity-H"/>
          <w:kern w:val="0"/>
          <w:sz w:val="32"/>
          <w:szCs w:val="32"/>
        </w:rPr>
        <w:t>。</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委托诉讼代理人：彭道柏，重庆森吉律师事务所律师。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被告：中国农业银行股份有限公司重庆丰都支行，</w:t>
      </w:r>
      <w:r>
        <w:rPr>
          <w:rFonts w:hint="eastAsia" w:ascii="仿宋" w:hAnsi="仿宋" w:eastAsia="仿宋" w:cs="SSJ-PK74820000a3c-Identity-H"/>
          <w:kern w:val="0"/>
          <w:sz w:val="32"/>
          <w:szCs w:val="32"/>
          <w:lang w:eastAsia="zh-CN"/>
        </w:rPr>
        <w:t>住所地重庆市丰都县三合街道平都大道东段</w:t>
      </w:r>
      <w:r>
        <w:rPr>
          <w:rFonts w:hint="eastAsia" w:ascii="仿宋" w:hAnsi="仿宋" w:eastAsia="仿宋" w:cs="SSJ-PK74820000a3c-Identity-H"/>
          <w:kern w:val="0"/>
          <w:sz w:val="32"/>
          <w:szCs w:val="32"/>
          <w:lang w:val="en-US" w:eastAsia="zh-CN"/>
        </w:rPr>
        <w:t>5号，</w:t>
      </w:r>
      <w:r>
        <w:rPr>
          <w:rFonts w:hint="eastAsia" w:ascii="仿宋" w:hAnsi="仿宋" w:eastAsia="仿宋" w:cs="SSJ-PK74820000a3c-Identity-H"/>
          <w:kern w:val="0"/>
          <w:sz w:val="32"/>
          <w:szCs w:val="32"/>
        </w:rPr>
        <w:t>统一社会信用代码91500230908786111T。</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负责人：丁文典，行长。</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委托诉讼代理人：胡劲松，该公司员工。</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委托诉讼代理人：李谊，重庆天宇三星律师事务所律师。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被告：曾蜀霞，女，1974年8月27日出生，汉族，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重庆市沙坪坝区凤天大道95号附2号1-3，公民身份号码512324197408270049。</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lang w:eastAsia="zh-CN"/>
        </w:rPr>
        <w:t>许晓红</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曾蜀霞</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中国农业银行股份有限公司重庆丰都支行</w:t>
      </w:r>
      <w:r>
        <w:rPr>
          <w:rFonts w:hint="eastAsia" w:ascii="仿宋" w:hAnsi="仿宋" w:eastAsia="仿宋" w:cs="SSJ-PK74820000a3c-Identity-H"/>
          <w:kern w:val="0"/>
          <w:sz w:val="32"/>
          <w:szCs w:val="32"/>
        </w:rPr>
        <w:t>案外人执行异议之诉一案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2019年1</w:t>
      </w:r>
      <w:r>
        <w:rPr>
          <w:rFonts w:hint="eastAsia" w:ascii="仿宋" w:hAnsi="仿宋" w:eastAsia="仿宋" w:cs="E-BZ9-PK74888-Identity-H"/>
          <w:kern w:val="0"/>
          <w:sz w:val="32"/>
          <w:szCs w:val="32"/>
          <w:lang w:val="en-US" w:eastAsia="zh-CN"/>
        </w:rPr>
        <w:t>1</w:t>
      </w:r>
      <w:r>
        <w:rPr>
          <w:rFonts w:hint="eastAsia" w:ascii="仿宋" w:hAnsi="仿宋" w:eastAsia="仿宋" w:cs="E-BZ9-PK74888-Identity-H"/>
          <w:kern w:val="0"/>
          <w:sz w:val="32"/>
          <w:szCs w:val="32"/>
        </w:rPr>
        <w:t>月2</w:t>
      </w:r>
      <w:r>
        <w:rPr>
          <w:rFonts w:hint="eastAsia" w:ascii="仿宋" w:hAnsi="仿宋" w:eastAsia="仿宋" w:cs="E-BZ9-PK74888-Identity-H"/>
          <w:kern w:val="0"/>
          <w:sz w:val="32"/>
          <w:szCs w:val="32"/>
          <w:lang w:val="en-US" w:eastAsia="zh-CN"/>
        </w:rPr>
        <w:t>9</w:t>
      </w:r>
      <w:r>
        <w:rPr>
          <w:rFonts w:hint="eastAsia" w:ascii="仿宋" w:hAnsi="仿宋" w:eastAsia="仿宋" w:cs="E-BZ9-PK74888-Identity-H"/>
          <w:kern w:val="0"/>
          <w:sz w:val="32"/>
          <w:szCs w:val="32"/>
        </w:rPr>
        <w:t>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依法适用普通程序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lang w:eastAsia="zh-CN"/>
        </w:rPr>
        <w:t>许晓红的委托诉讼代理人</w:t>
      </w:r>
      <w:r>
        <w:rPr>
          <w:rFonts w:hint="eastAsia" w:ascii="仿宋" w:hAnsi="仿宋" w:eastAsia="仿宋" w:cs="SSJ-PK74820000a3c-Identity-H"/>
          <w:kern w:val="0"/>
          <w:sz w:val="32"/>
          <w:szCs w:val="32"/>
          <w:lang w:eastAsia="zh-CN"/>
        </w:rPr>
        <w:t>彭道柏</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被告</w:t>
      </w:r>
      <w:r>
        <w:rPr>
          <w:rFonts w:hint="eastAsia" w:ascii="仿宋" w:hAnsi="仿宋" w:eastAsia="仿宋" w:cs="E-BZ9-PK74888-Identity-H"/>
          <w:kern w:val="0"/>
          <w:sz w:val="32"/>
          <w:szCs w:val="32"/>
        </w:rPr>
        <w:t>中国农业银行股份有限公司重庆丰都支行</w:t>
      </w:r>
      <w:r>
        <w:rPr>
          <w:rFonts w:hint="eastAsia" w:ascii="仿宋" w:hAnsi="仿宋" w:eastAsia="仿宋" w:cs="E-BZ9-PK74888-Identity-H"/>
          <w:kern w:val="0"/>
          <w:sz w:val="32"/>
          <w:szCs w:val="32"/>
          <w:lang w:eastAsia="zh-CN"/>
        </w:rPr>
        <w:t>的委托诉讼代理人</w:t>
      </w:r>
      <w:r>
        <w:rPr>
          <w:rFonts w:hint="eastAsia" w:ascii="仿宋" w:hAnsi="仿宋" w:eastAsia="仿宋" w:cs="SSJ-PK74820000a3c-Identity-H"/>
          <w:kern w:val="0"/>
          <w:sz w:val="32"/>
          <w:szCs w:val="32"/>
          <w:lang w:eastAsia="zh-CN"/>
        </w:rPr>
        <w:t>胡劲松及李谊</w:t>
      </w:r>
      <w:r>
        <w:rPr>
          <w:rFonts w:hint="eastAsia" w:ascii="仿宋" w:hAnsi="仿宋" w:eastAsia="仿宋" w:cs="SSJ-PK74820000a3c-Identity-H"/>
          <w:kern w:val="0"/>
          <w:sz w:val="32"/>
          <w:szCs w:val="32"/>
        </w:rPr>
        <w:t>到庭参加诉讼</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曾蜀霞</w:t>
      </w:r>
      <w:r>
        <w:rPr>
          <w:rFonts w:hint="eastAsia" w:ascii="仿宋" w:hAnsi="仿宋" w:eastAsia="仿宋" w:cs="E-BZ9-PK74888-Identity-H"/>
          <w:kern w:val="0"/>
          <w:sz w:val="32"/>
          <w:szCs w:val="32"/>
          <w:lang w:eastAsia="zh-CN"/>
        </w:rPr>
        <w:t>经本院合法传唤拒不到庭。</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E-BZ9-PK74888-Identity-H"/>
          <w:kern w:val="0"/>
          <w:sz w:val="32"/>
          <w:szCs w:val="32"/>
          <w:lang w:eastAsia="zh-CN"/>
        </w:rPr>
        <w:t>原告许晓红</w:t>
      </w:r>
      <w:r>
        <w:rPr>
          <w:rFonts w:hint="eastAsia" w:ascii="仿宋" w:hAnsi="仿宋" w:eastAsia="仿宋" w:cs="SSJ-PK74820000a3c-Identity-H"/>
          <w:kern w:val="0"/>
          <w:sz w:val="32"/>
          <w:szCs w:val="32"/>
        </w:rPr>
        <w:t>向本院提出诉讼请求</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对原告所有的重庆市丰都县名山街道花园街</w:t>
      </w:r>
      <w:r>
        <w:rPr>
          <w:rFonts w:hint="eastAsia" w:ascii="仿宋" w:hAnsi="仿宋" w:eastAsia="仿宋" w:cs="H-SS9-PK74820000a48-Identity-H"/>
          <w:kern w:val="0"/>
          <w:sz w:val="32"/>
          <w:szCs w:val="32"/>
          <w:lang w:val="en-US" w:eastAsia="zh-CN"/>
        </w:rPr>
        <w:t>56号附4号门面（房屋产权证号306房地证</w:t>
      </w:r>
      <w:bookmarkStart w:id="0" w:name="_GoBack"/>
      <w:bookmarkEnd w:id="0"/>
      <w:r>
        <w:rPr>
          <w:rFonts w:hint="eastAsia" w:ascii="仿宋" w:hAnsi="仿宋" w:eastAsia="仿宋" w:cs="H-SS9-PK74820000a48-Identity-H"/>
          <w:kern w:val="0"/>
          <w:sz w:val="32"/>
          <w:szCs w:val="32"/>
          <w:lang w:val="en-US" w:eastAsia="zh-CN"/>
        </w:rPr>
        <w:t>2008字第06139）房</w:t>
      </w:r>
      <w:r>
        <w:rPr>
          <w:rFonts w:hint="eastAsia" w:ascii="仿宋" w:hAnsi="仿宋" w:eastAsia="仿宋" w:cs="H-SS9-PK74820000a48-Identity-H"/>
          <w:kern w:val="0"/>
          <w:sz w:val="32"/>
          <w:szCs w:val="32"/>
          <w:lang w:eastAsia="zh-CN"/>
        </w:rPr>
        <w:t>不予执行</w:t>
      </w:r>
      <w:r>
        <w:rPr>
          <w:rFonts w:hint="eastAsia" w:ascii="仿宋" w:hAnsi="仿宋" w:eastAsia="仿宋" w:cs="H-SS9-PK74820000a48-Identity-H"/>
          <w:kern w:val="0"/>
          <w:sz w:val="32"/>
          <w:szCs w:val="32"/>
          <w:lang w:val="en-US" w:eastAsia="zh-CN"/>
        </w:rPr>
        <w:t>，并解除对上述房屋的查封，诉讼费由被告负担。</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2004年6月20日，原告</w:t>
      </w:r>
      <w:r>
        <w:rPr>
          <w:rFonts w:hint="eastAsia" w:ascii="仿宋" w:hAnsi="仿宋" w:eastAsia="仿宋" w:cs="E-BZ9-PK74888-Identity-H"/>
          <w:kern w:val="0"/>
          <w:sz w:val="32"/>
          <w:szCs w:val="32"/>
          <w:lang w:eastAsia="zh-CN"/>
        </w:rPr>
        <w:t>许晓红（乙方）与丰都新城市场管理办公室（负责人湛红兵，甲方）签订了《集资建房合同》，合同载明甲方对市场内的部分门面和设施拆除重建，乙方集资房为新城农贸市场大门右侧</w:t>
      </w:r>
      <w:r>
        <w:rPr>
          <w:rFonts w:hint="eastAsia" w:ascii="仿宋" w:hAnsi="仿宋" w:eastAsia="仿宋" w:cs="E-BZ9-PK74888-Identity-H"/>
          <w:kern w:val="0"/>
          <w:sz w:val="32"/>
          <w:szCs w:val="32"/>
          <w:lang w:val="en-US" w:eastAsia="zh-CN"/>
        </w:rPr>
        <w:t>4号门面，合同约定价款66220元，合同签订时交总价款的95%即62909元，其余款项在交付房屋时付清，合同签订后，原告支付了购房款62909元</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lang w:val="en-US" w:eastAsia="zh-CN"/>
        </w:rPr>
        <w:t>2005年4月</w:t>
      </w:r>
      <w:r>
        <w:rPr>
          <w:rFonts w:hint="eastAsia" w:ascii="仿宋" w:hAnsi="仿宋" w:eastAsia="仿宋" w:cs="E-BZ9-PK74888-Identity-H"/>
          <w:kern w:val="0"/>
          <w:sz w:val="32"/>
          <w:szCs w:val="32"/>
          <w:lang w:eastAsia="zh-CN"/>
        </w:rPr>
        <w:t>丰都新城市场管理办公室将门面交付原告占有使用收益至今，后经原告催办房屋产权证未果。后因湛红兵将房屋抵押给第三人，以致被丰都县人民法院执行，执行过程中原告提出执行异议，后被驳回请求，为此原告提出案外人执行异议之诉，请求法院支持原告的诉讼请求。</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中国农业银行股份有限公司重庆丰都支行</w:t>
      </w:r>
      <w:r>
        <w:rPr>
          <w:rFonts w:hint="eastAsia" w:ascii="仿宋" w:hAnsi="仿宋" w:eastAsia="仿宋" w:cs="SSJ-PK74820000a3c-Identity-H"/>
          <w:kern w:val="0"/>
          <w:sz w:val="32"/>
          <w:szCs w:val="32"/>
        </w:rPr>
        <w:t>辩称</w:t>
      </w:r>
      <w:r>
        <w:rPr>
          <w:rFonts w:hint="eastAsia" w:ascii="仿宋" w:hAnsi="仿宋" w:eastAsia="仿宋" w:cs="SSJ-PK74820000a3c-Identity-H"/>
          <w:kern w:val="0"/>
          <w:sz w:val="32"/>
          <w:szCs w:val="32"/>
          <w:lang w:eastAsia="zh-CN"/>
        </w:rPr>
        <w:t>（以下简称</w:t>
      </w:r>
      <w:r>
        <w:rPr>
          <w:rFonts w:hint="eastAsia" w:ascii="仿宋" w:hAnsi="仿宋" w:eastAsia="仿宋" w:cs="E-BZ9-PK74888-Identity-H"/>
          <w:kern w:val="0"/>
          <w:sz w:val="32"/>
          <w:szCs w:val="32"/>
        </w:rPr>
        <w:t>丰都支行</w:t>
      </w:r>
      <w:r>
        <w:rPr>
          <w:rFonts w:hint="eastAsia" w:ascii="仿宋" w:hAnsi="仿宋" w:eastAsia="仿宋" w:cs="SSJ-PK74820000a3c-Identity-H"/>
          <w:kern w:val="0"/>
          <w:sz w:val="32"/>
          <w:szCs w:val="32"/>
          <w:lang w:eastAsia="zh-CN"/>
        </w:rPr>
        <w:t>）</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本案争议的门面房系</w:t>
      </w:r>
      <w:r>
        <w:rPr>
          <w:rFonts w:hint="eastAsia" w:ascii="仿宋" w:hAnsi="仿宋" w:eastAsia="仿宋" w:cs="SSJ-PK74820000a3c-Identity-H"/>
          <w:kern w:val="0"/>
          <w:sz w:val="32"/>
          <w:szCs w:val="32"/>
        </w:rPr>
        <w:t>曾蜀霞</w:t>
      </w:r>
      <w:r>
        <w:rPr>
          <w:rFonts w:hint="eastAsia" w:ascii="仿宋" w:hAnsi="仿宋" w:eastAsia="仿宋" w:cs="SSJ-PK74820000a3c-Identity-H"/>
          <w:kern w:val="0"/>
          <w:sz w:val="32"/>
          <w:szCs w:val="32"/>
          <w:lang w:eastAsia="zh-CN"/>
        </w:rPr>
        <w:t>所有，</w:t>
      </w:r>
      <w:r>
        <w:rPr>
          <w:rFonts w:hint="eastAsia" w:ascii="仿宋" w:hAnsi="仿宋" w:eastAsia="仿宋" w:cs="SSJ-PK74820000a3c-Identity-H"/>
          <w:kern w:val="0"/>
          <w:sz w:val="32"/>
          <w:szCs w:val="32"/>
        </w:rPr>
        <w:t>曾蜀霞</w:t>
      </w:r>
      <w:r>
        <w:rPr>
          <w:rFonts w:hint="eastAsia" w:ascii="仿宋" w:hAnsi="仿宋" w:eastAsia="仿宋" w:cs="SSJ-PK74820000a3c-Identity-H"/>
          <w:kern w:val="0"/>
          <w:sz w:val="32"/>
          <w:szCs w:val="32"/>
          <w:lang w:eastAsia="zh-CN"/>
        </w:rPr>
        <w:t>在向本被告贷款过程中，已将房屋抵押给本被告，抵押合同及贷款合同已经判决认定为有效合同，本被告享有优先受偿权，为此人民法院的执行正确，应当驳回原告的诉讼请求</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曾蜀霞</w:t>
      </w:r>
      <w:r>
        <w:rPr>
          <w:rFonts w:hint="eastAsia" w:ascii="仿宋" w:hAnsi="仿宋" w:eastAsia="仿宋" w:cs="E-BZ9-PK74888-Identity-H"/>
          <w:kern w:val="0"/>
          <w:sz w:val="32"/>
          <w:szCs w:val="32"/>
          <w:lang w:eastAsia="zh-CN"/>
        </w:rPr>
        <w:t>未作答辩</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rPr>
        <w:t>本院</w:t>
      </w:r>
      <w:r>
        <w:rPr>
          <w:rFonts w:hint="eastAsia" w:ascii="仿宋" w:hAnsi="仿宋" w:eastAsia="仿宋" w:cs="SSJ-PK74820000a3c-Identity-H"/>
          <w:kern w:val="0"/>
          <w:sz w:val="32"/>
          <w:szCs w:val="32"/>
          <w:lang w:eastAsia="zh-CN"/>
        </w:rPr>
        <w:t>经审理</w:t>
      </w:r>
      <w:r>
        <w:rPr>
          <w:rFonts w:hint="eastAsia" w:ascii="仿宋" w:hAnsi="仿宋" w:eastAsia="仿宋" w:cs="SSJ-PK74820000a3c-Identity-H"/>
          <w:kern w:val="0"/>
          <w:sz w:val="32"/>
          <w:szCs w:val="32"/>
        </w:rPr>
        <w:t>认定</w:t>
      </w:r>
      <w:r>
        <w:rPr>
          <w:rFonts w:hint="eastAsia" w:ascii="仿宋" w:hAnsi="仿宋" w:eastAsia="仿宋" w:cs="SSJ-PK74820000a3c-Identity-H"/>
          <w:kern w:val="0"/>
          <w:sz w:val="32"/>
          <w:szCs w:val="32"/>
          <w:lang w:eastAsia="zh-CN"/>
        </w:rPr>
        <w:t>事实</w:t>
      </w:r>
      <w:r>
        <w:rPr>
          <w:rFonts w:hint="eastAsia" w:ascii="仿宋" w:hAnsi="仿宋" w:eastAsia="仿宋" w:cs="SSJ-PK74820000a3c-Identity-H"/>
          <w:kern w:val="0"/>
          <w:sz w:val="32"/>
          <w:szCs w:val="32"/>
        </w:rPr>
        <w:t>如下</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1996年7月，丰都县城乡建设综合开发公司与原丰都县国土局签订《国有土地使用权出让合同》，取得丰都县新城小区一号组团土地编号025号、面积3000平方米的国有土地使用权，用于建设农贸市场项目。丰都县城乡建设综合开发公司取得土地使用权的当月，与丰都县工商行政管理局签订《国有建设用地转让合同》，将上述3000平方米国有土地使用权转让给丰都县工商行政管理局，丰都县工商行政管理局于2001年5月取得该土地使用权证（丰国用名山</w:t>
      </w:r>
      <w:r>
        <w:rPr>
          <w:rFonts w:hint="eastAsia" w:ascii="微软雅黑" w:hAnsi="微软雅黑" w:eastAsia="微软雅黑" w:cs="微软雅黑"/>
          <w:kern w:val="0"/>
          <w:sz w:val="32"/>
          <w:szCs w:val="32"/>
          <w:lang w:val="en-US" w:eastAsia="zh-CN"/>
        </w:rPr>
        <w:t>[2001]字004号国有土地使用权证</w:t>
      </w:r>
      <w:r>
        <w:rPr>
          <w:rFonts w:hint="eastAsia" w:ascii="仿宋" w:hAnsi="仿宋" w:eastAsia="仿宋" w:cs="H-SS9-PK74820000a48-Identity-H"/>
          <w:kern w:val="0"/>
          <w:sz w:val="32"/>
          <w:szCs w:val="32"/>
          <w:lang w:val="en-US" w:eastAsia="zh-CN"/>
        </w:rPr>
        <w:t>），2002年3月19日，该工商局与湛红兵签订《竞买协议书》，将丰国用名山</w:t>
      </w:r>
      <w:r>
        <w:rPr>
          <w:rFonts w:hint="eastAsia" w:ascii="微软雅黑" w:hAnsi="微软雅黑" w:eastAsia="微软雅黑" w:cs="微软雅黑"/>
          <w:kern w:val="0"/>
          <w:sz w:val="32"/>
          <w:szCs w:val="32"/>
          <w:lang w:val="en-US" w:eastAsia="zh-CN"/>
        </w:rPr>
        <w:t>[2001]字004号国有土地使用权证标明的土地使用权转让给</w:t>
      </w:r>
      <w:r>
        <w:rPr>
          <w:rFonts w:hint="eastAsia" w:ascii="仿宋" w:hAnsi="仿宋" w:eastAsia="仿宋" w:cs="H-SS9-PK74820000a48-Identity-H"/>
          <w:kern w:val="0"/>
          <w:sz w:val="32"/>
          <w:szCs w:val="32"/>
          <w:lang w:val="en-US" w:eastAsia="zh-CN"/>
        </w:rPr>
        <w:t>湛红兵，后通过变更登记，湛红兵于2003年10月取得上述土地的部分使用权，土地使用权证号为丰国用名山</w:t>
      </w:r>
      <w:r>
        <w:rPr>
          <w:rFonts w:hint="eastAsia" w:ascii="微软雅黑" w:hAnsi="微软雅黑" w:eastAsia="微软雅黑" w:cs="微软雅黑"/>
          <w:kern w:val="0"/>
          <w:sz w:val="32"/>
          <w:szCs w:val="32"/>
          <w:lang w:val="en-US" w:eastAsia="zh-CN"/>
        </w:rPr>
        <w:t>[2003]字942号，并取得丰都县国土资源和房屋管理局颁发的306字第007737房权证，该证载明，房屋坐落于丰都县名山镇花园街56号，1-82号房在1-2层，建筑面积999.17平方米，摊位1-6号在2层，建筑面积269.24平方米。2003年10月24日，</w:t>
      </w:r>
      <w:r>
        <w:rPr>
          <w:rFonts w:hint="eastAsia" w:ascii="仿宋" w:hAnsi="仿宋" w:eastAsia="仿宋" w:cs="H-SS9-PK74820000a48-Identity-H"/>
          <w:kern w:val="0"/>
          <w:sz w:val="32"/>
          <w:szCs w:val="32"/>
          <w:lang w:val="en-US" w:eastAsia="zh-CN"/>
        </w:rPr>
        <w:t>湛红兵与中国建设银行丰都支行签订《重庆市房地产抵押合同》，以位于丰都县名山镇花园路56号，土地权证号为丰国用（2003）名山第942号，</w:t>
      </w:r>
      <w:r>
        <w:rPr>
          <w:rFonts w:hint="eastAsia" w:ascii="微软雅黑" w:hAnsi="微软雅黑" w:eastAsia="微软雅黑" w:cs="微软雅黑"/>
          <w:kern w:val="0"/>
          <w:sz w:val="32"/>
          <w:szCs w:val="32"/>
          <w:lang w:val="en-US" w:eastAsia="zh-CN"/>
        </w:rPr>
        <w:t>房权证号306字第007737号的商业用房，为</w:t>
      </w:r>
      <w:r>
        <w:rPr>
          <w:rFonts w:hint="eastAsia" w:ascii="仿宋" w:hAnsi="仿宋" w:eastAsia="仿宋" w:cs="H-SS9-PK74820000a48-Identity-H"/>
          <w:kern w:val="0"/>
          <w:sz w:val="32"/>
          <w:szCs w:val="32"/>
          <w:lang w:val="en-US" w:eastAsia="zh-CN"/>
        </w:rPr>
        <w:t>中国建设银行股份有限公司丰都支行发放贷款860万元作抵押担保。2005年11月18日，重庆市渝中区公证处为中国建设银行股份有限公司丰都支行与湛红兵之间及担保贷款的偿还事宜签订的《协议书》进行公证，并作出（2005）渝中证字3561号《公证书》，2005年11月18日前已经抵押登记的</w:t>
      </w:r>
      <w:r>
        <w:rPr>
          <w:rFonts w:hint="eastAsia" w:ascii="微软雅黑" w:hAnsi="微软雅黑" w:eastAsia="微软雅黑" w:cs="微软雅黑"/>
          <w:kern w:val="0"/>
          <w:sz w:val="32"/>
          <w:szCs w:val="32"/>
          <w:lang w:val="en-US" w:eastAsia="zh-CN"/>
        </w:rPr>
        <w:t>坐落于丰都县名山镇花园街56号，1-82号房在1-2层（建筑面积999.17平方米，摊位1-6号在2层，建筑面积269.24平方米）拆除改修重建已完工</w:t>
      </w:r>
      <w:r>
        <w:rPr>
          <w:rFonts w:hint="eastAsia" w:ascii="仿宋" w:hAnsi="仿宋" w:eastAsia="仿宋" w:cs="H-SS9-PK74820000a48-Identity-H"/>
          <w:kern w:val="0"/>
          <w:sz w:val="32"/>
          <w:szCs w:val="32"/>
          <w:lang w:val="en-US" w:eastAsia="zh-CN"/>
        </w:rPr>
        <w:t>。2006年9月8日，重庆市第三中级人民法院作出（2006）渝三中民执字第11-1号执行裁定书，裁定：被执行人湛红兵所有的位于丰都县名山镇花园街56号（农贸市场）1-82号（土地面积使用999.17平方米），摊位1-6号（269.24平方米）产权归申请人中国建设银行股份有限公司丰都支行所有，双方当事人依据本裁定到国土、房管部门办理产权过户登记手续。2007年6月12日，丰都县</w:t>
      </w:r>
      <w:r>
        <w:rPr>
          <w:rFonts w:hint="eastAsia" w:ascii="微软雅黑" w:hAnsi="微软雅黑" w:eastAsia="微软雅黑" w:cs="微软雅黑"/>
          <w:kern w:val="0"/>
          <w:sz w:val="32"/>
          <w:szCs w:val="32"/>
          <w:lang w:val="en-US" w:eastAsia="zh-CN"/>
        </w:rPr>
        <w:t>国土资源和房屋管理局进行了变更登记，将</w:t>
      </w:r>
      <w:r>
        <w:rPr>
          <w:rFonts w:hint="eastAsia" w:ascii="仿宋" w:hAnsi="仿宋" w:eastAsia="仿宋" w:cs="H-SS9-PK74820000a48-Identity-H"/>
          <w:kern w:val="0"/>
          <w:sz w:val="32"/>
          <w:szCs w:val="32"/>
          <w:lang w:val="en-US" w:eastAsia="zh-CN"/>
        </w:rPr>
        <w:t>湛红兵抵押的土地使用权证号为丰国用名山</w:t>
      </w:r>
      <w:r>
        <w:rPr>
          <w:rFonts w:hint="eastAsia" w:ascii="微软雅黑" w:hAnsi="微软雅黑" w:eastAsia="微软雅黑" w:cs="微软雅黑"/>
          <w:kern w:val="0"/>
          <w:sz w:val="32"/>
          <w:szCs w:val="32"/>
          <w:lang w:val="en-US" w:eastAsia="zh-CN"/>
        </w:rPr>
        <w:t>[2003]字942号，306字第007737房权证载明的土地使用权，房屋使用权人登记为</w:t>
      </w:r>
      <w:r>
        <w:rPr>
          <w:rFonts w:hint="eastAsia" w:ascii="仿宋" w:hAnsi="仿宋" w:eastAsia="仿宋" w:cs="H-SS9-PK74820000a48-Identity-H"/>
          <w:kern w:val="0"/>
          <w:sz w:val="32"/>
          <w:szCs w:val="32"/>
          <w:lang w:val="en-US" w:eastAsia="zh-CN"/>
        </w:rPr>
        <w:t>中国建设银行股份有限公司丰都支行，证号为306房地证2007字第043951号房地产权证。2008年11月27日，中国建设银行股份有限公司丰都支行与曾蜀霞签订《重庆市丰都县房地产买卖合同》，约定将抵债取得的房地产转让给曾蜀霞。2008年12月4日，丰都县</w:t>
      </w:r>
      <w:r>
        <w:rPr>
          <w:rFonts w:hint="eastAsia" w:ascii="微软雅黑" w:hAnsi="微软雅黑" w:eastAsia="微软雅黑" w:cs="微软雅黑"/>
          <w:kern w:val="0"/>
          <w:sz w:val="32"/>
          <w:szCs w:val="32"/>
          <w:lang w:val="en-US" w:eastAsia="zh-CN"/>
        </w:rPr>
        <w:t>国土资源和房屋管理局进行了变更登记，</w:t>
      </w:r>
      <w:r>
        <w:rPr>
          <w:rFonts w:hint="eastAsia" w:ascii="仿宋" w:hAnsi="仿宋" w:eastAsia="仿宋" w:cs="H-SS9-PK74820000a48-Identity-H"/>
          <w:kern w:val="0"/>
          <w:sz w:val="32"/>
          <w:szCs w:val="32"/>
          <w:lang w:val="en-US" w:eastAsia="zh-CN"/>
        </w:rPr>
        <w:t>曾蜀霞取得了原306房地证2007字第043951号房地产权证载明的权利和变更后的房地产权证，证号为：306房地证2008字第06139号房地产权证。2012年11月15日，曾蜀霞与丰都支行签订《重庆市房地产抵押合同》，以306房地证2008字第06139号房地产权证载明的房地产权为借款人秦琼兰向丰都支行借款500万元作抵押担保，并办理了抵押登记。后因秦琼兰未按约定偿还丰都支行借款，丰都支行于2015年向本院起诉，请求判令曾蜀霞、秦琼兰偿还借款500万元及利息，并对抵押房地产享有优先受偿权，2015年9月10日，本院作出（2015）丰法民初字第02078号判决书，判决，秦琼兰偿还本金500万元及利息；丰都支行对曾蜀霞所有的坐落于丰都县名山街道（原丰都县名山镇）花园街56号的商业用房屋1-2层（证号：306房地证2008字第06139号）享有优先受偿的权利，该判决生效后，丰都支行向本院申请强制执行，本院裁定将曾蜀霞所有的丰都县名山街道（原丰都县名山镇）花园街56号的商业用房屋1-2层予以查封，并裁定评估、拍卖该房屋，2019年11月4日，案外人</w:t>
      </w:r>
      <w:r>
        <w:rPr>
          <w:rFonts w:hint="eastAsia" w:ascii="仿宋" w:hAnsi="仿宋" w:eastAsia="仿宋" w:cs="SSJ-PK74820000a3c-Identity-H"/>
          <w:kern w:val="0"/>
          <w:sz w:val="32"/>
          <w:szCs w:val="32"/>
          <w:lang w:eastAsia="zh-CN"/>
        </w:rPr>
        <w:t>许晓红向本院提出执行异议，请求中止执行对属于该房屋的</w:t>
      </w:r>
      <w:r>
        <w:rPr>
          <w:rFonts w:hint="eastAsia" w:ascii="仿宋" w:hAnsi="仿宋" w:eastAsia="仿宋" w:cs="SSJ-PK74820000a3c-Identity-H"/>
          <w:kern w:val="0"/>
          <w:sz w:val="32"/>
          <w:szCs w:val="32"/>
          <w:lang w:val="en-US" w:eastAsia="zh-CN"/>
        </w:rPr>
        <w:t>56号门面部分。2019年11月18日，本院作出（2019）渝0230执异65号裁定书，裁定驳回</w:t>
      </w:r>
      <w:r>
        <w:rPr>
          <w:rFonts w:hint="eastAsia" w:ascii="仿宋" w:hAnsi="仿宋" w:eastAsia="仿宋" w:cs="H-SS9-PK74820000a48-Identity-H"/>
          <w:kern w:val="0"/>
          <w:sz w:val="32"/>
          <w:szCs w:val="32"/>
          <w:lang w:val="en-US" w:eastAsia="zh-CN"/>
        </w:rPr>
        <w:t>案外人</w:t>
      </w:r>
      <w:r>
        <w:rPr>
          <w:rFonts w:hint="eastAsia" w:ascii="仿宋" w:hAnsi="仿宋" w:eastAsia="仿宋" w:cs="SSJ-PK74820000a3c-Identity-H"/>
          <w:kern w:val="0"/>
          <w:sz w:val="32"/>
          <w:szCs w:val="32"/>
          <w:lang w:eastAsia="zh-CN"/>
        </w:rPr>
        <w:t>许晓红的异议请求。</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SSJ-PK74820000a3c-Identity-H"/>
          <w:kern w:val="0"/>
          <w:sz w:val="32"/>
          <w:szCs w:val="32"/>
          <w:lang w:eastAsia="zh-CN"/>
        </w:rPr>
        <w:t>另查明，</w:t>
      </w:r>
      <w:r>
        <w:rPr>
          <w:rFonts w:hint="eastAsia" w:ascii="仿宋" w:hAnsi="仿宋" w:eastAsia="仿宋" w:cs="SSJ-PK74820000a3c-Identity-H"/>
          <w:kern w:val="0"/>
          <w:sz w:val="32"/>
          <w:szCs w:val="32"/>
          <w:lang w:val="en-US" w:eastAsia="zh-CN"/>
        </w:rPr>
        <w:t>2004年6月20日，</w:t>
      </w:r>
      <w:r>
        <w:rPr>
          <w:rFonts w:hint="eastAsia" w:ascii="仿宋" w:hAnsi="仿宋" w:eastAsia="仿宋" w:cs="E-BZ9-PK74888-Identity-H"/>
          <w:kern w:val="0"/>
          <w:sz w:val="32"/>
          <w:szCs w:val="32"/>
          <w:lang w:eastAsia="zh-CN"/>
        </w:rPr>
        <w:t>许晓红（乙方）与丰都新城市场管理办公室（负责人湛红兵，甲方）签订了《集资建房合同》，合同载明甲方对市场内的部分门面和设施拆除该修重建，乙方集资房</w:t>
      </w:r>
      <w:r>
        <w:rPr>
          <w:rFonts w:hint="eastAsia" w:ascii="仿宋" w:hAnsi="仿宋" w:eastAsia="仿宋" w:cs="E-BZ9-PK74888-Identity-H"/>
          <w:kern w:val="0"/>
          <w:sz w:val="32"/>
          <w:szCs w:val="32"/>
          <w:lang w:val="en-US" w:eastAsia="zh-CN"/>
        </w:rPr>
        <w:t>门面位置为新城农贸市场大门右侧。门面面积23.65平方米左右，建好后以房产证的建筑面积为准计算，合同约定门面单价2800元/</w:t>
      </w:r>
      <w:r>
        <w:rPr>
          <w:rFonts w:hint="eastAsia" w:ascii="宋体" w:hAnsi="宋体" w:eastAsia="宋体" w:cs="宋体"/>
          <w:kern w:val="0"/>
          <w:sz w:val="32"/>
          <w:szCs w:val="32"/>
          <w:lang w:val="en-US" w:eastAsia="zh-CN"/>
        </w:rPr>
        <w:t>㎡</w:t>
      </w:r>
      <w:r>
        <w:rPr>
          <w:rFonts w:hint="eastAsia" w:ascii="仿宋" w:hAnsi="仿宋" w:eastAsia="仿宋" w:cs="E-BZ9-PK74888-Identity-H"/>
          <w:kern w:val="0"/>
          <w:sz w:val="32"/>
          <w:szCs w:val="32"/>
          <w:lang w:val="en-US" w:eastAsia="zh-CN"/>
        </w:rPr>
        <w:t>,价款66220元,签订合同时交总价款的95%即62900元。合同签订后</w:t>
      </w:r>
      <w:r>
        <w:rPr>
          <w:rFonts w:hint="eastAsia" w:ascii="仿宋" w:hAnsi="仿宋" w:eastAsia="仿宋" w:cs="E-BZ9-PK74888-Identity-H"/>
          <w:kern w:val="0"/>
          <w:sz w:val="32"/>
          <w:szCs w:val="32"/>
          <w:lang w:eastAsia="zh-CN"/>
        </w:rPr>
        <w:t>许晓红于</w:t>
      </w:r>
      <w:r>
        <w:rPr>
          <w:rFonts w:hint="eastAsia" w:ascii="仿宋" w:hAnsi="仿宋" w:eastAsia="仿宋" w:cs="E-BZ9-PK74888-Identity-H"/>
          <w:kern w:val="0"/>
          <w:sz w:val="32"/>
          <w:szCs w:val="32"/>
          <w:lang w:val="en-US" w:eastAsia="zh-CN"/>
        </w:rPr>
        <w:t>2004年6月21日至2005年6月23日支付了合同价款的95%购房款</w:t>
      </w:r>
      <w:r>
        <w:rPr>
          <w:rFonts w:hint="eastAsia" w:ascii="仿宋" w:hAnsi="仿宋" w:eastAsia="仿宋" w:cs="E-BZ9-PK74888-Identity-H"/>
          <w:kern w:val="0"/>
          <w:sz w:val="32"/>
          <w:szCs w:val="32"/>
          <w:lang w:eastAsia="zh-CN"/>
        </w:rPr>
        <w:t>。</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E-BZ9-PK74888-Identity-H"/>
          <w:kern w:val="0"/>
          <w:sz w:val="32"/>
          <w:szCs w:val="32"/>
          <w:lang w:eastAsia="zh-CN"/>
        </w:rPr>
        <w:t>上述事实有当事人的陈述、</w:t>
      </w:r>
      <w:r>
        <w:rPr>
          <w:rFonts w:hint="eastAsia" w:ascii="仿宋" w:hAnsi="仿宋" w:eastAsia="仿宋" w:cs="H-SS9-PK74820000a48-Identity-H"/>
          <w:kern w:val="0"/>
          <w:sz w:val="32"/>
          <w:szCs w:val="32"/>
          <w:lang w:val="en-US" w:eastAsia="zh-CN"/>
        </w:rPr>
        <w:t>（2015）丰法民初字第02078号判决书、</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lang w:val="en-US" w:eastAsia="zh-CN"/>
        </w:rPr>
        <w:t>2015</w:t>
      </w:r>
      <w:r>
        <w:rPr>
          <w:rFonts w:hint="eastAsia" w:ascii="仿宋" w:hAnsi="仿宋" w:eastAsia="仿宋" w:cs="E-BZ9-PK74888-Identity-H"/>
          <w:kern w:val="0"/>
          <w:sz w:val="32"/>
          <w:szCs w:val="32"/>
          <w:lang w:eastAsia="zh-CN"/>
        </w:rPr>
        <w:t>）丰法民执字第</w:t>
      </w:r>
      <w:r>
        <w:rPr>
          <w:rFonts w:hint="eastAsia" w:ascii="仿宋" w:hAnsi="仿宋" w:eastAsia="仿宋" w:cs="E-BZ9-PK74888-Identity-H"/>
          <w:kern w:val="0"/>
          <w:sz w:val="32"/>
          <w:szCs w:val="32"/>
          <w:lang w:val="en-US" w:eastAsia="zh-CN"/>
        </w:rPr>
        <w:t>00912-1号执行裁定书、</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lang w:val="en-US" w:eastAsia="zh-CN"/>
        </w:rPr>
        <w:t>2019</w:t>
      </w:r>
      <w:r>
        <w:rPr>
          <w:rFonts w:hint="eastAsia" w:ascii="仿宋" w:hAnsi="仿宋" w:eastAsia="仿宋" w:cs="E-BZ9-PK74888-Identity-H"/>
          <w:kern w:val="0"/>
          <w:sz w:val="32"/>
          <w:szCs w:val="32"/>
          <w:lang w:eastAsia="zh-CN"/>
        </w:rPr>
        <w:t>）渝</w:t>
      </w:r>
      <w:r>
        <w:rPr>
          <w:rFonts w:hint="eastAsia" w:ascii="仿宋" w:hAnsi="仿宋" w:eastAsia="仿宋" w:cs="E-BZ9-PK74888-Identity-H"/>
          <w:kern w:val="0"/>
          <w:sz w:val="32"/>
          <w:szCs w:val="32"/>
          <w:lang w:val="en-US" w:eastAsia="zh-CN"/>
        </w:rPr>
        <w:t>0230执异65号裁定书、《集资建房合同》、收条、《抵押合同》（2份，抵押人</w:t>
      </w:r>
      <w:r>
        <w:rPr>
          <w:rFonts w:hint="eastAsia" w:ascii="仿宋" w:hAnsi="仿宋" w:eastAsia="仿宋" w:cs="H-SS9-PK74820000a48-Identity-H"/>
          <w:kern w:val="0"/>
          <w:sz w:val="32"/>
          <w:szCs w:val="32"/>
          <w:lang w:val="en-US" w:eastAsia="zh-CN"/>
        </w:rPr>
        <w:t>湛红兵、曾蜀霞各一份</w:t>
      </w:r>
      <w:r>
        <w:rPr>
          <w:rFonts w:hint="eastAsia" w:ascii="仿宋" w:hAnsi="仿宋" w:eastAsia="仿宋" w:cs="E-BZ9-PK74888-Identity-H"/>
          <w:kern w:val="0"/>
          <w:sz w:val="32"/>
          <w:szCs w:val="32"/>
          <w:lang w:val="en-US" w:eastAsia="zh-CN"/>
        </w:rPr>
        <w:t>）、《房权证306字第007737号》、丰都县房地产面积测算报告书、《国有土地使用权出让合同》、《丰都县城乡建设综合开发公司国有建设用地转让合同》、《竞买协议书》、《建设工程规划许可证》、《房地产买卖合同》、《公正书》等证据，并经庭审举证，质证，核证，认证予以确认。</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原被告争议的焦点是：一、本案不动产权变动是否合法的问题；二、房屋买卖合同的买受人享有的债权与抵押权人享有的抵押权哪一个具有优先性等问题</w:t>
      </w:r>
      <w:r>
        <w:rPr>
          <w:rFonts w:hint="eastAsia" w:ascii="仿宋" w:hAnsi="仿宋" w:eastAsia="仿宋" w:cs="H-SS9-PK74820000a48-Identity-H"/>
          <w:kern w:val="0"/>
          <w:sz w:val="32"/>
          <w:szCs w:val="32"/>
        </w:rPr>
        <w:t>。</w:t>
      </w:r>
    </w:p>
    <w:p>
      <w:pPr>
        <w:numPr>
          <w:ilvl w:val="0"/>
          <w:numId w:val="1"/>
        </w:num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eastAsia="zh-CN"/>
        </w:rPr>
        <w:t>物权变动是否合法的问题。</w:t>
      </w:r>
      <w:r>
        <w:rPr>
          <w:rFonts w:hint="eastAsia" w:ascii="仿宋" w:hAnsi="仿宋" w:eastAsia="仿宋" w:cs="H-SS9-PK74820000a48-Identity-H"/>
          <w:kern w:val="0"/>
          <w:sz w:val="32"/>
          <w:szCs w:val="32"/>
          <w:lang w:val="en-US" w:eastAsia="zh-CN"/>
        </w:rPr>
        <w:t>1996年7月，丰都县城乡建设综合开发公司与原丰都县国土局签订《国有土地使用权出让合同》，经过登记取得丰都县新城小区一号组团土地编号025号、面积3000平方米的国有土地使用权，符合当时的《中华人民共和国土地管理法》第五十四条、《中华人民共和国土地管理法实施条例》第二十二条规定，为此丰都县城乡建设综合开发公司是上述土地的使用权人，后该公司将面积3000平方米土地使用权转让给丰都县工商局也符合上述法律规定，后该工商局将取得的土地使用权再有偿转让湛红兵，同理也符合法律规定。</w:t>
      </w:r>
      <w:r>
        <w:rPr>
          <w:rFonts w:hint="eastAsia" w:ascii="微软雅黑" w:hAnsi="微软雅黑" w:eastAsia="微软雅黑" w:cs="微软雅黑"/>
          <w:kern w:val="0"/>
          <w:sz w:val="32"/>
          <w:szCs w:val="32"/>
          <w:lang w:val="en-US" w:eastAsia="zh-CN"/>
        </w:rPr>
        <w:t>2003年10月24日，</w:t>
      </w:r>
      <w:r>
        <w:rPr>
          <w:rFonts w:hint="eastAsia" w:ascii="仿宋" w:hAnsi="仿宋" w:eastAsia="仿宋" w:cs="H-SS9-PK74820000a48-Identity-H"/>
          <w:kern w:val="0"/>
          <w:sz w:val="32"/>
          <w:szCs w:val="32"/>
          <w:lang w:val="en-US" w:eastAsia="zh-CN"/>
        </w:rPr>
        <w:t>湛红兵与中国建设银行丰都支行签订《重庆市房地产抵押合同》，以自己所有的或具有使用权的，位于丰都县名山镇花园路56号，土地权证号为丰国用（2003）名山第942号，</w:t>
      </w:r>
      <w:r>
        <w:rPr>
          <w:rFonts w:hint="eastAsia" w:ascii="微软雅黑" w:hAnsi="微软雅黑" w:eastAsia="微软雅黑" w:cs="微软雅黑"/>
          <w:kern w:val="0"/>
          <w:sz w:val="32"/>
          <w:szCs w:val="32"/>
          <w:lang w:val="en-US" w:eastAsia="zh-CN"/>
        </w:rPr>
        <w:t>房权证号306字第007737号的房地产权（</w:t>
      </w:r>
      <w:r>
        <w:rPr>
          <w:rFonts w:hint="eastAsia" w:ascii="仿宋" w:hAnsi="仿宋" w:eastAsia="仿宋" w:cs="H-SS9-PK74820000a48-Identity-H"/>
          <w:kern w:val="0"/>
          <w:sz w:val="32"/>
          <w:szCs w:val="32"/>
          <w:lang w:val="en-US" w:eastAsia="zh-CN"/>
        </w:rPr>
        <w:t>丰都县名山镇花园路56号（农贸市场）1-82号，1-2层，土地使用面积999.17平方米），摊位1-6号（269.24平方米）产权</w:t>
      </w:r>
      <w:r>
        <w:rPr>
          <w:rFonts w:hint="eastAsia" w:ascii="微软雅黑" w:hAnsi="微软雅黑" w:eastAsia="微软雅黑" w:cs="微软雅黑"/>
          <w:kern w:val="0"/>
          <w:sz w:val="32"/>
          <w:szCs w:val="32"/>
          <w:lang w:val="en-US" w:eastAsia="zh-CN"/>
        </w:rPr>
        <w:t>，为</w:t>
      </w:r>
      <w:r>
        <w:rPr>
          <w:rFonts w:hint="eastAsia" w:ascii="仿宋" w:hAnsi="仿宋" w:eastAsia="仿宋" w:cs="H-SS9-PK74820000a48-Identity-H"/>
          <w:kern w:val="0"/>
          <w:sz w:val="32"/>
          <w:szCs w:val="32"/>
          <w:lang w:val="en-US" w:eastAsia="zh-CN"/>
        </w:rPr>
        <w:t>中国建设银行股份有限公司丰都支行发放贷款860万元作抵押担保，符合《中华人民共和国担保法》第三十四、第三十六条第一、二款、第三十八条、第三十九第一款、第四十一条、第四十二条的规定，该抵押合同具有法律效力，抵押合同设定的抵押权已经相关部门登记，为此抵押权有效成立，中国建设银行股份有限公司丰都支行享有设定内容的抵押权，并且具有对世的法律效力。后由于湛红兵没有按照约定偿还借款，与中国建设银行股份有限公司丰都支行协商以抵押的房地产权折价抵消债务，并将抵押的房地产权变更登记为中国建设银行股份有限公司丰都支行所有，不违背法律规定，属于实现抵押权的方式，依法具有法律效力。中国建设银行股份有限公司丰都支行在相关部门办理变更登记后，依法取得房地产的房屋所有权和土地使用权，对于该不动产权中国建设银行股份有限公司丰都支行享有占有、使用、收益和依法转让的权利，该权利具有排他的对世效力。中国建设银行股份有限公司丰都支行在取得变更登记后的房地产权证后，有偿转让给曾蜀霞，并将不动产权权利人通过有关部门变更登记为曾蜀霞，符合法律规定，曾蜀霞依法取得以上房地产权。曾蜀霞对有偿取得的房地产权依法用于秦琼兰向丰都支行的借款担保抵押，签订抵押合同，进行抵押登记，丰都支行取得抵押权，后因秦琼兰未按照约定偿还借款，丰都支行诉至本院，本院判令丰都支行对曾蜀霞所有的坐落于丰都县名山街道（原丰都县名山镇）花园街56号的商业用房屋1-2层（证号：306房地证2008字第06139号）享有优先受偿的权利，符合法律规定，应当进行肯定性评价。判决生效后本院根据丰都支行申请，进行执行，也符合法律规定，予以支持。</w:t>
      </w:r>
    </w:p>
    <w:p>
      <w:pPr>
        <w:numPr>
          <w:ilvl w:val="0"/>
          <w:numId w:val="1"/>
        </w:num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eastAsia="zh-CN"/>
        </w:rPr>
        <w:t>房屋买卖合同的买受人享有的债权与抵押权人享有的抵押权哪一个具有优先性等问题。</w:t>
      </w:r>
      <w:r>
        <w:rPr>
          <w:rFonts w:hint="eastAsia" w:ascii="仿宋" w:hAnsi="仿宋" w:eastAsia="仿宋" w:cs="E-BZ9-PK74888-Identity-H"/>
          <w:kern w:val="0"/>
          <w:sz w:val="32"/>
          <w:szCs w:val="32"/>
          <w:lang w:eastAsia="zh-CN"/>
        </w:rPr>
        <w:t>许晓红与丰都新城市场管理办公室签订房屋买卖合同（名为集资建房合同实为房屋买卖合同），根据合同约定和合同相对性原则，许晓红仅对丰都新城市场管理办公室或者变更后的主体享有债权请求权，这个债权主要体现在房屋交付，房屋产权变更登记等请求权，对于合同之外的第三人没有合同约定的债权请求权，同时该合同请求权，依法不具有排他性，当债权与物权发生冲突时，依法物权具有优先的法律效力。</w:t>
      </w:r>
      <w:r>
        <w:rPr>
          <w:rFonts w:hint="eastAsia" w:ascii="仿宋" w:hAnsi="仿宋" w:eastAsia="仿宋" w:cs="H-SS9-PK74820000a48-Identity-H"/>
          <w:kern w:val="0"/>
          <w:sz w:val="32"/>
          <w:szCs w:val="32"/>
          <w:lang w:val="en-US" w:eastAsia="zh-CN"/>
        </w:rPr>
        <w:t>曾蜀霞对有偿取得的房地产权依法用于秦琼兰向丰都支行的借款担保抵押，签订抵押合同，进行抵押登记，丰都支行取得抵押权，该抵押权属于不动产所有权和使用权依法行使而产生的物权，具有排他对世的法律效力，与</w:t>
      </w:r>
      <w:r>
        <w:rPr>
          <w:rFonts w:hint="eastAsia" w:ascii="仿宋" w:hAnsi="仿宋" w:eastAsia="仿宋" w:cs="E-BZ9-PK74888-Identity-H"/>
          <w:kern w:val="0"/>
          <w:sz w:val="32"/>
          <w:szCs w:val="32"/>
          <w:lang w:eastAsia="zh-CN"/>
        </w:rPr>
        <w:t>许晓红所享有的合同债权比较，</w:t>
      </w:r>
      <w:r>
        <w:rPr>
          <w:rFonts w:hint="eastAsia" w:ascii="仿宋" w:hAnsi="仿宋" w:eastAsia="仿宋" w:cs="H-SS9-PK74820000a48-Identity-H"/>
          <w:kern w:val="0"/>
          <w:sz w:val="32"/>
          <w:szCs w:val="32"/>
          <w:lang w:val="en-US" w:eastAsia="zh-CN"/>
        </w:rPr>
        <w:t>丰都支行取得的抵押权具有优先的法律效力，应当优先实现。丰都支行向本院申请执行生效判决载明的抵押房地产，本院依法裁定执行抵押的房地产，正是依法优先实现抵押权，为此，</w:t>
      </w:r>
      <w:r>
        <w:rPr>
          <w:rFonts w:hint="eastAsia" w:ascii="仿宋" w:hAnsi="仿宋" w:eastAsia="仿宋" w:cs="E-BZ9-PK74888-Identity-H"/>
          <w:kern w:val="0"/>
          <w:sz w:val="32"/>
          <w:szCs w:val="32"/>
          <w:lang w:eastAsia="zh-CN"/>
        </w:rPr>
        <w:t>许晓红请求不予执行的请求不予支持。另许晓红认为</w:t>
      </w:r>
      <w:r>
        <w:rPr>
          <w:rFonts w:hint="eastAsia" w:ascii="仿宋" w:hAnsi="仿宋" w:eastAsia="仿宋" w:cs="H-SS9-PK74820000a48-Identity-H"/>
          <w:kern w:val="0"/>
          <w:sz w:val="32"/>
          <w:szCs w:val="32"/>
          <w:lang w:val="en-US" w:eastAsia="zh-CN"/>
        </w:rPr>
        <w:t>丰都支行未尽审查义务，曾蜀霞有窜通他人损害自己利益的行为，对此并没有举示相关证据，其主张事实依法不能成立。抵押登记载明的，建造中的房屋抵押的，抵押权依法仍然有效成立，属于抵押范围内的财产。再有本案属于案外人执行异议之诉，对于相关的借款纠纷案件的判决不属于同类型不具有类案的参照性，如认为（2015）丰法民初字第02078号判决书等存在事实认定和判决错误，可另案依法提起撤销等诉，但不属于本案审理范畴，本案不予审理。</w:t>
      </w:r>
    </w:p>
    <w:p>
      <w:pPr>
        <w:numPr>
          <w:ilvl w:val="0"/>
          <w:numId w:val="0"/>
        </w:num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lang w:val="en-US" w:eastAsia="zh-CN"/>
        </w:rPr>
        <w:t>《中华人民共和国土地管理法》第五十四条、《中华人民共和国土地管理法实施条例》第二十二条、《中华人民共和国担保法》第三十四、第三十六条第一、二款、第三十八条、第三十九第一款、第四十一条、第四十二条、</w:t>
      </w:r>
      <w:r>
        <w:rPr>
          <w:rFonts w:hint="eastAsia" w:ascii="仿宋" w:hAnsi="仿宋" w:eastAsia="仿宋" w:cs="SSJ-PK74820000a3c-Identity-H"/>
          <w:kern w:val="0"/>
          <w:sz w:val="32"/>
          <w:szCs w:val="32"/>
          <w:lang w:eastAsia="zh-CN"/>
        </w:rPr>
        <w:t>《中华人民共和国物权法》第五条、第六条、第九条、第十四条、第三十九条、第四十条、第一百七十条、第一百七十九条、第一百八十条、第一百八十七条、第一百九十条、第一百九十五条、《最高人民法院关于适用</w:t>
      </w:r>
      <w:r>
        <w:rPr>
          <w:rFonts w:hint="eastAsia" w:ascii="微软雅黑" w:hAnsi="微软雅黑" w:eastAsia="微软雅黑" w:cs="微软雅黑"/>
          <w:kern w:val="0"/>
          <w:sz w:val="32"/>
          <w:szCs w:val="32"/>
          <w:lang w:eastAsia="zh-CN"/>
        </w:rPr>
        <w:t>〈</w:t>
      </w:r>
      <w:r>
        <w:rPr>
          <w:rFonts w:hint="eastAsia" w:ascii="仿宋" w:hAnsi="仿宋" w:eastAsia="仿宋" w:cs="SSJ-PK74820000a3c-Identity-H"/>
          <w:kern w:val="0"/>
          <w:sz w:val="32"/>
          <w:szCs w:val="32"/>
          <w:lang w:eastAsia="zh-CN"/>
        </w:rPr>
        <w:t>中华人民共和国担保法</w:t>
      </w:r>
      <w:r>
        <w:rPr>
          <w:rFonts w:hint="eastAsia" w:ascii="微软雅黑" w:hAnsi="微软雅黑" w:eastAsia="微软雅黑" w:cs="微软雅黑"/>
          <w:kern w:val="0"/>
          <w:sz w:val="32"/>
          <w:szCs w:val="32"/>
          <w:lang w:eastAsia="zh-CN"/>
        </w:rPr>
        <w:t>〉若干问题的解释</w:t>
      </w:r>
      <w:r>
        <w:rPr>
          <w:rFonts w:hint="eastAsia" w:ascii="仿宋" w:hAnsi="仿宋" w:eastAsia="仿宋" w:cs="SSJ-PK74820000a3c-Identity-H"/>
          <w:kern w:val="0"/>
          <w:sz w:val="32"/>
          <w:szCs w:val="32"/>
          <w:lang w:eastAsia="zh-CN"/>
        </w:rPr>
        <w:t>》第四十七条、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一百四十四条、</w:t>
      </w:r>
      <w:r>
        <w:rPr>
          <w:rFonts w:hint="eastAsia" w:ascii="仿宋" w:hAnsi="仿宋" w:eastAsia="仿宋" w:cs="SSJ-PK74820000a3c-Identity-H"/>
          <w:kern w:val="0"/>
          <w:sz w:val="32"/>
          <w:szCs w:val="32"/>
        </w:rPr>
        <w:t>二百二十七条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最高人民法院关于适用</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的解释</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第三百一十二条</w:t>
      </w:r>
      <w:r>
        <w:rPr>
          <w:rFonts w:hint="eastAsia" w:ascii="仿宋" w:hAnsi="仿宋" w:eastAsia="仿宋" w:cs="SSJ-PK74820000a3c-Identity-H"/>
          <w:kern w:val="0"/>
          <w:sz w:val="32"/>
          <w:szCs w:val="32"/>
          <w:lang w:eastAsia="zh-CN"/>
        </w:rPr>
        <w:t>第一款第二项、《最高人民法院关于人民法院办理执行异议和复议案件若干问题的规定》第二十四条、第二十五条第一款第一项、第二十七条之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numPr>
          <w:ilvl w:val="0"/>
          <w:numId w:val="0"/>
        </w:num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H-SS9-PK74820000a48-Identity-H"/>
          <w:kern w:val="0"/>
          <w:sz w:val="32"/>
          <w:szCs w:val="32"/>
          <w:lang w:eastAsia="zh-CN"/>
        </w:rPr>
        <w:t>驳回原告</w:t>
      </w:r>
      <w:r>
        <w:rPr>
          <w:rFonts w:hint="eastAsia" w:ascii="仿宋" w:hAnsi="仿宋" w:eastAsia="仿宋" w:cs="E-BZ9-PK74888-Identity-H"/>
          <w:kern w:val="0"/>
          <w:sz w:val="32"/>
          <w:szCs w:val="32"/>
          <w:lang w:eastAsia="zh-CN"/>
        </w:rPr>
        <w:t>许晓红的诉讼请求。</w:t>
      </w:r>
    </w:p>
    <w:p>
      <w:pPr>
        <w:numPr>
          <w:ilvl w:val="0"/>
          <w:numId w:val="0"/>
        </w:num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E-BZ9-PK74888-Identity-H"/>
          <w:kern w:val="0"/>
          <w:sz w:val="32"/>
          <w:szCs w:val="32"/>
          <w:lang w:eastAsia="zh-CN"/>
        </w:rPr>
        <w:t>案件受理费</w:t>
      </w:r>
      <w:r>
        <w:rPr>
          <w:rFonts w:hint="eastAsia" w:ascii="仿宋" w:hAnsi="仿宋" w:eastAsia="仿宋" w:cs="E-BZ9-PK74888-Identity-H"/>
          <w:kern w:val="0"/>
          <w:sz w:val="32"/>
          <w:szCs w:val="32"/>
          <w:lang w:val="en-US" w:eastAsia="zh-CN"/>
        </w:rPr>
        <w:t>1456</w:t>
      </w:r>
      <w:r>
        <w:rPr>
          <w:rFonts w:hint="eastAsia" w:ascii="仿宋" w:hAnsi="仿宋" w:eastAsia="仿宋" w:cs="E-BZ9-PK74888-Identity-H"/>
          <w:kern w:val="0"/>
          <w:sz w:val="32"/>
          <w:szCs w:val="32"/>
          <w:lang w:eastAsia="zh-CN"/>
        </w:rPr>
        <w:t>元，由原告许晓红负担。</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可以在本判决书送达之日起十五日内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并按对方当事人或者代表人的人数提出副本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SSJ-PK74820000a3c-Identity-H"/>
          <w:kern w:val="0"/>
          <w:sz w:val="32"/>
          <w:szCs w:val="32"/>
        </w:rPr>
        <w:t>人民法院</w:t>
      </w:r>
      <w:r>
        <w:rPr>
          <w:rFonts w:hint="eastAsia" w:ascii="仿宋" w:hAnsi="仿宋" w:eastAsia="仿宋" w:cs="H-SS9-PK74820000a48-Identity-H"/>
          <w:kern w:val="0"/>
          <w:sz w:val="32"/>
          <w:szCs w:val="32"/>
        </w:rPr>
        <w:t>。</w:t>
      </w:r>
    </w:p>
    <w:p>
      <w:pPr>
        <w:ind w:firstLine="640" w:firstLineChars="200"/>
        <w:rPr>
          <w:rFonts w:hint="eastAsia" w:ascii="仿宋" w:hAnsi="仿宋" w:eastAsia="仿宋"/>
          <w:sz w:val="32"/>
          <w:szCs w:val="32"/>
        </w:rPr>
      </w:pPr>
    </w:p>
    <w:p>
      <w:pPr>
        <w:ind w:firstLine="640" w:firstLineChars="200"/>
        <w:rPr>
          <w:rFonts w:ascii="仿宋" w:hAnsi="仿宋" w:eastAsia="仿宋"/>
          <w:sz w:val="32"/>
          <w:szCs w:val="32"/>
        </w:rPr>
      </w:pPr>
    </w:p>
    <w:p>
      <w:pPr>
        <w:ind w:right="840" w:rightChars="400"/>
        <w:jc w:val="right"/>
        <w:rPr>
          <w:rFonts w:hint="eastAsia" w:ascii="仿宋" w:hAnsi="仿宋" w:eastAsia="仿宋"/>
          <w:sz w:val="32"/>
          <w:szCs w:val="32"/>
        </w:rPr>
      </w:pPr>
      <w:r>
        <w:rPr>
          <w:rFonts w:hint="eastAsia" w:ascii="仿宋" w:hAnsi="仿宋" w:eastAsia="仿宋"/>
          <w:sz w:val="32"/>
          <w:szCs w:val="32"/>
        </w:rPr>
        <w:t xml:space="preserve">审  判  </w:t>
      </w:r>
      <w:r>
        <w:rPr>
          <w:rFonts w:hint="eastAsia" w:ascii="仿宋" w:hAnsi="仿宋" w:eastAsia="仿宋"/>
          <w:sz w:val="32"/>
          <w:szCs w:val="32"/>
          <w:lang w:eastAsia="zh-CN"/>
        </w:rPr>
        <w:t>长</w:t>
      </w:r>
      <w:r>
        <w:rPr>
          <w:rFonts w:hint="eastAsia" w:ascii="仿宋" w:hAnsi="仿宋" w:eastAsia="仿宋"/>
          <w:sz w:val="32"/>
          <w:szCs w:val="32"/>
        </w:rPr>
        <w:t xml:space="preserve">  余孝安</w:t>
      </w:r>
      <w:r>
        <w:rPr>
          <w:rFonts w:hint="eastAsia" w:ascii="仿宋" w:hAnsi="仿宋" w:eastAsia="仿宋"/>
          <w:sz w:val="32"/>
          <w:szCs w:val="32"/>
        </w:rPr>
        <w:cr/>
      </w:r>
      <w:r>
        <w:rPr>
          <w:rFonts w:hint="eastAsia" w:ascii="仿宋" w:hAnsi="仿宋" w:eastAsia="仿宋"/>
          <w:sz w:val="32"/>
          <w:szCs w:val="32"/>
        </w:rPr>
        <w:t xml:space="preserve">    人民陪审员  肖明发</w:t>
      </w:r>
      <w:r>
        <w:rPr>
          <w:rFonts w:hint="eastAsia" w:ascii="仿宋" w:hAnsi="仿宋" w:eastAsia="仿宋"/>
          <w:sz w:val="32"/>
          <w:szCs w:val="32"/>
        </w:rPr>
        <w:cr/>
      </w:r>
      <w:r>
        <w:rPr>
          <w:rFonts w:hint="eastAsia" w:ascii="仿宋" w:hAnsi="仿宋" w:eastAsia="仿宋"/>
          <w:sz w:val="32"/>
          <w:szCs w:val="32"/>
        </w:rPr>
        <w:t xml:space="preserve">    人民陪审员  余晓阳</w:t>
      </w:r>
    </w:p>
    <w:p>
      <w:pPr>
        <w:ind w:right="840" w:rightChars="400"/>
        <w:jc w:val="right"/>
        <w:rPr>
          <w:rFonts w:hint="eastAsia" w:ascii="仿宋" w:hAnsi="仿宋" w:eastAsia="仿宋"/>
          <w:sz w:val="32"/>
          <w:szCs w:val="32"/>
        </w:rPr>
      </w:pPr>
    </w:p>
    <w:p>
      <w:pPr>
        <w:ind w:right="840" w:rightChars="400"/>
        <w:jc w:val="right"/>
        <w:rPr>
          <w:rFonts w:hint="eastAsia" w:ascii="仿宋" w:hAnsi="仿宋" w:eastAsia="仿宋"/>
          <w:sz w:val="32"/>
          <w:szCs w:val="32"/>
        </w:rPr>
      </w:pPr>
    </w:p>
    <w:p>
      <w:pPr>
        <w:ind w:right="840" w:rightChars="400"/>
        <w:jc w:val="right"/>
        <w:rPr>
          <w:rFonts w:ascii="仿宋" w:hAnsi="仿宋" w:eastAsia="仿宋"/>
          <w:sz w:val="32"/>
          <w:szCs w:val="32"/>
        </w:rPr>
      </w:pPr>
    </w:p>
    <w:p>
      <w:pPr>
        <w:ind w:right="840" w:rightChars="400"/>
        <w:jc w:val="right"/>
        <w:rPr>
          <w:rFonts w:hint="eastAsia" w:ascii="仿宋" w:hAnsi="仿宋" w:eastAsia="仿宋"/>
          <w:sz w:val="32"/>
          <w:szCs w:val="32"/>
        </w:rPr>
      </w:pPr>
      <w:r>
        <w:rPr>
          <w:rFonts w:hint="eastAsia" w:ascii="仿宋" w:hAnsi="仿宋" w:eastAsia="仿宋"/>
          <w:sz w:val="32"/>
          <w:szCs w:val="32"/>
        </w:rPr>
        <w:t>二〇一九年十二月二十七日</w:t>
      </w:r>
    </w:p>
    <w:p>
      <w:pPr>
        <w:ind w:right="840" w:rightChars="400"/>
        <w:jc w:val="right"/>
        <w:rPr>
          <w:rFonts w:ascii="仿宋" w:hAnsi="仿宋" w:eastAsia="仿宋"/>
          <w:sz w:val="32"/>
          <w:szCs w:val="32"/>
        </w:rPr>
      </w:pPr>
    </w:p>
    <w:p>
      <w:pPr>
        <w:ind w:right="840" w:rightChars="400"/>
        <w:jc w:val="right"/>
      </w:pPr>
      <w:r>
        <w:rPr>
          <w:rFonts w:hint="eastAsia" w:ascii="仿宋" w:hAnsi="仿宋" w:eastAsia="仿宋"/>
          <w:sz w:val="32"/>
          <w:szCs w:val="32"/>
        </w:rPr>
        <w:t>书　记　员　石丹力</w:t>
      </w:r>
      <w:r>
        <w:rPr>
          <w:rFonts w:ascii="仿宋" w:hAnsi="仿宋" w:eastAsia="仿宋"/>
          <w:sz w:val="32"/>
          <w:szCs w:val="32"/>
        </w:rPr>
        <w:t xml:space="preserve"> </w:t>
      </w: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sectPr>
      <w:footerReference r:id="rId3" w:type="default"/>
      <w:footerReference r:id="rId4" w:type="even"/>
      <w:pgSz w:w="11906" w:h="16838"/>
      <w:pgMar w:top="2098" w:right="1474" w:bottom="1985" w:left="1588" w:header="851" w:footer="68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p>
    <w:pPr>
      <w:pStyle w:val="2"/>
      <w:jc w:val="right"/>
      <w:rPr>
        <w:rFonts w:ascii="宋体" w:hAnsi="宋体"/>
        <w:sz w:val="28"/>
        <w:szCs w:val="28"/>
      </w:rPr>
    </w:pPr>
    <w:r>
      <w:rPr>
        <w:rFonts w:ascii="宋体" w:hAnsi="宋体"/>
        <w:sz w:val="28"/>
        <w:szCs w:val="28"/>
      </w:rPr>
      <w:drawing>
        <wp:inline distT="0" distB="0" distL="114300" distR="114300">
          <wp:extent cx="1524000" cy="4953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2"/>
    </w:pPr>
    <w:r>
      <w:drawing>
        <wp:inline distT="0" distB="0" distL="114300" distR="114300">
          <wp:extent cx="1524000" cy="4953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370A2A"/>
    <w:multiLevelType w:val="singleLevel"/>
    <w:tmpl w:val="C1370A2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516622"/>
    <w:rsid w:val="00891D59"/>
    <w:rsid w:val="077853E2"/>
    <w:rsid w:val="0D8D2C36"/>
    <w:rsid w:val="163830F5"/>
    <w:rsid w:val="212E14DD"/>
    <w:rsid w:val="2AC603D8"/>
    <w:rsid w:val="30F60934"/>
    <w:rsid w:val="32D73280"/>
    <w:rsid w:val="34FD4D03"/>
    <w:rsid w:val="36F27629"/>
    <w:rsid w:val="37B178DA"/>
    <w:rsid w:val="3CD619CD"/>
    <w:rsid w:val="3DC40313"/>
    <w:rsid w:val="449E0D90"/>
    <w:rsid w:val="53F373D8"/>
    <w:rsid w:val="56257591"/>
    <w:rsid w:val="63551ABB"/>
    <w:rsid w:val="686D23DD"/>
    <w:rsid w:val="6C60556E"/>
    <w:rsid w:val="704C0621"/>
    <w:rsid w:val="74C1592D"/>
    <w:rsid w:val="76413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2</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2019-12-29T13:59:26Z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