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58</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张帮才</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52</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12</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17</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居民，住重庆市丰都县名山镇东作门街</w:t>
      </w:r>
      <w:r>
        <w:rPr>
          <w:rFonts w:hint="eastAsia" w:ascii="仿宋" w:hAnsi="仿宋" w:eastAsia="仿宋" w:cs="SSJ-PK74820000a3c-Identity-H"/>
          <w:kern w:val="0"/>
          <w:sz w:val="32"/>
          <w:szCs w:val="32"/>
          <w:lang w:val="en-US" w:eastAsia="zh-CN"/>
        </w:rPr>
        <w:t>99号</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2324195212172974</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张帮才</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张帮才及其委托诉讼代理人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原告张帮才</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w:t>
      </w:r>
      <w:bookmarkStart w:id="0" w:name="_GoBack"/>
      <w:bookmarkEnd w:id="0"/>
      <w:r>
        <w:rPr>
          <w:rFonts w:hint="eastAsia" w:ascii="仿宋" w:hAnsi="仿宋" w:eastAsia="仿宋" w:cs="H-SS9-PK74820000a48-Identity-H"/>
          <w:kern w:val="0"/>
          <w:sz w:val="32"/>
          <w:szCs w:val="32"/>
          <w:lang w:val="en-US" w:eastAsia="zh-CN"/>
        </w:rPr>
        <w:t>号附10号（房屋产权证号306房地证2008字第06139）房屋</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2004年8月14日，原告</w:t>
      </w:r>
      <w:r>
        <w:rPr>
          <w:rFonts w:hint="eastAsia" w:ascii="仿宋" w:hAnsi="仿宋" w:eastAsia="仿宋" w:cs="E-BZ9-PK74888-Identity-H"/>
          <w:kern w:val="0"/>
          <w:sz w:val="32"/>
          <w:szCs w:val="32"/>
          <w:lang w:eastAsia="zh-CN"/>
        </w:rPr>
        <w:t>张帮才（乙方）与丰都新城市场管理办公室（负责人湛红兵，甲方）签订了《集资建房合同》，合同载明甲方对市场内的部分门面和设施拆除重建，乙方集资房为新城农贸市场大门右侧</w:t>
      </w:r>
      <w:r>
        <w:rPr>
          <w:rFonts w:hint="eastAsia" w:ascii="仿宋" w:hAnsi="仿宋" w:eastAsia="仿宋" w:cs="E-BZ9-PK74888-Identity-H"/>
          <w:kern w:val="0"/>
          <w:sz w:val="32"/>
          <w:szCs w:val="32"/>
          <w:lang w:val="en-US" w:eastAsia="zh-CN"/>
        </w:rPr>
        <w:t>5号门面，合同约定价款105600元，合同签订时交总价款的95%即100320元，其余款项在交付房屋时付清，合同签订后，原告支付了购房款100320元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张帮才向本院提出执行异议，请求中止执行对属于该房屋的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56号门面部分。2019年11月18日，本院作出（2019）渝0230执异60号裁定书，裁定驳回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张帮才的异议请求。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2004年8月14日，</w:t>
      </w:r>
      <w:r>
        <w:rPr>
          <w:rFonts w:hint="eastAsia" w:ascii="仿宋" w:hAnsi="仿宋" w:eastAsia="仿宋" w:cs="E-BZ9-PK74888-Identity-H"/>
          <w:kern w:val="0"/>
          <w:sz w:val="32"/>
          <w:szCs w:val="32"/>
          <w:lang w:eastAsia="zh-CN"/>
        </w:rPr>
        <w:t>张帮才（乙方）与丰都新城市场管理办公室（负责人湛红兵，甲方）签订了《集资建房合同》，合同载明甲方对市场内的部分门面和设施拆除该修重建，乙方集资房住房为</w:t>
      </w:r>
      <w:r>
        <w:rPr>
          <w:rFonts w:hint="eastAsia" w:ascii="仿宋" w:hAnsi="仿宋" w:eastAsia="仿宋" w:cs="E-BZ9-PK74888-Identity-H"/>
          <w:kern w:val="0"/>
          <w:sz w:val="32"/>
          <w:szCs w:val="32"/>
          <w:lang w:val="en-US" w:eastAsia="zh-CN"/>
        </w:rPr>
        <w:t>1单元401，门面位置为从上往下数第5号门面。门面面积33平方米左右，住房面积108平方米左右，建好后以房产证的建筑面积为准计算，合同约定门面价款3200元/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,价款105600元，住房按300元/</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计算</w:t>
      </w:r>
      <w:r>
        <w:rPr>
          <w:rFonts w:hint="eastAsia" w:ascii="仿宋" w:hAnsi="仿宋" w:eastAsia="仿宋" w:cs="E-BZ9-PK74888-Identity-H"/>
          <w:kern w:val="0"/>
          <w:sz w:val="32"/>
          <w:szCs w:val="32"/>
          <w:lang w:val="en-US" w:eastAsia="zh-CN"/>
        </w:rPr>
        <w:t>,签订合同时交总价款的95%即131000元。合同签订后</w:t>
      </w:r>
      <w:r>
        <w:rPr>
          <w:rFonts w:hint="eastAsia" w:ascii="仿宋" w:hAnsi="仿宋" w:eastAsia="仿宋" w:cs="E-BZ9-PK74888-Identity-H"/>
          <w:kern w:val="0"/>
          <w:sz w:val="32"/>
          <w:szCs w:val="32"/>
          <w:lang w:eastAsia="zh-CN"/>
        </w:rPr>
        <w:t>张帮才支付了部分购房款。</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0230执异60号裁定书、《集资建房合同》、收条、《抵押合同》（2份，抵押人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张帮才与丰都新城市场管理办公室签订房屋买卖合同（名为集资建房合同实为房屋买卖合同），根据合同约定和合同相对性原则，张帮才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张帮才所享有的合同债权比较，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张帮才请求不予执行的请求不予支持。另张帮才认为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张帮才的诉讼请求。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2412</w:t>
      </w:r>
      <w:r>
        <w:rPr>
          <w:rFonts w:hint="eastAsia" w:ascii="仿宋" w:hAnsi="仿宋" w:eastAsia="仿宋" w:cs="E-BZ9-PK74888-Identity-H"/>
          <w:kern w:val="0"/>
          <w:sz w:val="32"/>
          <w:szCs w:val="32"/>
          <w:lang w:eastAsia="zh-CN"/>
        </w:rPr>
        <w:t>元，由原告张帮才负担。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5B5F9D"/>
    <w:rsid w:val="03EC06AE"/>
    <w:rsid w:val="0BA14823"/>
    <w:rsid w:val="14522A00"/>
    <w:rsid w:val="163830F5"/>
    <w:rsid w:val="1F3B6D28"/>
    <w:rsid w:val="29971225"/>
    <w:rsid w:val="2A083474"/>
    <w:rsid w:val="2AC603D8"/>
    <w:rsid w:val="2EA64E2B"/>
    <w:rsid w:val="32D73280"/>
    <w:rsid w:val="34FD4D03"/>
    <w:rsid w:val="41450544"/>
    <w:rsid w:val="514A3EDC"/>
    <w:rsid w:val="533430B3"/>
    <w:rsid w:val="56257591"/>
    <w:rsid w:val="589809A5"/>
    <w:rsid w:val="70022386"/>
    <w:rsid w:val="76413484"/>
    <w:rsid w:val="7B3A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2019-12-29T14:02:57Z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