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宋体" w:hAnsi="宋体" w:eastAsia="宋体"/>
          <w:sz w:val="32"/>
          <w:szCs w:val="32"/>
        </w:rPr>
      </w:pPr>
      <w:r>
        <w:rPr>
          <w:rFonts w:hint="eastAsia" w:ascii="仿宋" w:hAnsi="仿宋" w:eastAsia="仿宋"/>
          <w:color w:val="000000"/>
          <w:sz w:val="32"/>
          <w:szCs w:val="32"/>
          <w:lang w:eastAsia="zh-CN"/>
        </w:rPr>
        <w:t>亲情及好意搭载发生交通事故应据事实减轻责任人的赔偿责任</w:t>
      </w:r>
    </w:p>
    <w:p>
      <w:pPr>
        <w:ind w:firstLine="880" w:firstLineChars="200"/>
        <w:rPr>
          <w:rFonts w:hint="eastAsia" w:ascii="宋体" w:hAnsi="宋体" w:eastAsia="黑体"/>
          <w:sz w:val="32"/>
          <w:szCs w:val="32"/>
          <w:lang w:val="en-US" w:eastAsia="zh-CN"/>
        </w:rPr>
      </w:pPr>
      <w:r>
        <w:rPr>
          <w:rFonts w:hint="eastAsia" w:ascii="宋体" w:hAnsi="宋体" w:eastAsia="宋体"/>
          <w:sz w:val="44"/>
          <w:szCs w:val="44"/>
          <w:lang w:val="en-US" w:eastAsia="zh-CN"/>
        </w:rPr>
        <w:t xml:space="preserve">         </w:t>
      </w:r>
      <w:r>
        <w:rPr>
          <w:rFonts w:hint="eastAsia" w:ascii="黑体" w:hAnsi="黑体" w:eastAsia="黑体" w:cs="黑体"/>
          <w:color w:val="000000"/>
          <w:sz w:val="28"/>
          <w:szCs w:val="28"/>
        </w:rPr>
        <w:t>余孝安</w:t>
      </w:r>
      <w:r>
        <w:rPr>
          <w:rFonts w:hint="eastAsia" w:ascii="黑体" w:hAnsi="黑体" w:eastAsia="黑体" w:cs="黑体"/>
          <w:color w:val="000000"/>
          <w:sz w:val="28"/>
          <w:szCs w:val="28"/>
          <w:lang w:val="en-US" w:eastAsia="zh-CN"/>
        </w:rPr>
        <w:t>/文</w:t>
      </w:r>
    </w:p>
    <w:p>
      <w:pPr>
        <w:spacing w:line="360" w:lineRule="auto"/>
        <w:ind w:firstLine="640" w:firstLineChars="200"/>
        <w:rPr>
          <w:rFonts w:hint="eastAsia" w:ascii="Times New Roman" w:hAnsi="Times New Roman" w:eastAsia="黑体" w:cs="Times New Roman"/>
          <w:sz w:val="28"/>
          <w:szCs w:val="28"/>
          <w:lang w:eastAsia="zh-CN"/>
        </w:rPr>
      </w:pPr>
      <w:r>
        <w:rPr>
          <w:rFonts w:hint="eastAsia" w:ascii="微软雅黑" w:hAnsi="微软雅黑" w:eastAsia="微软雅黑" w:cs="微软雅黑"/>
          <w:sz w:val="32"/>
          <w:szCs w:val="32"/>
          <w:lang w:val="en-US" w:eastAsia="zh-CN"/>
        </w:rPr>
        <w:t>[</w:t>
      </w:r>
      <w:r>
        <w:rPr>
          <w:rFonts w:hint="eastAsia" w:ascii="宋体" w:hAnsi="宋体" w:eastAsia="宋体"/>
          <w:sz w:val="32"/>
          <w:szCs w:val="32"/>
          <w:lang w:val="en-US" w:eastAsia="zh-CN"/>
        </w:rPr>
        <w:t>裁判要旨</w:t>
      </w:r>
      <w:r>
        <w:rPr>
          <w:rFonts w:hint="eastAsia" w:ascii="微软雅黑" w:hAnsi="微软雅黑" w:eastAsia="微软雅黑" w:cs="微软雅黑"/>
          <w:sz w:val="32"/>
          <w:szCs w:val="32"/>
          <w:lang w:val="en-US" w:eastAsia="zh-CN"/>
        </w:rPr>
        <w:t>]</w:t>
      </w:r>
      <w:r>
        <w:rPr>
          <w:rFonts w:hint="eastAsia" w:ascii="宋体" w:hAnsi="宋体" w:eastAsia="宋体"/>
          <w:sz w:val="32"/>
          <w:szCs w:val="32"/>
          <w:lang w:val="en-US" w:eastAsia="zh-CN"/>
        </w:rPr>
        <w:t>：</w:t>
      </w:r>
      <w:r>
        <w:rPr>
          <w:rFonts w:hint="eastAsia" w:ascii="Times New Roman" w:hAnsi="Times New Roman" w:eastAsia="黑体" w:cs="Times New Roman"/>
          <w:sz w:val="28"/>
          <w:szCs w:val="28"/>
          <w:lang w:eastAsia="zh-CN"/>
        </w:rPr>
        <w:t>搭载亲属朋友发生交通事故造成亲属朋友损害的可根据过错大小，原因力、自冒风险等事实减轻搭载人的赔偿责任。</w:t>
      </w:r>
    </w:p>
    <w:p>
      <w:pPr>
        <w:ind w:firstLine="2560" w:firstLineChars="800"/>
        <w:rPr>
          <w:rFonts w:hint="default" w:ascii="宋体" w:hAnsi="宋体" w:eastAsia="宋体"/>
          <w:sz w:val="32"/>
          <w:szCs w:val="32"/>
          <w:lang w:val="en-US" w:eastAsia="zh-CN"/>
        </w:rPr>
      </w:pPr>
      <w:r>
        <w:rPr>
          <w:rFonts w:hint="eastAsia" w:ascii="宋体" w:hAnsi="宋体" w:eastAsia="宋体"/>
          <w:sz w:val="32"/>
          <w:szCs w:val="32"/>
          <w:lang w:val="en-US" w:eastAsia="zh-CN"/>
        </w:rPr>
        <w:t xml:space="preserve"> </w:t>
      </w:r>
    </w:p>
    <w:p>
      <w:pPr>
        <w:ind w:firstLine="640" w:firstLineChars="200"/>
        <w:rPr>
          <w:rFonts w:hint="default" w:ascii="宋体" w:hAnsi="宋体" w:eastAsia="宋体"/>
          <w:sz w:val="32"/>
          <w:szCs w:val="32"/>
          <w:lang w:val="en-US" w:eastAsia="zh-CN"/>
        </w:rPr>
      </w:pPr>
    </w:p>
    <w:p>
      <w:pPr>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w:t>
      </w:r>
      <w:r>
        <w:rPr>
          <w:rFonts w:hint="eastAsia" w:ascii="宋体" w:hAnsi="宋体" w:eastAsia="宋体"/>
          <w:sz w:val="32"/>
          <w:szCs w:val="32"/>
          <w:lang w:val="en-US" w:eastAsia="zh-CN"/>
        </w:rPr>
        <w:t>案号</w:t>
      </w:r>
      <w:r>
        <w:rPr>
          <w:rFonts w:hint="default" w:ascii="Times New Roman" w:hAnsi="Times New Roman" w:eastAsia="黑体" w:cs="Times New Roman"/>
          <w:sz w:val="28"/>
          <w:szCs w:val="28"/>
        </w:rPr>
        <w:t>]</w:t>
      </w:r>
    </w:p>
    <w:p>
      <w:pPr>
        <w:snapToGrid w:val="0"/>
        <w:spacing w:line="560" w:lineRule="exact"/>
        <w:ind w:firstLine="560" w:firstLineChars="200"/>
        <w:rPr>
          <w:rFonts w:hint="default" w:ascii="宋体" w:hAnsi="宋体" w:eastAsia="宋体"/>
          <w:sz w:val="32"/>
          <w:szCs w:val="32"/>
          <w:lang w:val="en-US" w:eastAsia="zh-CN"/>
        </w:rPr>
      </w:pPr>
      <w:r>
        <w:rPr>
          <w:rFonts w:hint="eastAsia" w:ascii="黑体" w:hAnsi="黑体" w:eastAsia="黑体" w:cs="黑体"/>
          <w:sz w:val="28"/>
          <w:szCs w:val="28"/>
          <w:lang w:eastAsia="zh-CN"/>
        </w:rPr>
        <w:t>　</w:t>
      </w:r>
      <w:r>
        <w:rPr>
          <w:rFonts w:hint="eastAsia" w:ascii="宋体" w:hAnsi="宋体" w:eastAsia="宋体"/>
          <w:sz w:val="32"/>
          <w:szCs w:val="32"/>
          <w:lang w:val="en-US" w:eastAsia="zh-CN"/>
        </w:rPr>
        <w:t>一审：</w:t>
      </w:r>
      <w:r>
        <w:rPr>
          <w:rFonts w:hint="default" w:ascii="宋体" w:hAnsi="宋体" w:eastAsia="宋体"/>
          <w:sz w:val="32"/>
          <w:szCs w:val="32"/>
          <w:lang w:val="en-US" w:eastAsia="zh-CN"/>
        </w:rPr>
        <w:t>(2018)渝0230民初4485号</w:t>
      </w:r>
    </w:p>
    <w:p>
      <w:pPr>
        <w:snapToGrid w:val="0"/>
        <w:spacing w:line="560" w:lineRule="exact"/>
        <w:ind w:firstLine="640" w:firstLineChars="200"/>
        <w:rPr>
          <w:rFonts w:hint="eastAsia" w:ascii="宋体" w:hAnsi="宋体" w:eastAsia="宋体"/>
          <w:sz w:val="32"/>
          <w:szCs w:val="32"/>
          <w:lang w:val="en-US" w:eastAsia="zh-CN"/>
        </w:rPr>
      </w:pPr>
      <w:r>
        <w:rPr>
          <w:rFonts w:hint="eastAsia" w:ascii="微软雅黑" w:hAnsi="微软雅黑" w:eastAsia="微软雅黑" w:cs="微软雅黑"/>
          <w:sz w:val="32"/>
          <w:szCs w:val="32"/>
          <w:lang w:val="en-US" w:eastAsia="zh-CN"/>
        </w:rPr>
        <w:t>[案情]</w:t>
      </w:r>
    </w:p>
    <w:p>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陈清龙系陈明秀之父，金蕊系陈明秀之女。陈明秀与秦清平于2010年2月1日登记结婚（均系再婚）。2018年6月22日6时44分许，秦清平驾驶两轮电动车搭载其妻子陈明秀（去龙城华府看望其生病的父亲陈清龙）从丰都县党政大楼沿平都大道向丰都县龙河大桥方向行驶，当行驶至重庆市丰都县三合街道平都大道名山路口时，在停车制动过程中，因操作措施不当致使车辆侧翻到底，造成陈明秀经抢救无效于2018年6月24日17时许死亡的交通事故。2018年7月25日，经重庆市丰都县公安局交通巡逻警察大队委托，重庆市正港交通事故司法鉴定所对秦清平驾驶的无号牌电动两轮车进行了车辆安全技术性能检验鉴定，其结论为：被鉴定车辆无牌绿源电动两轮车（车架号19282171112747 电机号LYDM7B3000011 Y 1058BQ550 1058）的外观（后视镜）设置完整，该车的转向、传动、行驶、制动系统性能有效。2018年8月1日，经重庆市丰都县公安局交通巡逻警察大队事故认定，其意见为：秦清平在此次事故中为全部过错，负此次事故的全部责任；陈明秀在此次事故中无过错，不负此次事故责任。 陈清龙每月在丰都县社会保障局领取养老金2974.40元。陈明秀户口性质为农村户口，事发前一直在丰都县三合街道丁庄村1组居住生活。</w:t>
      </w:r>
    </w:p>
    <w:p>
      <w:pPr>
        <w:spacing w:line="360" w:lineRule="auto"/>
        <w:ind w:firstLine="560" w:firstLineChars="200"/>
        <w:rPr>
          <w:rFonts w:hint="eastAsia" w:ascii="Times New Roman" w:hAnsi="Times New Roman" w:eastAsia="黑体" w:cs="Times New Roman"/>
          <w:sz w:val="28"/>
          <w:szCs w:val="28"/>
          <w:lang w:eastAsia="zh-CN"/>
        </w:rPr>
      </w:pP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裁判</w:t>
      </w:r>
      <w:r>
        <w:rPr>
          <w:rFonts w:hint="default" w:ascii="Times New Roman" w:hAnsi="Times New Roman" w:eastAsia="黑体" w:cs="Times New Roman"/>
          <w:sz w:val="28"/>
          <w:szCs w:val="28"/>
        </w:rPr>
        <w:t>]</w:t>
      </w:r>
    </w:p>
    <w:p>
      <w:pPr>
        <w:snapToGrid w:val="0"/>
        <w:spacing w:line="560" w:lineRule="exact"/>
        <w:ind w:firstLine="640" w:firstLineChars="200"/>
        <w:rPr>
          <w:rFonts w:hint="eastAsia" w:ascii="仿宋" w:hAnsi="仿宋" w:eastAsia="仿宋"/>
          <w:color w:val="000000"/>
          <w:kern w:val="0"/>
          <w:sz w:val="32"/>
          <w:szCs w:val="32"/>
        </w:rPr>
      </w:pPr>
      <w:r>
        <w:rPr>
          <w:rFonts w:hint="eastAsia" w:ascii="仿宋" w:hAnsi="仿宋" w:eastAsia="仿宋"/>
          <w:color w:val="000000"/>
          <w:kern w:val="0"/>
          <w:sz w:val="32"/>
          <w:szCs w:val="32"/>
          <w:lang w:eastAsia="zh-CN"/>
        </w:rPr>
        <w:t>重庆市丰都县人民法院审理</w:t>
      </w:r>
      <w:r>
        <w:rPr>
          <w:rFonts w:hint="eastAsia" w:ascii="仿宋" w:hAnsi="仿宋" w:eastAsia="仿宋"/>
          <w:color w:val="000000"/>
          <w:kern w:val="0"/>
          <w:sz w:val="32"/>
          <w:szCs w:val="32"/>
        </w:rPr>
        <w:t>认为，公民、法人或者其他组织因过错侵害公民的生命权的，依法应当承担赔偿责任。本案中，秦清平驾驶两轮电动车发生交通事故致陈明秀死亡，应当赔偿陈明秀死亡后的各项损失。因秦清平为了家庭共同事务驾驶两轮电动车发生交通事故，陈明秀死亡的损失，本院酌定由秦清平与陈明秀各承担50%的责任。因陈明秀死亡后，因秦清平属于其权利人，且不属于</w:t>
      </w:r>
      <w:r>
        <w:rPr>
          <w:rFonts w:hint="eastAsia" w:ascii="仿宋" w:hAnsi="仿宋" w:eastAsia="仿宋"/>
          <w:color w:val="000000"/>
          <w:kern w:val="0"/>
          <w:sz w:val="32"/>
          <w:szCs w:val="32"/>
          <w:lang w:eastAsia="zh-CN"/>
        </w:rPr>
        <w:t>继承法</w:t>
      </w:r>
      <w:r>
        <w:rPr>
          <w:rFonts w:hint="eastAsia" w:ascii="仿宋" w:hAnsi="仿宋" w:eastAsia="仿宋"/>
          <w:color w:val="000000"/>
          <w:kern w:val="0"/>
          <w:sz w:val="32"/>
          <w:szCs w:val="32"/>
        </w:rPr>
        <w:t>第七条规定的丧失继承权的情形，故陈明秀死亡后的损失中应由秦清平赔偿的部分损失，本院酌定由秦清平赔偿陈清龙、金蕊2/3，其余的损失由陈清龙、金蕊自行承担。对秦清平已支出的丧葬费，应由陈清龙、金蕊和秦清平共同负担。</w:t>
      </w:r>
    </w:p>
    <w:p>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陈明秀死亡后的损失，可确认为：1、死亡赔偿金，252760元</w:t>
      </w:r>
      <w:r>
        <w:rPr>
          <w:rFonts w:hint="eastAsia" w:ascii="仿宋" w:hAnsi="仿宋" w:eastAsia="仿宋"/>
          <w:color w:val="000000"/>
          <w:sz w:val="32"/>
          <w:szCs w:val="32"/>
          <w:lang w:eastAsia="zh-CN"/>
        </w:rPr>
        <w:t>；</w:t>
      </w:r>
      <w:r>
        <w:rPr>
          <w:rFonts w:hint="eastAsia" w:ascii="仿宋" w:hAnsi="仿宋" w:eastAsia="仿宋"/>
          <w:color w:val="000000"/>
          <w:sz w:val="32"/>
          <w:szCs w:val="32"/>
        </w:rPr>
        <w:t>陈清龙每月有养老金2974.40元，故对其被扶养人生活费主张，本院不予支持；综上，死亡赔偿金，本院予以确认252760元；2、丧葬费，计算为35444.50元；3、精神损失抚慰金，本院酌定赔偿40000元。综上，陈明秀死亡后的损失，本院予以确认328204.50元。结合本案的实际情况，本院酌定由秦清平赔偿陈清龙、金蕊85771.83元。</w:t>
      </w:r>
      <w:r>
        <w:rPr>
          <w:rFonts w:hint="eastAsia" w:ascii="仿宋" w:hAnsi="仿宋" w:eastAsia="仿宋"/>
          <w:color w:val="000000"/>
          <w:sz w:val="32"/>
          <w:szCs w:val="32"/>
          <w:lang w:eastAsia="zh-CN"/>
        </w:rPr>
        <w:t>判决：</w:t>
      </w:r>
      <w:r>
        <w:rPr>
          <w:rFonts w:hint="eastAsia" w:ascii="仿宋" w:hAnsi="仿宋" w:eastAsia="仿宋"/>
          <w:color w:val="000000"/>
          <w:sz w:val="32"/>
          <w:szCs w:val="32"/>
        </w:rPr>
        <w:t>一、被告</w:t>
      </w:r>
      <w:r>
        <w:rPr>
          <w:rFonts w:hint="eastAsia" w:ascii="仿宋" w:hAnsi="仿宋" w:eastAsia="仿宋"/>
          <w:color w:val="000000"/>
          <w:kern w:val="0"/>
          <w:sz w:val="32"/>
          <w:szCs w:val="32"/>
        </w:rPr>
        <w:t>秦清平</w:t>
      </w:r>
      <w:r>
        <w:rPr>
          <w:rFonts w:hint="eastAsia" w:ascii="仿宋" w:hAnsi="仿宋" w:eastAsia="仿宋"/>
          <w:color w:val="000000"/>
          <w:sz w:val="32"/>
          <w:szCs w:val="32"/>
        </w:rPr>
        <w:t>在本判决发生法律效力后15日内赔偿原告陈清龙、金蕊因陈明秀死亡后的死亡赔偿金、精神损失抚慰金等损失计85771.83元（已扣除应由原告陈清龙、金蕊承担的丧葬费23629.67元）；二、驳回原告陈清龙、金蕊的其余诉讼请求。</w:t>
      </w:r>
    </w:p>
    <w:p>
      <w:pPr>
        <w:snapToGrid w:val="0"/>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一审判决后，原被告双方均服判息诉。</w:t>
      </w:r>
    </w:p>
    <w:p>
      <w:pPr>
        <w:spacing w:line="360" w:lineRule="auto"/>
        <w:ind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　　</w:t>
      </w:r>
    </w:p>
    <w:p>
      <w:pPr>
        <w:spacing w:line="360" w:lineRule="auto"/>
        <w:ind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　　</w:t>
      </w:r>
      <w:r>
        <w:rPr>
          <w:rFonts w:hint="default" w:ascii="Times New Roman" w:hAnsi="Times New Roman" w:eastAsia="黑体" w:cs="Times New Roman"/>
          <w:color w:val="000000"/>
          <w:sz w:val="28"/>
          <w:szCs w:val="28"/>
        </w:rPr>
        <w:t>[</w:t>
      </w:r>
      <w:r>
        <w:rPr>
          <w:rFonts w:hint="eastAsia" w:ascii="Times New Roman" w:hAnsi="Times New Roman" w:eastAsia="黑体" w:cs="Times New Roman"/>
          <w:color w:val="000000"/>
          <w:sz w:val="28"/>
          <w:szCs w:val="28"/>
          <w:lang w:eastAsia="zh-CN"/>
        </w:rPr>
        <w:t>评析</w:t>
      </w:r>
      <w:r>
        <w:rPr>
          <w:rFonts w:hint="default" w:ascii="Times New Roman" w:hAnsi="Times New Roman" w:eastAsia="黑体" w:cs="Times New Roman"/>
          <w:color w:val="000000"/>
          <w:sz w:val="28"/>
          <w:szCs w:val="28"/>
        </w:rPr>
        <w:t>]</w:t>
      </w:r>
    </w:p>
    <w:p>
      <w:pPr>
        <w:numPr>
          <w:ilvl w:val="0"/>
          <w:numId w:val="1"/>
        </w:numPr>
        <w:spacing w:line="360" w:lineRule="auto"/>
        <w:ind w:left="0" w:leftChars="0"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交通事故中相关行政机关的责任认定并不等同于人民法院裁判中的责任认定。在交通事故中，公安机关对于事故原因及机动车之间，机动车与非机动车及行人之间，非机动车与行人之间一般都进行了部分的原因分析和对行为人之间的责任大小进行了划分，对于责任划分不服的，可以申请上一级行政机关进行复核，这里的责任认定只是一个专业部门一种意见，相当于司法鉴定意见，法院对此是否采纳，可结合证据认定的事实，包括原因事实，当事人的过错程度进行判断，最终作出过错大小程度及责任比例的划分，这是法院对民事责任独立行使裁判权的具体体现。全国人民代表大会常务委员会法制工作委员会在法工办复字〔2005〕1号对《行政诉讼法》的法律解释是，作为处理交通事故案件的证据使用。之所以将公安机关的责任认定作为一种意见或者证据，更为深层次的原因在于，民事责任的划分，只有法院才有法律赋予的裁判权，不能分享，只能由法院独立行使，</w:t>
      </w:r>
    </w:p>
    <w:p>
      <w:pPr>
        <w:numPr>
          <w:ilvl w:val="0"/>
          <w:numId w:val="1"/>
        </w:numPr>
        <w:spacing w:line="360" w:lineRule="auto"/>
        <w:ind w:left="0" w:leftChars="0"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亲情搭乘好意搭乘造成损害的赔偿问题，不能机械适用法律，违背民法的精神实质。在现实的司法实践中，少部分法官在处理交通事故责任纠纷中，喜欢简单适用《道路交通安全法》第七十六条并套用公安机关的责任认定，简单对驾驶人、行人、非机动车的具体责任比例进行划分，减除交强险及商业险赔偿额度后，余额按照公安机关确定的过错责任进行划分，进行比例计算，这样的处理在一般的交通事故责任纠纷案件中，一般不存在大的问题，但是在复杂或者特殊的交通事故责任纠纷中产生的问题是，对划分责任缺乏科学公正的评价，没有将过错程度与原因力进行权重考量，及其他因素考量，因此，作出的判决缺乏公正合理性。任何一个侵权行为纳入过错赔偿或者违法赔偿的问题都不能简单通过一个因素考量来简单确定民事赔偿责任的大小问题，而应当衡量过错程度，违法程度，原因力大小，考量这些因素对损害结果的影响程度，才能确定侵权行为人的责任大小。对这个问题有学者及法官认为应当预先确定过错与原因力两个要素的一个固定的权重比例，然后分别确定进行加减法计算，笔者认为这样的做法过于机械，因为民事案件的具体情况十分复杂，有的案件根本没有办法进行原因力比较，有的案件过错程度也不好比较，只能从一个方面进行比较，因此不宜机械地固化一个比例来进行计算，只要综合平衡了两个要素，合理得出结果即可。与此同时，一些更为复杂的案件，我们还应当考量一些行为是否存在侵权阻却因素，来衡量行为是否真正存在过错或者违法。亲情搭载，好意同乘的交通事故责任纠纷中，属于复杂的案件，如果忽略“亲情搭载”，“好意搭载”这个有关因果关系的事实，法律阻却问题，简单下判，会导致裁判结果背离“诚实信用”，“互帮互助”，“助人为乐”，“见义勇为”等公序良俗，引发裁判结果与民法精神原则冲突。因此涉及亲情搭载，好意同乘的交通事故责任纠纷案件，法官必须重新审视道路交通安全法相关规则，回归民法的精神本质，从《侵权责任法》、《民法通则》、《民法总则》及相关的法律解释语境中寻找适用的法律，才能做出公正合理的判决。</w:t>
      </w:r>
    </w:p>
    <w:p>
      <w:pPr>
        <w:numPr>
          <w:ilvl w:val="0"/>
          <w:numId w:val="1"/>
        </w:numPr>
        <w:spacing w:line="360" w:lineRule="auto"/>
        <w:ind w:left="0" w:leftChars="0"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亲情搭载，好意同乘当事人之间的法律关系解读与法律适用。这里探讨的是保险赔偿外的损失赔偿或者补偿问题，前者法律规定很明确，这里不再研究。亲情搭载，好意同乘的当事人，不外乎有两个，一个是搭载人，一个是被搭载人。搭载人是驾驶人或所有人、管理人，被搭载人是乘客，从双方搭载的意思表示看，是被搭载人有搭载的意思表示，比如招手，语言表示等，被搭载人感激，同意而生产的双方合意行为。系无偿运输合同。从合同权利义务内容上看，就是搭载人将被搭载人运往某个地点，被搭载人不负担费用的合同，对于人身财产的安全保障义务，双方没有约定。因此从合同关系来看，搭载人如果出现事故造成被搭载人人身与财产损失，搭载人一般不负合同责任。可现实的问题是，一旦出现交通事故，被搭载人就不顾亲情及好意，以侵权关系为切入点，进行竞合选择，起诉搭载人赔偿损失。在审判实践中，高频进入法官视野的法律条款就是《道路交通事故安全法》第七十六条，这一条款经常误导法官进入一个认识误区，把特殊情形的交通事故当成一般的交通事故责任处理，适用机动车之间的过错责任归责原则，或适用机动车与非机动车、行人之间过错责任加有限的无过错归责原则，用以上归责原则对搭载人与被搭载人进行划责裁判。这种错误的根源是，没有认真研究该条款的真正含义，该条款是指驾驶人对第三人造成损害的赔偿问题，而对于本车上的乘客，并没有规定在该条中，解决这一问题的方法是回归到《侵权责任法》等寻找答案。《侵权责任法》规定了过错责任为首，无过错责任及公平责任为补充的归责原则框架，前一种一般情况下适用，后两种有法律特别规定才适用，显然亲情搭载适用过错责任归责原则。过错，是指对行为人主观心理状态的评价，分为故意与过失。</w:t>
      </w:r>
      <w:r>
        <w:rPr>
          <w:rStyle w:val="5"/>
          <w:rFonts w:hint="eastAsia" w:ascii="Times New Roman" w:hAnsi="Times New Roman" w:eastAsia="黑体" w:cs="Times New Roman"/>
          <w:color w:val="000000"/>
          <w:sz w:val="28"/>
          <w:szCs w:val="28"/>
          <w:lang w:eastAsia="zh-CN"/>
        </w:rPr>
        <w:footnoteReference w:id="0"/>
      </w:r>
      <w:r>
        <w:rPr>
          <w:rFonts w:hint="eastAsia" w:ascii="Times New Roman" w:hAnsi="Times New Roman" w:eastAsia="黑体" w:cs="Times New Roman"/>
          <w:color w:val="000000"/>
          <w:sz w:val="28"/>
          <w:szCs w:val="28"/>
          <w:lang w:eastAsia="zh-CN"/>
        </w:rPr>
        <w:t>过错的本质是补偿与预防，是法官在进行价值判断，各种利益的权衡。</w:t>
      </w:r>
      <w:r>
        <w:rPr>
          <w:rStyle w:val="5"/>
          <w:rFonts w:hint="eastAsia" w:ascii="Times New Roman" w:hAnsi="Times New Roman" w:eastAsia="黑体" w:cs="Times New Roman"/>
          <w:color w:val="000000"/>
          <w:sz w:val="28"/>
          <w:szCs w:val="28"/>
          <w:lang w:eastAsia="zh-CN"/>
        </w:rPr>
        <w:footnoteReference w:id="1"/>
      </w:r>
      <w:r>
        <w:rPr>
          <w:rFonts w:hint="eastAsia" w:ascii="Times New Roman" w:hAnsi="Times New Roman" w:eastAsia="黑体" w:cs="Times New Roman"/>
          <w:color w:val="000000"/>
          <w:sz w:val="28"/>
          <w:szCs w:val="28"/>
          <w:lang w:eastAsia="zh-CN"/>
        </w:rPr>
        <w:t>亲情搭载，好意搭乘一般不存在故意侵权的问题，因此这里对故意不作讨论，过失分为重大过失，一般过失，轻微过失，对于重大过失承担侵权赔偿责任，一般是没有异议的，可对于一般过失，轻微过失在特殊的情形下，法律规定不承担赔偿责任，如《侵权责任法》第二十七至三十一条、第五十五条规定的受害人故意，第三人侵权，正当防卫，紧急避险情形，同意的行为，《民法总则》第一百八十四条规定的紧急救助行为不承担赔偿责任，法律对于善意帮助，见义勇为，或者不可归责的行为，当事人同意的行为，法律予以唱导鼓励，以一般过失不承担赔偿方式或者减轻责任来肯定这种合法行为，阻却行为的违法性及免除，减轻民事责任。亲情搭载，好意搭乘，属于无偿帮助的善举，因此一般过失情况下，是不承担或者减轻民事赔偿责任的。在侵权人存在重大过失的情况下，也应综合考量行为人的过错适当减轻搭载人的民事赔偿责任进行裁判，这样的裁判结果才具有公正性。</w:t>
      </w:r>
    </w:p>
    <w:p>
      <w:pPr>
        <w:numPr>
          <w:ilvl w:val="0"/>
          <w:numId w:val="1"/>
        </w:numPr>
        <w:spacing w:line="360" w:lineRule="auto"/>
        <w:ind w:left="0" w:leftChars="0"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亲情搭载，好意搭乘从一定意义上来说有自冒风险的属性。所谓自冒风险</w:t>
      </w:r>
      <w:r>
        <w:rPr>
          <w:rFonts w:hint="eastAsia" w:ascii="Times New Roman" w:hAnsi="Times New Roman" w:eastAsia="黑体" w:cs="Times New Roman"/>
          <w:color w:val="000000"/>
          <w:sz w:val="28"/>
          <w:szCs w:val="28"/>
          <w:lang w:val="en-US" w:eastAsia="zh-CN"/>
        </w:rPr>
        <w:t>是指“被害人原可以预见损害之发生而又自愿冒损害发生之危险，而损害结果真不幸发生”</w:t>
      </w:r>
      <w:r>
        <w:rPr>
          <w:rStyle w:val="5"/>
          <w:rFonts w:hint="eastAsia" w:ascii="Times New Roman" w:hAnsi="Times New Roman" w:eastAsia="黑体" w:cs="Times New Roman"/>
          <w:color w:val="000000"/>
          <w:sz w:val="28"/>
          <w:szCs w:val="28"/>
          <w:lang w:val="en-US" w:eastAsia="zh-CN"/>
        </w:rPr>
        <w:footnoteReference w:id="2"/>
      </w:r>
      <w:r>
        <w:rPr>
          <w:rFonts w:hint="eastAsia" w:ascii="Times New Roman" w:hAnsi="Times New Roman" w:eastAsia="黑体" w:cs="Times New Roman"/>
          <w:color w:val="000000"/>
          <w:sz w:val="28"/>
          <w:szCs w:val="28"/>
          <w:lang w:val="en-US" w:eastAsia="zh-CN"/>
        </w:rPr>
        <w:t>的情形。在现代民法上，</w:t>
      </w:r>
      <w:r>
        <w:rPr>
          <w:rFonts w:hint="eastAsia" w:ascii="Times New Roman" w:hAnsi="Times New Roman" w:eastAsia="黑体" w:cs="Times New Roman"/>
          <w:color w:val="000000"/>
          <w:sz w:val="28"/>
          <w:szCs w:val="28"/>
          <w:lang w:eastAsia="zh-CN"/>
        </w:rPr>
        <w:t>自冒风险作为一项抗辩事由，通常也会产生减轻或者免除加害人赔偿责任的后果。自冒风险依学者解释，一般来说有两个构成要件，一个为行为人与相对人存在某种基础法律关系，一个为冒险行为，前者是前提条件。之所以称自冒风险行为，是因为这种行为，存在不确定的危险，对于行为可能造成的损害后果行为人与相对人有预见，并默示同意对可能发生不利益的自愿承担。亲情搭载，好意搭乘具有这样的属性，因为搭载人与被搭载人，知道高速运载工具存在可能风险，并对这种风险的可能发生自愿承担可能的损害，虽然双方没有明确提出，但在心里上是默示同意的。</w:t>
      </w:r>
    </w:p>
    <w:p>
      <w:pPr>
        <w:numPr>
          <w:ilvl w:val="0"/>
          <w:numId w:val="1"/>
        </w:numPr>
        <w:spacing w:line="360" w:lineRule="auto"/>
        <w:ind w:left="0" w:leftChars="0"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亲情搭载，好意搭乘从一定意义上来说也可以归入无因管理法律关系。无因管理，是指没有法律规定或者约定的义务而为他人管理事务，民法之所以规定无因管理，是基于社会生活的连带关系，为鼓励互帮互助、见义勇为的崇高精神与道德，特规定无因管理制度，赋予无因管理行为的合法性阻却其违法性。</w:t>
      </w:r>
      <w:r>
        <w:rPr>
          <w:rStyle w:val="5"/>
          <w:rFonts w:hint="eastAsia" w:ascii="Times New Roman" w:hAnsi="Times New Roman" w:eastAsia="黑体" w:cs="Times New Roman"/>
          <w:color w:val="000000"/>
          <w:sz w:val="28"/>
          <w:szCs w:val="28"/>
          <w:lang w:eastAsia="zh-CN"/>
        </w:rPr>
        <w:footnoteReference w:id="3"/>
      </w:r>
      <w:r>
        <w:rPr>
          <w:rFonts w:hint="eastAsia" w:ascii="Times New Roman" w:hAnsi="Times New Roman" w:eastAsia="黑体" w:cs="Times New Roman"/>
          <w:color w:val="000000"/>
          <w:sz w:val="28"/>
          <w:szCs w:val="28"/>
          <w:lang w:eastAsia="zh-CN"/>
        </w:rPr>
        <w:t>根据我国民法通则第九十三条规定判断无因管理是否成立，有三个要件，管理他人事务；有为他人利益的意思；无法律上的原因。对于管理人的赔偿责任我国民法没有明确的规定，但通说认为，管理人未履行或不适当履行义务，对本人造成损害的，应向本人承担不履行债务的责任，该责任以主观上有过错为要件。亲情搭载，好意搭乘很多情况下，搭载人都没有法律上规定的搭载被搭载人义务，系帮助他人的事实行为，但搭载人是为被搭载人的利益进行的服务，因此双方之间构成无因管理的法律关系。</w:t>
      </w:r>
    </w:p>
    <w:p>
      <w:pPr>
        <w:numPr>
          <w:ilvl w:val="0"/>
          <w:numId w:val="1"/>
        </w:numPr>
        <w:spacing w:line="360" w:lineRule="auto"/>
        <w:ind w:left="0" w:leftChars="0" w:firstLine="560" w:firstLineChars="200"/>
        <w:rPr>
          <w:rFonts w:hint="eastAsia" w:ascii="Times New Roman" w:hAnsi="Times New Roman" w:eastAsia="黑体" w:cs="Times New Roman"/>
          <w:color w:val="000000"/>
          <w:sz w:val="28"/>
          <w:szCs w:val="28"/>
          <w:lang w:eastAsia="zh-CN"/>
        </w:rPr>
      </w:pPr>
      <w:r>
        <w:rPr>
          <w:rFonts w:hint="eastAsia" w:ascii="黑体" w:hAnsi="黑体" w:eastAsia="黑体" w:cs="黑体"/>
          <w:color w:val="000000"/>
          <w:sz w:val="28"/>
          <w:szCs w:val="28"/>
          <w:lang w:eastAsia="zh-CN"/>
        </w:rPr>
        <w:t>　</w:t>
      </w:r>
      <w:r>
        <w:rPr>
          <w:rFonts w:hint="eastAsia" w:ascii="Times New Roman" w:hAnsi="Times New Roman" w:eastAsia="黑体" w:cs="Times New Roman"/>
          <w:color w:val="000000"/>
          <w:sz w:val="28"/>
          <w:szCs w:val="28"/>
          <w:lang w:eastAsia="zh-CN"/>
        </w:rPr>
        <w:t>切入本案的分析。搭载人与被搭载人系夫妻关系，被搭载人为了探视自己的父亲，商议由搭载人驾驶两人共有的电动车前往，从风险预估上看，高速的运输工具存在事故风险，且这种运输工具的驾驶人一般都没有取得驾驶证，事故发生概率比较高，风险比较大，两人心知肚明，但仍然自冒风险，按自冒风险的责任自担原则应减轻搭载人或免除搭载人责任。从过错的主观心理上看，双方搭乘这样的的车辆都存在一定的过错，按过失相抵规则也应当减轻搭载人的责任。从原被告之间的关系来说构成无因管理关系，因原被告之间无法律上的赡养、扶养义务，被告是为原告进行服务，原告受有利益，因此构成无因管理关系，从无因管理上考量，可酌情适当减轻被告的赔偿责任，考虑以上因素才能协调亲情伦理柔情与法律上过错责任刚性赔偿之间的冲突。</w:t>
      </w:r>
    </w:p>
    <w:p>
      <w:pPr>
        <w:numPr>
          <w:ilvl w:val="0"/>
          <w:numId w:val="0"/>
        </w:numPr>
        <w:spacing w:line="360" w:lineRule="auto"/>
        <w:ind w:firstLine="560" w:firstLineChars="200"/>
        <w:rPr>
          <w:rFonts w:hint="default"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eastAsia="zh-CN"/>
        </w:rPr>
        <w:t>本案裁判</w:t>
      </w:r>
      <w:r>
        <w:rPr>
          <w:rFonts w:hint="eastAsia" w:ascii="Times New Roman" w:hAnsi="Times New Roman" w:eastAsia="黑体" w:cs="Times New Roman"/>
          <w:color w:val="000000"/>
          <w:sz w:val="28"/>
          <w:szCs w:val="28"/>
          <w:lang w:val="en-US" w:eastAsia="zh-CN"/>
        </w:rPr>
        <w:t>综合考量了过错责任因素，自冒风险因素，无因管理因素，后考虑被告的特殊地位，对于受害人而言，因其死亡，其配偶、父母、子女均系赔偿请求权人，由于本案加害人系受害人的配偶，因此处于赔偿义务人及权利人的混同地位，从赔偿请求权视角看，与本案的原告——受害人的父亲、女儿一样享有赔偿请求权，但从赔偿义务人看请求权又指向了自己，对于赔偿总额中，属于自己应分得的部分，应当扣减，扣减部分的余额才属于本案原告真正应当请求赔偿的部分，本案在裁判时考虑了这些因素。</w:t>
      </w:r>
      <w:r>
        <w:rPr>
          <w:rFonts w:hint="eastAsia" w:ascii="Times New Roman" w:hAnsi="Times New Roman" w:eastAsia="黑体" w:cs="Times New Roman"/>
          <w:color w:val="000000"/>
          <w:sz w:val="28"/>
          <w:szCs w:val="28"/>
          <w:lang w:eastAsia="zh-CN"/>
        </w:rPr>
        <w:t>综上所述，本案裁判结果</w:t>
      </w:r>
      <w:r>
        <w:rPr>
          <w:rFonts w:hint="eastAsia" w:ascii="Times New Roman" w:hAnsi="Times New Roman" w:eastAsia="黑体" w:cs="Times New Roman"/>
          <w:color w:val="000000"/>
          <w:sz w:val="28"/>
          <w:szCs w:val="28"/>
          <w:lang w:val="en-US" w:eastAsia="zh-CN"/>
        </w:rPr>
        <w:t>具有合情适理合法性。（作者单位：重庆市丰都县人民法院，联系电话13372770237</w:t>
      </w:r>
      <w:bookmarkStart w:id="0" w:name="_GoBack"/>
      <w:bookmarkEnd w:id="0"/>
      <w:r>
        <w:rPr>
          <w:rFonts w:hint="eastAsia" w:ascii="Times New Roman" w:hAnsi="Times New Roman" w:eastAsia="黑体" w:cs="Times New Roman"/>
          <w:color w:val="000000"/>
          <w:sz w:val="28"/>
          <w:szCs w:val="28"/>
          <w:lang w:val="en-US" w:eastAsia="zh-CN"/>
        </w:rPr>
        <w:t>）</w:t>
      </w:r>
    </w:p>
    <w:p>
      <w:pPr>
        <w:numPr>
          <w:ilvl w:val="0"/>
          <w:numId w:val="0"/>
        </w:numPr>
        <w:spacing w:line="360" w:lineRule="auto"/>
        <w:ind w:leftChars="200"/>
        <w:rPr>
          <w:rFonts w:hint="eastAsia" w:ascii="黑体" w:hAnsi="黑体" w:eastAsia="黑体" w:cs="黑体"/>
          <w:color w:val="000000"/>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rPr>
          <w:rFonts w:hint="default" w:eastAsiaTheme="minorEastAsia"/>
          <w:lang w:val="en-US" w:eastAsia="zh-CN"/>
        </w:rPr>
      </w:pPr>
      <w:r>
        <w:rPr>
          <w:rStyle w:val="5"/>
        </w:rPr>
        <w:footnoteRef/>
      </w:r>
      <w:r>
        <w:t xml:space="preserve"> </w:t>
      </w:r>
      <w:r>
        <w:rPr>
          <w:rFonts w:hint="eastAsia"/>
          <w:lang w:eastAsia="zh-CN"/>
        </w:rPr>
        <w:t>程啸著《侵权责任法》，法律出版社</w:t>
      </w:r>
      <w:r>
        <w:rPr>
          <w:rFonts w:hint="eastAsia"/>
          <w:lang w:val="en-US" w:eastAsia="zh-CN"/>
        </w:rPr>
        <w:t>2015年9月第2版，第263页。</w:t>
      </w:r>
    </w:p>
  </w:footnote>
  <w:footnote w:id="1">
    <w:p>
      <w:pPr>
        <w:pStyle w:val="2"/>
        <w:snapToGrid w:val="0"/>
        <w:rPr>
          <w:rFonts w:hint="eastAsia" w:eastAsiaTheme="minorEastAsia"/>
          <w:lang w:eastAsia="zh-CN"/>
        </w:rPr>
      </w:pPr>
      <w:r>
        <w:rPr>
          <w:rStyle w:val="5"/>
        </w:rPr>
        <w:footnoteRef/>
      </w:r>
      <w:r>
        <w:t xml:space="preserve"> </w:t>
      </w:r>
      <w:r>
        <w:rPr>
          <w:rFonts w:hint="eastAsia"/>
          <w:lang w:eastAsia="zh-CN"/>
        </w:rPr>
        <w:t>同上注。</w:t>
      </w:r>
    </w:p>
  </w:footnote>
  <w:footnote w:id="2">
    <w:p>
      <w:pPr>
        <w:pStyle w:val="2"/>
        <w:snapToGrid w:val="0"/>
        <w:rPr>
          <w:rFonts w:hint="default" w:eastAsiaTheme="minorEastAsia"/>
          <w:lang w:val="en-US" w:eastAsia="zh-CN"/>
        </w:rPr>
      </w:pPr>
      <w:r>
        <w:rPr>
          <w:rStyle w:val="5"/>
        </w:rPr>
        <w:footnoteRef/>
      </w:r>
      <w:r>
        <w:t xml:space="preserve"> </w:t>
      </w:r>
      <w:r>
        <w:rPr>
          <w:rFonts w:hint="eastAsia"/>
          <w:lang w:eastAsia="zh-CN"/>
        </w:rPr>
        <w:t>张新宝：《侵权责任构成要件研究》，法律出版社</w:t>
      </w:r>
      <w:r>
        <w:rPr>
          <w:rFonts w:hint="eastAsia"/>
          <w:lang w:val="en-US" w:eastAsia="zh-CN"/>
        </w:rPr>
        <w:t>2007年版，第479页。</w:t>
      </w:r>
    </w:p>
  </w:footnote>
  <w:footnote w:id="3">
    <w:p>
      <w:pPr>
        <w:pStyle w:val="2"/>
        <w:snapToGrid w:val="0"/>
        <w:rPr>
          <w:rFonts w:hint="default" w:eastAsiaTheme="minorEastAsia"/>
          <w:lang w:val="en-US" w:eastAsia="zh-CN"/>
        </w:rPr>
      </w:pPr>
      <w:r>
        <w:rPr>
          <w:rStyle w:val="5"/>
        </w:rPr>
        <w:footnoteRef/>
      </w:r>
      <w:r>
        <w:t xml:space="preserve"> </w:t>
      </w:r>
      <w:r>
        <w:rPr>
          <w:rFonts w:hint="eastAsia"/>
          <w:lang w:eastAsia="zh-CN"/>
        </w:rPr>
        <w:t>参见国家司法考试委员会编著《国家司法考试用书》</w:t>
      </w:r>
      <w:r>
        <w:rPr>
          <w:rFonts w:hint="eastAsia"/>
          <w:lang w:val="en-US" w:eastAsia="zh-CN"/>
        </w:rPr>
        <w:t>2007年第3卷第225-226页，法律出版社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F3E4DA"/>
    <w:multiLevelType w:val="singleLevel"/>
    <w:tmpl w:val="ABF3E4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15D11"/>
    <w:rsid w:val="00917C3F"/>
    <w:rsid w:val="017603E4"/>
    <w:rsid w:val="021A4FBD"/>
    <w:rsid w:val="02F24911"/>
    <w:rsid w:val="056D7E53"/>
    <w:rsid w:val="06D705AF"/>
    <w:rsid w:val="07682EB0"/>
    <w:rsid w:val="07E17A56"/>
    <w:rsid w:val="09317F3F"/>
    <w:rsid w:val="0A2B64C3"/>
    <w:rsid w:val="0BAD46CD"/>
    <w:rsid w:val="0E5A6553"/>
    <w:rsid w:val="0E895D9F"/>
    <w:rsid w:val="108A269C"/>
    <w:rsid w:val="1172686E"/>
    <w:rsid w:val="142A772F"/>
    <w:rsid w:val="161F08E5"/>
    <w:rsid w:val="1B8454AF"/>
    <w:rsid w:val="1CDD24EB"/>
    <w:rsid w:val="1D7A6409"/>
    <w:rsid w:val="1DA95F8D"/>
    <w:rsid w:val="1E5B3BEF"/>
    <w:rsid w:val="20585DD5"/>
    <w:rsid w:val="244F50C0"/>
    <w:rsid w:val="26BE7698"/>
    <w:rsid w:val="26D31647"/>
    <w:rsid w:val="274839B1"/>
    <w:rsid w:val="27D028FD"/>
    <w:rsid w:val="28300625"/>
    <w:rsid w:val="2C651834"/>
    <w:rsid w:val="2CBC20D3"/>
    <w:rsid w:val="2D4B716F"/>
    <w:rsid w:val="2E1A4A01"/>
    <w:rsid w:val="305369AD"/>
    <w:rsid w:val="33CC5763"/>
    <w:rsid w:val="33DB5CBA"/>
    <w:rsid w:val="3455472A"/>
    <w:rsid w:val="34DB3176"/>
    <w:rsid w:val="38BD38A3"/>
    <w:rsid w:val="3B282A37"/>
    <w:rsid w:val="3B415D11"/>
    <w:rsid w:val="3CC0615B"/>
    <w:rsid w:val="43FF48D2"/>
    <w:rsid w:val="445F36E9"/>
    <w:rsid w:val="44A91062"/>
    <w:rsid w:val="467950AE"/>
    <w:rsid w:val="48F91650"/>
    <w:rsid w:val="4930112D"/>
    <w:rsid w:val="493A1E7D"/>
    <w:rsid w:val="4A044030"/>
    <w:rsid w:val="4A0978E6"/>
    <w:rsid w:val="4B292F94"/>
    <w:rsid w:val="4CF15512"/>
    <w:rsid w:val="526700E3"/>
    <w:rsid w:val="52E8286B"/>
    <w:rsid w:val="545C3A6C"/>
    <w:rsid w:val="57577121"/>
    <w:rsid w:val="57953AE5"/>
    <w:rsid w:val="58041692"/>
    <w:rsid w:val="59CF4DFC"/>
    <w:rsid w:val="5BC3677A"/>
    <w:rsid w:val="5BE1533A"/>
    <w:rsid w:val="5C684DC7"/>
    <w:rsid w:val="5D9973DF"/>
    <w:rsid w:val="5E7D11A0"/>
    <w:rsid w:val="6317211A"/>
    <w:rsid w:val="6695632B"/>
    <w:rsid w:val="683D6FC6"/>
    <w:rsid w:val="6B195E7E"/>
    <w:rsid w:val="6C1B1BDC"/>
    <w:rsid w:val="6D2337B9"/>
    <w:rsid w:val="6E4115A0"/>
    <w:rsid w:val="6F032C7D"/>
    <w:rsid w:val="6F037D61"/>
    <w:rsid w:val="6F774498"/>
    <w:rsid w:val="71A538EA"/>
    <w:rsid w:val="72671DC9"/>
    <w:rsid w:val="73522FCD"/>
    <w:rsid w:val="76FA4520"/>
    <w:rsid w:val="78E67594"/>
    <w:rsid w:val="7F2E6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otnote reference"/>
    <w:basedOn w:val="4"/>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159</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2019-04-22T12:55:00Z</dcterms:created>
  <dc:creator>Administrator</dc:creator>
  <cp:lastModifiedBy>余孝安</cp:lastModifiedBy>
  <dcterms:modified xsi:type="dcterms:W3CDTF">2019-05-22T08:01:22Z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