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DD" w:rsidRPr="002B2CFB" w:rsidRDefault="00385DDD" w:rsidP="00385DDD">
      <w:pPr>
        <w:spacing w:line="600" w:lineRule="exact"/>
        <w:rPr>
          <w:rFonts w:eastAsia="方正黑体_GBK"/>
          <w:snapToGrid w:val="0"/>
          <w:kern w:val="0"/>
          <w:sz w:val="28"/>
          <w:szCs w:val="28"/>
        </w:rPr>
      </w:pPr>
      <w:r w:rsidRPr="002B2CFB">
        <w:rPr>
          <w:rFonts w:eastAsia="方正黑体_GBK" w:hint="eastAsia"/>
          <w:snapToGrid w:val="0"/>
          <w:kern w:val="0"/>
          <w:sz w:val="28"/>
          <w:szCs w:val="28"/>
        </w:rPr>
        <w:t>内部</w:t>
      </w:r>
      <w:r>
        <w:rPr>
          <w:rFonts w:eastAsia="方正黑体_GBK" w:hint="eastAsia"/>
          <w:snapToGrid w:val="0"/>
          <w:kern w:val="0"/>
          <w:sz w:val="28"/>
          <w:szCs w:val="28"/>
        </w:rPr>
        <w:t>资料</w:t>
      </w:r>
    </w:p>
    <w:p w:rsidR="00385DDD" w:rsidRPr="002B2CFB" w:rsidRDefault="00385DDD" w:rsidP="00385DDD">
      <w:pPr>
        <w:spacing w:line="600" w:lineRule="exact"/>
        <w:rPr>
          <w:rFonts w:eastAsia="方正黑体_GBK"/>
          <w:snapToGrid w:val="0"/>
          <w:kern w:val="0"/>
          <w:sz w:val="28"/>
          <w:szCs w:val="28"/>
        </w:rPr>
      </w:pPr>
      <w:r w:rsidRPr="002B2CFB">
        <w:rPr>
          <w:rFonts w:eastAsia="方正黑体_GBK" w:hint="eastAsia"/>
          <w:snapToGrid w:val="0"/>
          <w:kern w:val="0"/>
          <w:sz w:val="28"/>
          <w:szCs w:val="28"/>
        </w:rPr>
        <w:t>请勿外传</w:t>
      </w:r>
      <w:r w:rsidR="00FB63E2" w:rsidRPr="00FB63E2">
        <w:rPr>
          <w:rFonts w:eastAsia="方正小标宋_GBK"/>
          <w:snapToGrid w:val="0"/>
          <w:kern w:val="0"/>
          <w:sz w:val="28"/>
          <w:szCs w:val="28"/>
        </w:rPr>
        <w:pict>
          <v:group id="_x0000_s1027" editas="canvas" alt="$$useforoa$$&#10;请千万注意:不要修改这里!!!" style="position:absolute;left:0;text-align:left;margin-left:-5.85pt;margin-top:246.9pt;width:468.35pt;height:3.6pt;z-index:251661312;mso-wrap-distance-left:9.05pt;mso-wrap-distance-right:9.05pt;mso-position-horizontal-relative:text;mso-position-vertical-relative:text" coordorigin="2859,3408" coordsize="710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859;top:3408;width:7109;height:46" o:preferrelative="f" filled="t">
              <v:fill opacity="0" o:detectmouseclick="t"/>
              <v:path o:extrusionok="t" o:connecttype="none"/>
              <o:lock v:ext="edit" aspectratio="f" text="t"/>
            </v:shape>
            <w10:anchorlock/>
          </v:group>
        </w:pict>
      </w:r>
    </w:p>
    <w:p w:rsidR="00385DDD" w:rsidRPr="00460B57" w:rsidRDefault="00385DDD" w:rsidP="00385DDD">
      <w:pPr>
        <w:spacing w:line="600" w:lineRule="exact"/>
        <w:rPr>
          <w:rFonts w:eastAsia="方正小标宋_GBK"/>
          <w:b/>
          <w:snapToGrid w:val="0"/>
          <w:kern w:val="0"/>
          <w:sz w:val="44"/>
          <w:szCs w:val="44"/>
        </w:rPr>
      </w:pPr>
    </w:p>
    <w:p w:rsidR="00385DDD" w:rsidRPr="002B2CFB" w:rsidRDefault="00385DDD" w:rsidP="00385DDD">
      <w:pPr>
        <w:spacing w:line="600" w:lineRule="exact"/>
        <w:jc w:val="center"/>
        <w:rPr>
          <w:rFonts w:eastAsia="方正小标宋_GBK"/>
          <w:b/>
          <w:snapToGrid w:val="0"/>
          <w:kern w:val="0"/>
          <w:sz w:val="52"/>
          <w:szCs w:val="52"/>
        </w:rPr>
      </w:pPr>
      <w:r w:rsidRPr="002B2CFB">
        <w:rPr>
          <w:rFonts w:eastAsia="方正小标宋_GBK" w:hint="eastAsia"/>
          <w:b/>
          <w:snapToGrid w:val="0"/>
          <w:kern w:val="0"/>
          <w:sz w:val="52"/>
          <w:szCs w:val="52"/>
        </w:rPr>
        <w:t>情</w:t>
      </w:r>
      <w:r w:rsidRPr="002B2CFB">
        <w:rPr>
          <w:rFonts w:eastAsia="方正小标宋_GBK" w:hint="eastAsia"/>
          <w:b/>
          <w:snapToGrid w:val="0"/>
          <w:kern w:val="0"/>
          <w:sz w:val="52"/>
          <w:szCs w:val="52"/>
        </w:rPr>
        <w:t xml:space="preserve"> </w:t>
      </w:r>
      <w:r w:rsidRPr="002B2CFB">
        <w:rPr>
          <w:rFonts w:eastAsia="方正小标宋_GBK" w:hint="eastAsia"/>
          <w:b/>
          <w:snapToGrid w:val="0"/>
          <w:kern w:val="0"/>
          <w:sz w:val="52"/>
          <w:szCs w:val="52"/>
        </w:rPr>
        <w:t>况</w:t>
      </w:r>
      <w:r w:rsidRPr="002B2CFB">
        <w:rPr>
          <w:rFonts w:eastAsia="方正小标宋_GBK" w:hint="eastAsia"/>
          <w:b/>
          <w:snapToGrid w:val="0"/>
          <w:kern w:val="0"/>
          <w:sz w:val="52"/>
          <w:szCs w:val="52"/>
        </w:rPr>
        <w:t xml:space="preserve"> </w:t>
      </w:r>
      <w:r w:rsidRPr="002B2CFB">
        <w:rPr>
          <w:rFonts w:eastAsia="方正小标宋_GBK" w:hint="eastAsia"/>
          <w:b/>
          <w:snapToGrid w:val="0"/>
          <w:kern w:val="0"/>
          <w:sz w:val="52"/>
          <w:szCs w:val="52"/>
        </w:rPr>
        <w:t>通</w:t>
      </w:r>
      <w:r w:rsidRPr="002B2CFB">
        <w:rPr>
          <w:rFonts w:eastAsia="方正小标宋_GBK" w:hint="eastAsia"/>
          <w:b/>
          <w:snapToGrid w:val="0"/>
          <w:kern w:val="0"/>
          <w:sz w:val="52"/>
          <w:szCs w:val="52"/>
        </w:rPr>
        <w:t xml:space="preserve"> </w:t>
      </w:r>
      <w:r w:rsidRPr="002B2CFB">
        <w:rPr>
          <w:rFonts w:eastAsia="方正小标宋_GBK" w:hint="eastAsia"/>
          <w:b/>
          <w:snapToGrid w:val="0"/>
          <w:kern w:val="0"/>
          <w:sz w:val="52"/>
          <w:szCs w:val="52"/>
        </w:rPr>
        <w:t>报</w:t>
      </w:r>
    </w:p>
    <w:p w:rsidR="00385DDD" w:rsidRPr="00460B57" w:rsidRDefault="00385DDD" w:rsidP="00385DDD">
      <w:pPr>
        <w:spacing w:line="600" w:lineRule="exact"/>
        <w:rPr>
          <w:rFonts w:eastAsia="方正小标宋_GBK"/>
          <w:b/>
          <w:snapToGrid w:val="0"/>
          <w:kern w:val="0"/>
          <w:sz w:val="44"/>
          <w:szCs w:val="44"/>
        </w:rPr>
      </w:pPr>
    </w:p>
    <w:p w:rsidR="00385DDD" w:rsidRPr="00460B57" w:rsidRDefault="00385DDD" w:rsidP="00385DDD">
      <w:pPr>
        <w:spacing w:line="600" w:lineRule="exact"/>
        <w:rPr>
          <w:rFonts w:eastAsia="方正小标宋_GBK"/>
          <w:b/>
          <w:snapToGrid w:val="0"/>
          <w:kern w:val="0"/>
          <w:sz w:val="44"/>
          <w:szCs w:val="44"/>
        </w:rPr>
      </w:pPr>
    </w:p>
    <w:p w:rsidR="00385DDD" w:rsidRPr="00460B57" w:rsidRDefault="00385DDD" w:rsidP="00385DDD">
      <w:pPr>
        <w:spacing w:line="600" w:lineRule="exact"/>
        <w:jc w:val="center"/>
        <w:rPr>
          <w:rFonts w:eastAsia="方正楷体_GBK"/>
          <w:snapToGrid w:val="0"/>
          <w:kern w:val="0"/>
          <w:sz w:val="32"/>
          <w:szCs w:val="32"/>
        </w:rPr>
      </w:pPr>
      <w:r w:rsidRPr="00460B57">
        <w:rPr>
          <w:rFonts w:eastAsia="方正楷体_GBK" w:hint="eastAsia"/>
          <w:snapToGrid w:val="0"/>
          <w:kern w:val="0"/>
          <w:sz w:val="32"/>
          <w:szCs w:val="32"/>
        </w:rPr>
        <w:t>（</w:t>
      </w:r>
      <w:r w:rsidRPr="00460B57">
        <w:rPr>
          <w:rFonts w:eastAsia="方正楷体_GBK"/>
          <w:snapToGrid w:val="0"/>
          <w:kern w:val="0"/>
          <w:sz w:val="32"/>
          <w:szCs w:val="32"/>
        </w:rPr>
        <w:t>第</w:t>
      </w:r>
      <w:r>
        <w:rPr>
          <w:rFonts w:eastAsia="方正楷体_GBK" w:hint="eastAsia"/>
          <w:snapToGrid w:val="0"/>
          <w:kern w:val="0"/>
          <w:sz w:val="32"/>
          <w:szCs w:val="32"/>
        </w:rPr>
        <w:t>7</w:t>
      </w:r>
      <w:r w:rsidRPr="00460B57">
        <w:rPr>
          <w:rFonts w:eastAsia="方正楷体_GBK"/>
          <w:snapToGrid w:val="0"/>
          <w:kern w:val="0"/>
          <w:sz w:val="32"/>
          <w:szCs w:val="32"/>
        </w:rPr>
        <w:t>期</w:t>
      </w:r>
      <w:r w:rsidRPr="00460B57">
        <w:rPr>
          <w:rFonts w:eastAsia="方正楷体_GBK" w:hint="eastAsia"/>
          <w:snapToGrid w:val="0"/>
          <w:kern w:val="0"/>
          <w:sz w:val="32"/>
          <w:szCs w:val="32"/>
        </w:rPr>
        <w:t>）</w:t>
      </w:r>
    </w:p>
    <w:p w:rsidR="00385DDD" w:rsidRPr="00460B57" w:rsidRDefault="00385DDD" w:rsidP="00385DDD">
      <w:pPr>
        <w:spacing w:line="600" w:lineRule="exact"/>
        <w:rPr>
          <w:rFonts w:eastAsia="方正楷体_GBK"/>
          <w:snapToGrid w:val="0"/>
          <w:kern w:val="0"/>
          <w:sz w:val="32"/>
          <w:szCs w:val="32"/>
        </w:rPr>
      </w:pPr>
    </w:p>
    <w:p w:rsidR="00385DDD" w:rsidRPr="00460B57" w:rsidRDefault="00FB63E2" w:rsidP="00385DDD">
      <w:pPr>
        <w:spacing w:line="600" w:lineRule="exact"/>
        <w:rPr>
          <w:rFonts w:eastAsia="方正楷体_GBK"/>
          <w:snapToGrid w:val="0"/>
          <w:kern w:val="0"/>
          <w:sz w:val="32"/>
          <w:szCs w:val="32"/>
        </w:rPr>
      </w:pPr>
      <w:r w:rsidRPr="00FB63E2">
        <w:rPr>
          <w:snapToGrid w:val="0"/>
          <w:kern w:val="0"/>
          <w:sz w:val="32"/>
          <w:szCs w:val="32"/>
        </w:rPr>
        <w:pict>
          <v:line id="_x0000_s1026" style="position:absolute;left:0;text-align:left;z-index:251660288" from="-9pt,27.45pt" to="443.2pt,27.45pt" strokecolor="red" strokeweight="2.25pt"/>
        </w:pict>
      </w:r>
      <w:r w:rsidR="00385DDD">
        <w:rPr>
          <w:rFonts w:eastAsia="方正楷体_GBK"/>
          <w:snapToGrid w:val="0"/>
          <w:kern w:val="0"/>
          <w:sz w:val="32"/>
          <w:szCs w:val="32"/>
        </w:rPr>
        <w:t>市高</w:t>
      </w:r>
      <w:r w:rsidR="00385DDD" w:rsidRPr="00460B57">
        <w:rPr>
          <w:rFonts w:eastAsia="方正楷体_GBK"/>
          <w:snapToGrid w:val="0"/>
          <w:kern w:val="0"/>
          <w:sz w:val="32"/>
          <w:szCs w:val="32"/>
        </w:rPr>
        <w:t>法院</w:t>
      </w:r>
      <w:r w:rsidR="00385DDD">
        <w:rPr>
          <w:rFonts w:eastAsia="方正楷体_GBK" w:hint="eastAsia"/>
          <w:snapToGrid w:val="0"/>
          <w:kern w:val="0"/>
          <w:sz w:val="32"/>
          <w:szCs w:val="32"/>
        </w:rPr>
        <w:t>民一庭</w:t>
      </w:r>
      <w:r w:rsidR="00385DDD" w:rsidRPr="00460B57">
        <w:rPr>
          <w:rFonts w:eastAsia="方正楷体_GBK"/>
          <w:snapToGrid w:val="0"/>
          <w:kern w:val="0"/>
          <w:sz w:val="32"/>
          <w:szCs w:val="32"/>
        </w:rPr>
        <w:t xml:space="preserve">             </w:t>
      </w:r>
      <w:r w:rsidR="00385DDD" w:rsidRPr="00460B57">
        <w:rPr>
          <w:rFonts w:eastAsia="方正楷体_GBK" w:hint="eastAsia"/>
          <w:snapToGrid w:val="0"/>
          <w:kern w:val="0"/>
          <w:sz w:val="32"/>
          <w:szCs w:val="32"/>
        </w:rPr>
        <w:t xml:space="preserve">     </w:t>
      </w:r>
      <w:r w:rsidR="00385DDD">
        <w:rPr>
          <w:rFonts w:eastAsia="方正楷体_GBK" w:hint="eastAsia"/>
          <w:snapToGrid w:val="0"/>
          <w:kern w:val="0"/>
          <w:sz w:val="32"/>
          <w:szCs w:val="32"/>
        </w:rPr>
        <w:t xml:space="preserve">       </w:t>
      </w:r>
      <w:r w:rsidR="00385DDD" w:rsidRPr="00460B57">
        <w:rPr>
          <w:rFonts w:eastAsia="方正楷体_GBK"/>
          <w:snapToGrid w:val="0"/>
          <w:kern w:val="0"/>
          <w:sz w:val="32"/>
          <w:szCs w:val="32"/>
        </w:rPr>
        <w:t>201</w:t>
      </w:r>
      <w:r w:rsidR="00385DDD">
        <w:rPr>
          <w:rFonts w:eastAsia="方正楷体_GBK" w:hint="eastAsia"/>
          <w:snapToGrid w:val="0"/>
          <w:kern w:val="0"/>
          <w:sz w:val="32"/>
          <w:szCs w:val="32"/>
        </w:rPr>
        <w:t>7</w:t>
      </w:r>
      <w:r w:rsidR="00385DDD" w:rsidRPr="00460B57">
        <w:rPr>
          <w:rFonts w:eastAsia="方正楷体_GBK"/>
          <w:snapToGrid w:val="0"/>
          <w:kern w:val="0"/>
          <w:sz w:val="32"/>
          <w:szCs w:val="32"/>
        </w:rPr>
        <w:t>年</w:t>
      </w:r>
      <w:r w:rsidR="00385DDD">
        <w:rPr>
          <w:rFonts w:eastAsia="方正楷体_GBK" w:hint="eastAsia"/>
          <w:snapToGrid w:val="0"/>
          <w:kern w:val="0"/>
          <w:sz w:val="32"/>
          <w:szCs w:val="32"/>
        </w:rPr>
        <w:t>10</w:t>
      </w:r>
      <w:r w:rsidR="00385DDD" w:rsidRPr="00460B57">
        <w:rPr>
          <w:rFonts w:eastAsia="方正楷体_GBK"/>
          <w:snapToGrid w:val="0"/>
          <w:kern w:val="0"/>
          <w:sz w:val="32"/>
          <w:szCs w:val="32"/>
        </w:rPr>
        <w:t>月</w:t>
      </w:r>
      <w:r w:rsidR="00385DDD">
        <w:rPr>
          <w:rFonts w:eastAsia="方正楷体_GBK" w:hint="eastAsia"/>
          <w:snapToGrid w:val="0"/>
          <w:kern w:val="0"/>
          <w:sz w:val="32"/>
          <w:szCs w:val="32"/>
        </w:rPr>
        <w:t>13</w:t>
      </w:r>
      <w:r w:rsidR="00385DDD" w:rsidRPr="00460B57">
        <w:rPr>
          <w:rFonts w:eastAsia="方正楷体_GBK"/>
          <w:snapToGrid w:val="0"/>
          <w:kern w:val="0"/>
          <w:sz w:val="32"/>
          <w:szCs w:val="32"/>
        </w:rPr>
        <w:t>日</w:t>
      </w:r>
    </w:p>
    <w:p w:rsidR="00385DDD" w:rsidRDefault="00385DDD" w:rsidP="00385DDD">
      <w:pPr>
        <w:spacing w:line="580" w:lineRule="exact"/>
        <w:rPr>
          <w:rFonts w:eastAsia="方正小标宋_GBK"/>
          <w:b/>
          <w:snapToGrid w:val="0"/>
          <w:kern w:val="0"/>
          <w:sz w:val="44"/>
          <w:szCs w:val="44"/>
        </w:rPr>
      </w:pPr>
    </w:p>
    <w:p w:rsidR="00385DDD" w:rsidRDefault="00385DDD" w:rsidP="00385DDD">
      <w:pPr>
        <w:spacing w:line="580" w:lineRule="exact"/>
        <w:jc w:val="center"/>
        <w:rPr>
          <w:rFonts w:ascii="华文中宋" w:eastAsia="华文中宋" w:hAnsi="华文中宋"/>
          <w:b/>
          <w:snapToGrid w:val="0"/>
          <w:kern w:val="0"/>
          <w:sz w:val="44"/>
          <w:szCs w:val="44"/>
        </w:rPr>
      </w:pPr>
      <w:r>
        <w:rPr>
          <w:rFonts w:ascii="华文中宋" w:eastAsia="华文中宋" w:hAnsi="华文中宋" w:hint="eastAsia"/>
          <w:b/>
          <w:snapToGrid w:val="0"/>
          <w:kern w:val="0"/>
          <w:sz w:val="44"/>
          <w:szCs w:val="44"/>
        </w:rPr>
        <w:t>市高法院民一庭</w:t>
      </w:r>
    </w:p>
    <w:p w:rsidR="00385DDD" w:rsidRPr="00F21AA8" w:rsidRDefault="00385DDD" w:rsidP="00385DDD">
      <w:pPr>
        <w:spacing w:line="580" w:lineRule="exact"/>
        <w:jc w:val="center"/>
        <w:rPr>
          <w:rFonts w:ascii="华文中宋" w:eastAsia="华文中宋" w:hAnsi="华文中宋"/>
          <w:b/>
          <w:snapToGrid w:val="0"/>
          <w:kern w:val="0"/>
          <w:sz w:val="44"/>
          <w:szCs w:val="44"/>
        </w:rPr>
      </w:pPr>
      <w:r>
        <w:rPr>
          <w:rFonts w:ascii="华文中宋" w:eastAsia="华文中宋" w:hAnsi="华文中宋" w:hint="eastAsia"/>
          <w:b/>
          <w:snapToGrid w:val="0"/>
          <w:kern w:val="0"/>
          <w:sz w:val="44"/>
          <w:szCs w:val="44"/>
        </w:rPr>
        <w:t>法律疑难问题法官会议摘</w:t>
      </w:r>
      <w:r w:rsidRPr="00172F85">
        <w:rPr>
          <w:rFonts w:ascii="华文中宋" w:eastAsia="华文中宋" w:hAnsi="华文中宋" w:hint="eastAsia"/>
          <w:b/>
          <w:snapToGrid w:val="0"/>
          <w:kern w:val="0"/>
          <w:sz w:val="44"/>
          <w:szCs w:val="44"/>
        </w:rPr>
        <w:t>要</w:t>
      </w:r>
      <w:r>
        <w:rPr>
          <w:rFonts w:ascii="华文中宋" w:eastAsia="华文中宋" w:hAnsi="华文中宋" w:hint="eastAsia"/>
          <w:b/>
          <w:snapToGrid w:val="0"/>
          <w:kern w:val="0"/>
          <w:sz w:val="44"/>
          <w:szCs w:val="44"/>
        </w:rPr>
        <w:t>（二）</w:t>
      </w:r>
    </w:p>
    <w:p w:rsidR="00385DDD" w:rsidRPr="00F21AA8" w:rsidRDefault="00385DDD" w:rsidP="00385DDD">
      <w:pPr>
        <w:spacing w:line="580" w:lineRule="exact"/>
        <w:jc w:val="center"/>
        <w:rPr>
          <w:rFonts w:ascii="方正仿宋_GBK" w:eastAsia="方正仿宋_GBK"/>
          <w:snapToGrid w:val="0"/>
          <w:kern w:val="0"/>
          <w:sz w:val="32"/>
          <w:szCs w:val="32"/>
        </w:rPr>
      </w:pPr>
    </w:p>
    <w:p w:rsidR="00385DDD" w:rsidRDefault="00385DDD" w:rsidP="00385DDD">
      <w:pPr>
        <w:spacing w:line="560" w:lineRule="exact"/>
        <w:ind w:firstLineChars="200" w:firstLine="640"/>
        <w:rPr>
          <w:rFonts w:eastAsia="方正仿宋简体"/>
          <w:sz w:val="32"/>
          <w:szCs w:val="32"/>
        </w:rPr>
      </w:pPr>
      <w:r>
        <w:rPr>
          <w:rFonts w:eastAsia="方正仿宋简体" w:hint="eastAsia"/>
          <w:sz w:val="32"/>
          <w:szCs w:val="32"/>
        </w:rPr>
        <w:t>2017</w:t>
      </w:r>
      <w:r>
        <w:rPr>
          <w:rFonts w:eastAsia="方正仿宋简体" w:hint="eastAsia"/>
          <w:sz w:val="32"/>
          <w:szCs w:val="32"/>
        </w:rPr>
        <w:t>年</w:t>
      </w:r>
      <w:r>
        <w:rPr>
          <w:rFonts w:eastAsia="方正仿宋简体" w:hint="eastAsia"/>
          <w:sz w:val="32"/>
          <w:szCs w:val="32"/>
        </w:rPr>
        <w:t>9</w:t>
      </w:r>
      <w:r>
        <w:rPr>
          <w:rFonts w:eastAsia="方正仿宋简体" w:hint="eastAsia"/>
          <w:sz w:val="32"/>
          <w:szCs w:val="32"/>
        </w:rPr>
        <w:t>月</w:t>
      </w:r>
      <w:r>
        <w:rPr>
          <w:rFonts w:eastAsia="方正仿宋简体" w:hint="eastAsia"/>
          <w:sz w:val="32"/>
          <w:szCs w:val="32"/>
        </w:rPr>
        <w:t>15</w:t>
      </w:r>
      <w:r>
        <w:rPr>
          <w:rFonts w:eastAsia="方正仿宋简体" w:hint="eastAsia"/>
          <w:sz w:val="32"/>
          <w:szCs w:val="32"/>
        </w:rPr>
        <w:t>日，</w:t>
      </w:r>
      <w:r w:rsidRPr="001A3F78">
        <w:rPr>
          <w:rFonts w:eastAsia="方正仿宋简体" w:hint="eastAsia"/>
          <w:sz w:val="32"/>
          <w:szCs w:val="32"/>
        </w:rPr>
        <w:t>市高法院民一庭</w:t>
      </w:r>
      <w:r>
        <w:rPr>
          <w:rFonts w:eastAsia="方正仿宋简体" w:hint="eastAsia"/>
          <w:sz w:val="32"/>
          <w:szCs w:val="32"/>
        </w:rPr>
        <w:t>全体法官到市一中法院开展法律疑难问题研讨会，对当前民事审判中的法律疑难问题进行了研讨。现摘</w:t>
      </w:r>
      <w:r w:rsidRPr="001A3F78">
        <w:rPr>
          <w:rFonts w:eastAsia="方正仿宋简体" w:hint="eastAsia"/>
          <w:sz w:val="32"/>
          <w:szCs w:val="32"/>
        </w:rPr>
        <w:t>要如下：</w:t>
      </w:r>
    </w:p>
    <w:p w:rsidR="00385DDD" w:rsidRPr="009D3FCB" w:rsidRDefault="00385DDD" w:rsidP="00385DDD">
      <w:pPr>
        <w:spacing w:line="560" w:lineRule="exact"/>
        <w:ind w:firstLineChars="200" w:firstLine="643"/>
        <w:rPr>
          <w:rFonts w:ascii="黑体" w:eastAsia="黑体" w:hAnsi="黑体"/>
          <w:b/>
          <w:sz w:val="32"/>
          <w:szCs w:val="32"/>
        </w:rPr>
      </w:pPr>
      <w:r w:rsidRPr="009D3FCB">
        <w:rPr>
          <w:rFonts w:ascii="黑体" w:eastAsia="黑体" w:hAnsi="黑体" w:hint="eastAsia"/>
          <w:b/>
          <w:sz w:val="32"/>
          <w:szCs w:val="32"/>
        </w:rPr>
        <w:t>一、关于</w:t>
      </w:r>
      <w:r>
        <w:rPr>
          <w:rFonts w:ascii="黑体" w:eastAsia="黑体" w:hAnsi="黑体" w:hint="eastAsia"/>
          <w:b/>
          <w:sz w:val="32"/>
          <w:szCs w:val="32"/>
        </w:rPr>
        <w:t>《最高人民法院关于人民法院办理执行异议和复议案件若干问题的规定》（以下简称《执行异议规定》）</w:t>
      </w:r>
      <w:r w:rsidRPr="009D3FCB">
        <w:rPr>
          <w:rFonts w:ascii="黑体" w:eastAsia="黑体" w:hAnsi="黑体" w:hint="eastAsia"/>
          <w:b/>
          <w:sz w:val="32"/>
          <w:szCs w:val="32"/>
        </w:rPr>
        <w:t>的</w:t>
      </w:r>
      <w:r>
        <w:rPr>
          <w:rFonts w:ascii="黑体" w:eastAsia="黑体" w:hAnsi="黑体" w:hint="eastAsia"/>
          <w:b/>
          <w:sz w:val="32"/>
          <w:szCs w:val="32"/>
        </w:rPr>
        <w:t>适用</w:t>
      </w:r>
      <w:r w:rsidRPr="009D3FCB">
        <w:rPr>
          <w:rFonts w:ascii="黑体" w:eastAsia="黑体" w:hAnsi="黑体" w:hint="eastAsia"/>
          <w:b/>
          <w:sz w:val="32"/>
          <w:szCs w:val="32"/>
        </w:rPr>
        <w:t>问题</w:t>
      </w:r>
    </w:p>
    <w:p w:rsidR="00385DDD" w:rsidRDefault="00385DDD" w:rsidP="00385DDD">
      <w:pPr>
        <w:spacing w:line="560" w:lineRule="exact"/>
        <w:ind w:firstLineChars="200" w:firstLine="640"/>
        <w:rPr>
          <w:rFonts w:eastAsia="方正仿宋简体"/>
          <w:sz w:val="32"/>
          <w:szCs w:val="32"/>
        </w:rPr>
      </w:pPr>
      <w:r>
        <w:rPr>
          <w:rFonts w:eastAsia="方正仿宋简体" w:hint="eastAsia"/>
          <w:sz w:val="32"/>
          <w:szCs w:val="32"/>
        </w:rPr>
        <w:t>执行异议审查程序和执行异议之诉案件的审理程序虽为两个不同的程序，但均以判断案外人的实体权利能否排除强制执行为核心，在判断案外人的实体权利能否排除强制执行的要件上，二者具有关联性和共通性。在关于执行异议之诉的司法解释出台</w:t>
      </w:r>
      <w:r>
        <w:rPr>
          <w:rFonts w:eastAsia="方正仿宋简体" w:hint="eastAsia"/>
          <w:sz w:val="32"/>
          <w:szCs w:val="32"/>
        </w:rPr>
        <w:lastRenderedPageBreak/>
        <w:t>之前，人民法院审理执行异议之诉案件可以参照适用《执行异议规定》中与案外人实体权利相关的条文，判断案外人的实体权利能否排除强制执行。</w:t>
      </w:r>
    </w:p>
    <w:p w:rsidR="00385DDD" w:rsidRPr="005A0522" w:rsidRDefault="00385DDD" w:rsidP="00385DDD">
      <w:pPr>
        <w:spacing w:line="560" w:lineRule="exact"/>
        <w:ind w:firstLineChars="200" w:firstLine="640"/>
        <w:rPr>
          <w:rFonts w:eastAsia="方正仿宋简体"/>
          <w:sz w:val="32"/>
          <w:szCs w:val="32"/>
        </w:rPr>
      </w:pPr>
      <w:r>
        <w:rPr>
          <w:rFonts w:eastAsia="方正仿宋简体" w:hint="eastAsia"/>
          <w:sz w:val="32"/>
          <w:szCs w:val="32"/>
        </w:rPr>
        <w:t>但是，在具体判断标准上，二者存在如下不同：在</w:t>
      </w:r>
      <w:r w:rsidRPr="00DD2C21">
        <w:rPr>
          <w:rFonts w:eastAsia="方正仿宋简体" w:hint="eastAsia"/>
          <w:color w:val="FF0000"/>
          <w:sz w:val="32"/>
          <w:szCs w:val="32"/>
        </w:rPr>
        <w:t>执行异议审查程序</w:t>
      </w:r>
      <w:r>
        <w:rPr>
          <w:rFonts w:eastAsia="方正仿宋简体" w:hint="eastAsia"/>
          <w:sz w:val="32"/>
          <w:szCs w:val="32"/>
        </w:rPr>
        <w:t>中，执行法院主要进行</w:t>
      </w:r>
      <w:r w:rsidRPr="00DD2C21">
        <w:rPr>
          <w:rFonts w:eastAsia="方正仿宋简体" w:hint="eastAsia"/>
          <w:color w:val="FF0000"/>
          <w:sz w:val="32"/>
          <w:szCs w:val="32"/>
        </w:rPr>
        <w:t>形式审查</w:t>
      </w:r>
      <w:r>
        <w:rPr>
          <w:rFonts w:eastAsia="方正仿宋简体" w:hint="eastAsia"/>
          <w:sz w:val="32"/>
          <w:szCs w:val="32"/>
        </w:rPr>
        <w:t>，案外人能够举示“表面证据”证明其享有《执行异议规定》中所规定的能够</w:t>
      </w:r>
      <w:r w:rsidRPr="00DD2C21">
        <w:rPr>
          <w:rFonts w:eastAsia="方正仿宋简体" w:hint="eastAsia"/>
          <w:color w:val="FF0000"/>
          <w:sz w:val="32"/>
          <w:szCs w:val="32"/>
        </w:rPr>
        <w:t>排除强制执行的实体权利的，执行法院即可以裁定停止执行</w:t>
      </w:r>
      <w:r>
        <w:rPr>
          <w:rFonts w:eastAsia="方正仿宋简体" w:hint="eastAsia"/>
          <w:sz w:val="32"/>
          <w:szCs w:val="32"/>
        </w:rPr>
        <w:t>。在</w:t>
      </w:r>
      <w:r w:rsidRPr="00DD2C21">
        <w:rPr>
          <w:rFonts w:eastAsia="方正仿宋简体" w:hint="eastAsia"/>
          <w:color w:val="00B050"/>
          <w:sz w:val="32"/>
          <w:szCs w:val="32"/>
        </w:rPr>
        <w:t>执行异议之诉</w:t>
      </w:r>
      <w:r>
        <w:rPr>
          <w:rFonts w:eastAsia="方正仿宋简体" w:hint="eastAsia"/>
          <w:sz w:val="32"/>
          <w:szCs w:val="32"/>
        </w:rPr>
        <w:t>案件中，人民法院需要进行</w:t>
      </w:r>
      <w:r w:rsidRPr="00DD2C21">
        <w:rPr>
          <w:rFonts w:eastAsia="方正仿宋简体" w:hint="eastAsia"/>
          <w:color w:val="00B050"/>
          <w:sz w:val="32"/>
          <w:szCs w:val="32"/>
        </w:rPr>
        <w:t>实体审理</w:t>
      </w:r>
      <w:r>
        <w:rPr>
          <w:rFonts w:eastAsia="方正仿宋简体" w:hint="eastAsia"/>
          <w:sz w:val="32"/>
          <w:szCs w:val="32"/>
        </w:rPr>
        <w:t>，即对《执行异议规定》中所规定的案外人享有能够</w:t>
      </w:r>
      <w:r w:rsidRPr="00DD2C21">
        <w:rPr>
          <w:rFonts w:eastAsia="方正仿宋简体" w:hint="eastAsia"/>
          <w:color w:val="00B050"/>
          <w:sz w:val="32"/>
          <w:szCs w:val="32"/>
        </w:rPr>
        <w:t>排除强制执行实体权利的要件是否满足进行实体审理</w:t>
      </w:r>
      <w:r>
        <w:rPr>
          <w:rFonts w:eastAsia="方正仿宋简体" w:hint="eastAsia"/>
          <w:sz w:val="32"/>
          <w:szCs w:val="32"/>
        </w:rPr>
        <w:t>，并根据</w:t>
      </w:r>
      <w:r w:rsidRPr="00DD2C21">
        <w:rPr>
          <w:rFonts w:eastAsia="方正仿宋简体" w:hint="eastAsia"/>
          <w:color w:val="00B050"/>
          <w:sz w:val="32"/>
          <w:szCs w:val="32"/>
        </w:rPr>
        <w:t>审理结果判决案外人能否排除执行</w:t>
      </w:r>
      <w:r>
        <w:rPr>
          <w:rFonts w:eastAsia="方正仿宋简体" w:hint="eastAsia"/>
          <w:sz w:val="32"/>
          <w:szCs w:val="32"/>
        </w:rPr>
        <w:t>。</w:t>
      </w:r>
    </w:p>
    <w:p w:rsidR="00385DDD" w:rsidRPr="009D3FCB" w:rsidRDefault="00385DDD" w:rsidP="00385DDD">
      <w:pPr>
        <w:spacing w:line="560" w:lineRule="exact"/>
        <w:ind w:firstLineChars="200" w:firstLine="643"/>
        <w:rPr>
          <w:rFonts w:ascii="黑体" w:eastAsia="黑体" w:hAnsi="黑体"/>
          <w:b/>
          <w:sz w:val="32"/>
          <w:szCs w:val="32"/>
        </w:rPr>
      </w:pPr>
      <w:r w:rsidRPr="009D3FCB">
        <w:rPr>
          <w:rFonts w:ascii="黑体" w:eastAsia="黑体" w:hAnsi="黑体" w:hint="eastAsia"/>
          <w:b/>
          <w:sz w:val="32"/>
          <w:szCs w:val="32"/>
        </w:rPr>
        <w:t>二、关于</w:t>
      </w:r>
      <w:r>
        <w:rPr>
          <w:rFonts w:ascii="黑体" w:eastAsia="黑体" w:hAnsi="黑体" w:hint="eastAsia"/>
          <w:b/>
          <w:sz w:val="32"/>
          <w:szCs w:val="32"/>
        </w:rPr>
        <w:t>《执行异议规定》第二十九条第二项的理解</w:t>
      </w:r>
      <w:r w:rsidRPr="009D3FCB">
        <w:rPr>
          <w:rFonts w:ascii="黑体" w:eastAsia="黑体" w:hAnsi="黑体" w:hint="eastAsia"/>
          <w:b/>
          <w:sz w:val="32"/>
          <w:szCs w:val="32"/>
        </w:rPr>
        <w:t>问题</w:t>
      </w:r>
    </w:p>
    <w:p w:rsidR="00385DDD" w:rsidRDefault="00385DDD" w:rsidP="00385DDD">
      <w:pPr>
        <w:spacing w:line="560" w:lineRule="exact"/>
        <w:ind w:firstLineChars="200" w:firstLine="640"/>
        <w:rPr>
          <w:rFonts w:eastAsia="方正仿宋简体"/>
          <w:sz w:val="32"/>
          <w:szCs w:val="32"/>
        </w:rPr>
      </w:pPr>
      <w:r>
        <w:rPr>
          <w:rFonts w:eastAsia="方正仿宋简体" w:hint="eastAsia"/>
          <w:sz w:val="32"/>
          <w:szCs w:val="32"/>
        </w:rPr>
        <w:t>《执行异议规定》第二十九条系对房屋消费者物权期待权的保护条件所作的规定，该条第二项“所购商品房系用于居住且买受人名下无其他用于居住的房屋”通常应当作如下理解：</w:t>
      </w:r>
    </w:p>
    <w:p w:rsidR="00385DDD" w:rsidRDefault="00385DDD" w:rsidP="00385DDD">
      <w:pPr>
        <w:spacing w:line="560" w:lineRule="exact"/>
        <w:ind w:firstLineChars="200" w:firstLine="640"/>
        <w:rPr>
          <w:rFonts w:eastAsia="方正仿宋简体"/>
          <w:sz w:val="32"/>
          <w:szCs w:val="32"/>
        </w:rPr>
      </w:pPr>
      <w:r>
        <w:rPr>
          <w:rFonts w:eastAsia="方正仿宋简体" w:hint="eastAsia"/>
          <w:sz w:val="32"/>
          <w:szCs w:val="32"/>
        </w:rPr>
        <w:t>1.</w:t>
      </w:r>
      <w:r>
        <w:rPr>
          <w:rFonts w:eastAsia="方正仿宋简体" w:hint="eastAsia"/>
          <w:sz w:val="32"/>
          <w:szCs w:val="32"/>
        </w:rPr>
        <w:t>所购房屋应当为居住用房，所购房屋为写字楼、门面房等经营性用房的，不符合该条关于“所购商品房系用于居住”的条件。所购房屋为“商住两用”，且有证据证明买受人将所购房屋用于居住的，应当认定符合“所购商品房系用于居住”的条件。</w:t>
      </w:r>
    </w:p>
    <w:p w:rsidR="00385DDD" w:rsidRDefault="00385DDD" w:rsidP="00385DDD">
      <w:pPr>
        <w:spacing w:line="560" w:lineRule="exact"/>
        <w:ind w:firstLineChars="200" w:firstLine="640"/>
        <w:rPr>
          <w:rFonts w:eastAsia="方正仿宋简体"/>
          <w:sz w:val="32"/>
          <w:szCs w:val="32"/>
        </w:rPr>
      </w:pPr>
      <w:r>
        <w:rPr>
          <w:rFonts w:eastAsia="方正仿宋简体" w:hint="eastAsia"/>
          <w:sz w:val="32"/>
          <w:szCs w:val="32"/>
        </w:rPr>
        <w:t>2.</w:t>
      </w:r>
      <w:r>
        <w:rPr>
          <w:rFonts w:eastAsia="方正仿宋简体" w:hint="eastAsia"/>
          <w:sz w:val="32"/>
          <w:szCs w:val="32"/>
        </w:rPr>
        <w:t>“买受人名下无其他用于居住的房屋”应限于字面理解，以买受人本人名下有无其他用于居住的房屋作为判断标准，买受人的配偶、父母、子女名下有其他用于居住的房屋的，不影响其对所购房屋所享有的消费者物权期待权。</w:t>
      </w:r>
    </w:p>
    <w:p w:rsidR="00385DDD" w:rsidRDefault="00385DDD" w:rsidP="00385DDD">
      <w:pPr>
        <w:spacing w:line="560" w:lineRule="exact"/>
        <w:ind w:firstLineChars="200" w:firstLine="640"/>
        <w:rPr>
          <w:rFonts w:eastAsia="方正仿宋简体"/>
          <w:sz w:val="32"/>
          <w:szCs w:val="32"/>
        </w:rPr>
      </w:pPr>
      <w:r>
        <w:rPr>
          <w:rFonts w:eastAsia="方正仿宋简体" w:hint="eastAsia"/>
          <w:sz w:val="32"/>
          <w:szCs w:val="32"/>
        </w:rPr>
        <w:t>3.</w:t>
      </w:r>
      <w:r>
        <w:rPr>
          <w:rFonts w:eastAsia="方正仿宋简体" w:hint="eastAsia"/>
          <w:sz w:val="32"/>
          <w:szCs w:val="32"/>
        </w:rPr>
        <w:t>“无其他用于居住的房屋”是指买受人在被执行房屋所在地</w:t>
      </w:r>
      <w:r>
        <w:rPr>
          <w:rFonts w:eastAsia="方正仿宋简体" w:hint="eastAsia"/>
          <w:sz w:val="32"/>
          <w:szCs w:val="32"/>
        </w:rPr>
        <w:lastRenderedPageBreak/>
        <w:t>长期居住，而在同一地点其名下无其他能够用于居住的房屋。此处“同一地点”的范围应当根据能否满足其日常生活、工作需要进行综合判断。</w:t>
      </w:r>
    </w:p>
    <w:p w:rsidR="00385DDD" w:rsidRPr="00BB7BCE" w:rsidRDefault="00385DDD" w:rsidP="00385DDD">
      <w:pPr>
        <w:spacing w:line="560" w:lineRule="exact"/>
        <w:ind w:firstLineChars="200" w:firstLine="640"/>
        <w:rPr>
          <w:rFonts w:eastAsia="方正仿宋简体"/>
          <w:sz w:val="32"/>
          <w:szCs w:val="32"/>
        </w:rPr>
      </w:pPr>
      <w:r>
        <w:rPr>
          <w:rFonts w:eastAsia="方正仿宋简体" w:hint="eastAsia"/>
          <w:sz w:val="32"/>
          <w:szCs w:val="32"/>
        </w:rPr>
        <w:t>4.</w:t>
      </w:r>
      <w:r>
        <w:rPr>
          <w:rFonts w:eastAsia="方正仿宋简体" w:hint="eastAsia"/>
          <w:sz w:val="32"/>
          <w:szCs w:val="32"/>
        </w:rPr>
        <w:t>在举证责任上，买受人能够举示证据证明其经常居住地无其他用于居住的房屋，人民法院即可认定其名下无其他用于居住的房屋。其他当事人提出异议的，应当由提出异议的当事人就其名下还有其他用于居住的房屋承担举证证明责任。</w:t>
      </w:r>
    </w:p>
    <w:p w:rsidR="00385DDD" w:rsidRPr="009D3FCB" w:rsidRDefault="00385DDD" w:rsidP="00385DDD">
      <w:pPr>
        <w:spacing w:line="560" w:lineRule="exact"/>
        <w:ind w:firstLineChars="200" w:firstLine="643"/>
        <w:rPr>
          <w:rFonts w:ascii="黑体" w:eastAsia="黑体" w:hAnsi="黑体"/>
          <w:b/>
          <w:sz w:val="32"/>
          <w:szCs w:val="32"/>
        </w:rPr>
      </w:pPr>
      <w:r>
        <w:rPr>
          <w:rFonts w:ascii="黑体" w:eastAsia="黑体" w:hAnsi="黑体" w:hint="eastAsia"/>
          <w:b/>
          <w:sz w:val="32"/>
          <w:szCs w:val="32"/>
        </w:rPr>
        <w:t>三</w:t>
      </w:r>
      <w:r w:rsidRPr="009D3FCB">
        <w:rPr>
          <w:rFonts w:ascii="黑体" w:eastAsia="黑体" w:hAnsi="黑体" w:hint="eastAsia"/>
          <w:b/>
          <w:sz w:val="32"/>
          <w:szCs w:val="32"/>
        </w:rPr>
        <w:t>、关于</w:t>
      </w:r>
      <w:r>
        <w:rPr>
          <w:rFonts w:ascii="黑体" w:eastAsia="黑体" w:hAnsi="黑体" w:hint="eastAsia"/>
          <w:b/>
          <w:sz w:val="32"/>
          <w:szCs w:val="32"/>
        </w:rPr>
        <w:t>已过诉讼时效的债权能否适用抵销</w:t>
      </w:r>
      <w:r w:rsidRPr="009D3FCB">
        <w:rPr>
          <w:rFonts w:ascii="黑体" w:eastAsia="黑体" w:hAnsi="黑体" w:hint="eastAsia"/>
          <w:b/>
          <w:sz w:val="32"/>
          <w:szCs w:val="32"/>
        </w:rPr>
        <w:t>的问题</w:t>
      </w:r>
    </w:p>
    <w:p w:rsidR="00385DDD" w:rsidRDefault="00385DDD" w:rsidP="00385DDD">
      <w:pPr>
        <w:spacing w:line="560" w:lineRule="exact"/>
        <w:ind w:firstLineChars="200" w:firstLine="640"/>
        <w:rPr>
          <w:rFonts w:eastAsia="方正仿宋简体"/>
          <w:sz w:val="32"/>
          <w:szCs w:val="32"/>
        </w:rPr>
      </w:pPr>
      <w:r>
        <w:rPr>
          <w:rFonts w:eastAsia="方正仿宋简体" w:hint="eastAsia"/>
          <w:sz w:val="32"/>
          <w:szCs w:val="32"/>
        </w:rPr>
        <w:t>《中华人民共和国合同法》第九十九条规定，当事人互负到期债务，该债务的标的物种类、品质相同的，任何一方可以将自己的债务与对方的债务抵销，但依照法律规定或者按照合同性质不得抵销的除外。已过诉讼时效的债权为自然债权，由于上述规定并未规定自然债权不适用抵销，其他法律亦未禁止自然债权适用抵销，根据公平原则、诚实信用原则，应当允许已过诉讼时效的债权人行使抵销权。</w:t>
      </w:r>
    </w:p>
    <w:p w:rsidR="00385DDD" w:rsidRPr="009D3FCB" w:rsidRDefault="00385DDD" w:rsidP="00385DDD">
      <w:pPr>
        <w:spacing w:line="560" w:lineRule="exact"/>
        <w:ind w:firstLineChars="200" w:firstLine="643"/>
        <w:rPr>
          <w:rFonts w:ascii="黑体" w:eastAsia="黑体" w:hAnsi="黑体"/>
          <w:b/>
          <w:sz w:val="32"/>
          <w:szCs w:val="32"/>
        </w:rPr>
      </w:pPr>
      <w:r>
        <w:rPr>
          <w:rFonts w:ascii="黑体" w:eastAsia="黑体" w:hAnsi="黑体" w:hint="eastAsia"/>
          <w:b/>
          <w:sz w:val="32"/>
          <w:szCs w:val="32"/>
        </w:rPr>
        <w:t>四</w:t>
      </w:r>
      <w:r w:rsidRPr="009D3FCB">
        <w:rPr>
          <w:rFonts w:ascii="黑体" w:eastAsia="黑体" w:hAnsi="黑体" w:hint="eastAsia"/>
          <w:b/>
          <w:sz w:val="32"/>
          <w:szCs w:val="32"/>
        </w:rPr>
        <w:t>、关于</w:t>
      </w:r>
      <w:r>
        <w:rPr>
          <w:rFonts w:ascii="黑体" w:eastAsia="黑体" w:hAnsi="黑体" w:hint="eastAsia"/>
          <w:b/>
          <w:sz w:val="32"/>
          <w:szCs w:val="32"/>
        </w:rPr>
        <w:t>合同一方当事人能否违约解除合同的</w:t>
      </w:r>
      <w:r w:rsidRPr="009D3FCB">
        <w:rPr>
          <w:rFonts w:ascii="黑体" w:eastAsia="黑体" w:hAnsi="黑体" w:hint="eastAsia"/>
          <w:b/>
          <w:sz w:val="32"/>
          <w:szCs w:val="32"/>
        </w:rPr>
        <w:t>问题</w:t>
      </w:r>
    </w:p>
    <w:p w:rsidR="00385DDD" w:rsidRPr="003B2544" w:rsidRDefault="00385DDD" w:rsidP="00385DDD">
      <w:pPr>
        <w:adjustRightInd w:val="0"/>
        <w:snapToGrid w:val="0"/>
        <w:spacing w:line="580" w:lineRule="exact"/>
        <w:ind w:firstLineChars="200" w:firstLine="640"/>
        <w:rPr>
          <w:rFonts w:eastAsia="方正仿宋简体"/>
          <w:sz w:val="32"/>
          <w:szCs w:val="32"/>
        </w:rPr>
      </w:pPr>
      <w:r>
        <w:rPr>
          <w:rFonts w:eastAsia="方正仿宋简体" w:hint="eastAsia"/>
          <w:sz w:val="32"/>
          <w:szCs w:val="32"/>
        </w:rPr>
        <w:t>《中华人民共和国合同法》第一百零七条规定，当事人一方不履行合同义务或者履行合同义务不符合约定的，应当承担继续履行、采取补救措施或者赔偿损失等违约责任。一般情况下，一方当事人不履行合同义务或者履行合同义务不符合约定的，另一方当事人有权根据该条规定要求其承担继续履行的违约责任。但如果</w:t>
      </w:r>
      <w:r w:rsidRPr="003B2544">
        <w:rPr>
          <w:rFonts w:eastAsia="方正仿宋简体" w:hint="eastAsia"/>
          <w:sz w:val="32"/>
          <w:szCs w:val="32"/>
        </w:rPr>
        <w:t>继续履</w:t>
      </w:r>
      <w:r>
        <w:rPr>
          <w:rFonts w:eastAsia="方正仿宋简体" w:hint="eastAsia"/>
          <w:sz w:val="32"/>
          <w:szCs w:val="32"/>
        </w:rPr>
        <w:t>行合同</w:t>
      </w:r>
      <w:r w:rsidRPr="003B2544">
        <w:rPr>
          <w:rFonts w:eastAsia="方正仿宋简体" w:hint="eastAsia"/>
          <w:sz w:val="32"/>
          <w:szCs w:val="32"/>
        </w:rPr>
        <w:t>所需的财力、物力超过合同双方基于合同履行所能获得的利益，合同已不具备继续履行</w:t>
      </w:r>
      <w:r>
        <w:rPr>
          <w:rFonts w:eastAsia="方正仿宋简体" w:hint="eastAsia"/>
          <w:sz w:val="32"/>
          <w:szCs w:val="32"/>
        </w:rPr>
        <w:t>基础</w:t>
      </w:r>
      <w:r w:rsidRPr="003B2544">
        <w:rPr>
          <w:rFonts w:eastAsia="方正仿宋简体" w:hint="eastAsia"/>
          <w:sz w:val="32"/>
          <w:szCs w:val="32"/>
        </w:rPr>
        <w:t>时，为平衡双方当</w:t>
      </w:r>
      <w:r w:rsidRPr="003B2544">
        <w:rPr>
          <w:rFonts w:eastAsia="方正仿宋简体" w:hint="eastAsia"/>
          <w:sz w:val="32"/>
          <w:szCs w:val="32"/>
        </w:rPr>
        <w:lastRenderedPageBreak/>
        <w:t>事人利益，可以允许违约方</w:t>
      </w:r>
      <w:r>
        <w:rPr>
          <w:rFonts w:eastAsia="方正仿宋简体" w:hint="eastAsia"/>
          <w:sz w:val="32"/>
          <w:szCs w:val="32"/>
        </w:rPr>
        <w:t>根据《中华人民共和国合同法》第一百一十条第二项之规定</w:t>
      </w:r>
      <w:r w:rsidRPr="003B2544">
        <w:rPr>
          <w:rFonts w:eastAsia="方正仿宋简体" w:hint="eastAsia"/>
          <w:sz w:val="32"/>
          <w:szCs w:val="32"/>
        </w:rPr>
        <w:t>解除合同，但</w:t>
      </w:r>
      <w:r>
        <w:rPr>
          <w:rFonts w:eastAsia="方正仿宋简体" w:hint="eastAsia"/>
          <w:sz w:val="32"/>
          <w:szCs w:val="32"/>
        </w:rPr>
        <w:t>此种情形下，人民法院应当进行释明，由守约方提起要求违约方承担赔偿损失等违约责任的请求，以维护守约方的合法利益。</w:t>
      </w:r>
    </w:p>
    <w:p w:rsidR="00385DDD" w:rsidRDefault="00385DDD" w:rsidP="00385DDD">
      <w:pPr>
        <w:adjustRightInd w:val="0"/>
        <w:snapToGrid w:val="0"/>
        <w:spacing w:line="580" w:lineRule="exact"/>
        <w:ind w:firstLineChars="200" w:firstLine="643"/>
        <w:rPr>
          <w:rFonts w:ascii="仿宋_GB2312" w:eastAsia="仿宋_GB2312" w:hAnsi="宋体" w:cs="华文楷体"/>
          <w:bCs/>
          <w:sz w:val="32"/>
          <w:szCs w:val="32"/>
        </w:rPr>
      </w:pPr>
      <w:r>
        <w:rPr>
          <w:rFonts w:ascii="黑体" w:eastAsia="黑体" w:hAnsi="黑体" w:hint="eastAsia"/>
          <w:b/>
          <w:sz w:val="32"/>
          <w:szCs w:val="32"/>
        </w:rPr>
        <w:t>五</w:t>
      </w:r>
      <w:r w:rsidRPr="009D3FCB">
        <w:rPr>
          <w:rFonts w:ascii="黑体" w:eastAsia="黑体" w:hAnsi="黑体" w:hint="eastAsia"/>
          <w:b/>
          <w:sz w:val="32"/>
          <w:szCs w:val="32"/>
        </w:rPr>
        <w:t>、关于</w:t>
      </w:r>
      <w:r>
        <w:rPr>
          <w:rFonts w:ascii="黑体" w:eastAsia="黑体" w:hAnsi="黑体" w:hint="eastAsia"/>
          <w:b/>
          <w:sz w:val="32"/>
          <w:szCs w:val="32"/>
        </w:rPr>
        <w:t>忠诚协议的效力</w:t>
      </w:r>
      <w:r w:rsidRPr="009D3FCB">
        <w:rPr>
          <w:rFonts w:ascii="黑体" w:eastAsia="黑体" w:hAnsi="黑体" w:hint="eastAsia"/>
          <w:b/>
          <w:sz w:val="32"/>
          <w:szCs w:val="32"/>
        </w:rPr>
        <w:t>问题</w:t>
      </w:r>
    </w:p>
    <w:p w:rsidR="00385DDD" w:rsidRDefault="00385DDD" w:rsidP="00385DDD">
      <w:pPr>
        <w:adjustRightInd w:val="0"/>
        <w:snapToGrid w:val="0"/>
        <w:spacing w:line="580" w:lineRule="exact"/>
        <w:ind w:firstLineChars="200" w:firstLine="640"/>
        <w:rPr>
          <w:rFonts w:ascii="仿宋_GB2312" w:eastAsia="仿宋_GB2312" w:hAnsi="宋体" w:cs="华文楷体"/>
          <w:bCs/>
          <w:sz w:val="32"/>
          <w:szCs w:val="32"/>
        </w:rPr>
      </w:pPr>
      <w:r>
        <w:rPr>
          <w:rFonts w:eastAsia="方正仿宋简体" w:hint="eastAsia"/>
          <w:sz w:val="32"/>
          <w:szCs w:val="32"/>
        </w:rPr>
        <w:t>夫妻之间所达成的忠诚协议的效力，既不能完全根据意思自治原则来判断其效力，也不能简单地全部否定其效力，应当根据协议内容是否违反法律、是否违背公序良俗、是否侵犯另一方当事人的人格尊严和人身自由等因素进行综合判断。</w:t>
      </w:r>
    </w:p>
    <w:p w:rsidR="00385DDD" w:rsidRDefault="00385DDD" w:rsidP="00385DDD">
      <w:pPr>
        <w:adjustRightInd w:val="0"/>
        <w:snapToGrid w:val="0"/>
        <w:spacing w:line="580" w:lineRule="exact"/>
        <w:ind w:firstLineChars="200" w:firstLine="640"/>
        <w:rPr>
          <w:rFonts w:ascii="仿宋_GB2312" w:eastAsia="仿宋_GB2312" w:hAnsi="宋体" w:cs="华文楷体"/>
          <w:bCs/>
          <w:sz w:val="32"/>
          <w:szCs w:val="32"/>
        </w:rPr>
      </w:pPr>
    </w:p>
    <w:p w:rsidR="00385DDD" w:rsidRPr="003A6D2A" w:rsidRDefault="00385DDD" w:rsidP="00385DDD">
      <w:pPr>
        <w:adjustRightInd w:val="0"/>
        <w:snapToGrid w:val="0"/>
        <w:spacing w:line="580" w:lineRule="exact"/>
        <w:ind w:firstLineChars="200" w:firstLine="640"/>
        <w:rPr>
          <w:rFonts w:ascii="仿宋_GB2312" w:eastAsia="仿宋_GB2312"/>
          <w:snapToGrid w:val="0"/>
          <w:kern w:val="0"/>
          <w:sz w:val="32"/>
          <w:szCs w:val="32"/>
        </w:rPr>
      </w:pPr>
      <w:r w:rsidRPr="003A6D2A">
        <w:rPr>
          <w:rFonts w:ascii="仿宋_GB2312" w:eastAsia="仿宋_GB2312" w:hint="eastAsia"/>
          <w:snapToGrid w:val="0"/>
          <w:kern w:val="0"/>
          <w:sz w:val="32"/>
          <w:szCs w:val="32"/>
        </w:rPr>
        <w:t>特此通报</w:t>
      </w:r>
    </w:p>
    <w:p w:rsidR="00385DDD" w:rsidRDefault="00385DDD" w:rsidP="00385DDD">
      <w:pPr>
        <w:adjustRightInd w:val="0"/>
        <w:snapToGrid w:val="0"/>
        <w:spacing w:line="580" w:lineRule="exact"/>
        <w:ind w:right="160" w:firstLineChars="200" w:firstLine="640"/>
        <w:jc w:val="right"/>
        <w:rPr>
          <w:rFonts w:ascii="方正仿宋_GBK" w:eastAsia="方正仿宋_GBK"/>
          <w:snapToGrid w:val="0"/>
          <w:kern w:val="0"/>
          <w:sz w:val="32"/>
          <w:szCs w:val="32"/>
        </w:rPr>
      </w:pPr>
    </w:p>
    <w:p w:rsidR="00385DDD" w:rsidRDefault="00385DDD" w:rsidP="00385DDD">
      <w:pPr>
        <w:adjustRightInd w:val="0"/>
        <w:snapToGrid w:val="0"/>
        <w:spacing w:line="580" w:lineRule="exact"/>
        <w:ind w:right="320" w:firstLineChars="200" w:firstLine="640"/>
        <w:jc w:val="right"/>
        <w:rPr>
          <w:rFonts w:ascii="方正仿宋_GBK" w:eastAsia="方正仿宋_GBK"/>
          <w:snapToGrid w:val="0"/>
          <w:kern w:val="0"/>
          <w:sz w:val="32"/>
          <w:szCs w:val="32"/>
        </w:rPr>
      </w:pPr>
      <w:r>
        <w:rPr>
          <w:rFonts w:ascii="方正仿宋_GBK" w:eastAsia="方正仿宋_GBK" w:hint="eastAsia"/>
          <w:snapToGrid w:val="0"/>
          <w:kern w:val="0"/>
          <w:sz w:val="32"/>
          <w:szCs w:val="32"/>
        </w:rPr>
        <w:t>市高法院民一庭</w:t>
      </w:r>
    </w:p>
    <w:p w:rsidR="00385DDD" w:rsidRPr="00F21AA8" w:rsidRDefault="00385DDD" w:rsidP="00385DDD">
      <w:pPr>
        <w:adjustRightInd w:val="0"/>
        <w:snapToGrid w:val="0"/>
        <w:spacing w:line="580" w:lineRule="exact"/>
        <w:ind w:firstLineChars="200" w:firstLine="640"/>
        <w:jc w:val="right"/>
        <w:rPr>
          <w:rFonts w:ascii="方正仿宋_GBK" w:eastAsia="方正仿宋_GBK"/>
          <w:snapToGrid w:val="0"/>
          <w:kern w:val="0"/>
          <w:sz w:val="32"/>
          <w:szCs w:val="32"/>
        </w:rPr>
      </w:pPr>
      <w:r>
        <w:rPr>
          <w:rFonts w:ascii="方正仿宋_GBK" w:eastAsia="方正仿宋_GBK" w:hint="eastAsia"/>
          <w:snapToGrid w:val="0"/>
          <w:kern w:val="0"/>
          <w:sz w:val="32"/>
          <w:szCs w:val="32"/>
        </w:rPr>
        <w:t xml:space="preserve"> 2017年10月13日</w:t>
      </w:r>
    </w:p>
    <w:p w:rsidR="00385DDD" w:rsidRPr="00BC197C" w:rsidRDefault="00385DDD" w:rsidP="00385DDD">
      <w:pPr>
        <w:rPr>
          <w:szCs w:val="32"/>
        </w:rPr>
      </w:pPr>
    </w:p>
    <w:p w:rsidR="00385DDD" w:rsidRDefault="00385DDD" w:rsidP="00385DDD"/>
    <w:p w:rsidR="000670E5" w:rsidRDefault="000670E5"/>
    <w:sectPr w:rsidR="000670E5" w:rsidSect="00964B02">
      <w:headerReference w:type="default" r:id="rId6"/>
      <w:footerReference w:type="even" r:id="rId7"/>
      <w:footerReference w:type="default" r:id="rId8"/>
      <w:pgSz w:w="11906" w:h="16838" w:code="9"/>
      <w:pgMar w:top="1814" w:right="1474" w:bottom="1814" w:left="1588" w:header="851" w:footer="141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0E1" w:rsidRDefault="007170E1" w:rsidP="00FB63E2">
      <w:r>
        <w:separator/>
      </w:r>
    </w:p>
  </w:endnote>
  <w:endnote w:type="continuationSeparator" w:id="0">
    <w:p w:rsidR="007170E1" w:rsidRDefault="007170E1" w:rsidP="00FB6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2" w:rsidRPr="00621E05" w:rsidRDefault="00385DDD" w:rsidP="00964B02">
    <w:pPr>
      <w:pStyle w:val="a4"/>
      <w:ind w:leftChars="100" w:left="210" w:firstLineChars="100" w:firstLine="280"/>
      <w:rPr>
        <w:rFonts w:ascii="宋体" w:hAnsi="宋体"/>
        <w:sz w:val="28"/>
        <w:szCs w:val="28"/>
      </w:rPr>
    </w:pPr>
    <w:r>
      <w:rPr>
        <w:rFonts w:ascii="宋体" w:hAnsi="宋体" w:hint="eastAsia"/>
        <w:sz w:val="28"/>
        <w:szCs w:val="28"/>
      </w:rPr>
      <w:t xml:space="preserve">— </w:t>
    </w:r>
    <w:r w:rsidR="00FB63E2" w:rsidRPr="00621E05">
      <w:rPr>
        <w:rFonts w:ascii="宋体" w:hAnsi="宋体"/>
        <w:sz w:val="28"/>
        <w:szCs w:val="28"/>
      </w:rPr>
      <w:fldChar w:fldCharType="begin"/>
    </w:r>
    <w:r w:rsidRPr="00621E05">
      <w:rPr>
        <w:rFonts w:ascii="宋体" w:hAnsi="宋体"/>
        <w:sz w:val="28"/>
        <w:szCs w:val="28"/>
      </w:rPr>
      <w:instrText xml:space="preserve"> PAGE   \* MERGEFORMAT </w:instrText>
    </w:r>
    <w:r w:rsidR="00FB63E2" w:rsidRPr="00621E05">
      <w:rPr>
        <w:rFonts w:ascii="宋体" w:hAnsi="宋体"/>
        <w:sz w:val="28"/>
        <w:szCs w:val="28"/>
      </w:rPr>
      <w:fldChar w:fldCharType="separate"/>
    </w:r>
    <w:r w:rsidRPr="004F0B96">
      <w:rPr>
        <w:rFonts w:ascii="宋体" w:hAnsi="宋体"/>
        <w:noProof/>
        <w:sz w:val="28"/>
        <w:szCs w:val="28"/>
        <w:lang w:val="zh-CN"/>
      </w:rPr>
      <w:t>2</w:t>
    </w:r>
    <w:r w:rsidR="00FB63E2" w:rsidRPr="00621E05">
      <w:rPr>
        <w:rFonts w:ascii="宋体" w:hAnsi="宋体"/>
        <w:sz w:val="28"/>
        <w:szCs w:val="28"/>
      </w:rPr>
      <w:fldChar w:fldCharType="end"/>
    </w:r>
    <w:r>
      <w:rPr>
        <w:rFonts w:ascii="宋体" w:hAnsi="宋体" w:hint="eastAsia"/>
        <w:sz w:val="28"/>
        <w:szCs w:val="28"/>
      </w:rPr>
      <w:t xml:space="preserve"> —</w:t>
    </w:r>
  </w:p>
  <w:p w:rsidR="00964B02" w:rsidRDefault="007170E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2" w:rsidRPr="00621E05" w:rsidRDefault="00385DDD" w:rsidP="00964B02">
    <w:pPr>
      <w:pStyle w:val="a4"/>
      <w:wordWrap w:val="0"/>
      <w:ind w:rightChars="100" w:right="210"/>
      <w:jc w:val="right"/>
      <w:rPr>
        <w:rFonts w:ascii="宋体" w:hAnsi="宋体"/>
        <w:sz w:val="28"/>
        <w:szCs w:val="28"/>
      </w:rPr>
    </w:pPr>
    <w:r>
      <w:rPr>
        <w:rFonts w:ascii="宋体" w:hAnsi="宋体" w:hint="eastAsia"/>
        <w:sz w:val="28"/>
        <w:szCs w:val="28"/>
      </w:rPr>
      <w:t xml:space="preserve">— </w:t>
    </w:r>
    <w:r w:rsidR="00FB63E2" w:rsidRPr="00621E05">
      <w:rPr>
        <w:rFonts w:ascii="宋体" w:hAnsi="宋体"/>
        <w:sz w:val="28"/>
        <w:szCs w:val="28"/>
      </w:rPr>
      <w:fldChar w:fldCharType="begin"/>
    </w:r>
    <w:r w:rsidRPr="00621E05">
      <w:rPr>
        <w:rFonts w:ascii="宋体" w:hAnsi="宋体"/>
        <w:sz w:val="28"/>
        <w:szCs w:val="28"/>
      </w:rPr>
      <w:instrText xml:space="preserve"> PAGE   \* MERGEFORMAT </w:instrText>
    </w:r>
    <w:r w:rsidR="00FB63E2" w:rsidRPr="00621E05">
      <w:rPr>
        <w:rFonts w:ascii="宋体" w:hAnsi="宋体"/>
        <w:sz w:val="28"/>
        <w:szCs w:val="28"/>
      </w:rPr>
      <w:fldChar w:fldCharType="separate"/>
    </w:r>
    <w:r w:rsidR="00DD2C21" w:rsidRPr="00DD2C21">
      <w:rPr>
        <w:rFonts w:ascii="宋体" w:hAnsi="宋体"/>
        <w:noProof/>
        <w:sz w:val="28"/>
        <w:szCs w:val="28"/>
        <w:lang w:val="zh-CN"/>
      </w:rPr>
      <w:t>3</w:t>
    </w:r>
    <w:r w:rsidR="00FB63E2" w:rsidRPr="00621E05">
      <w:rPr>
        <w:rFonts w:ascii="宋体" w:hAnsi="宋体"/>
        <w:sz w:val="28"/>
        <w:szCs w:val="28"/>
      </w:rPr>
      <w:fldChar w:fldCharType="end"/>
    </w:r>
    <w:r>
      <w:rPr>
        <w:rFonts w:ascii="宋体" w:hAnsi="宋体" w:hint="eastAsia"/>
        <w:sz w:val="28"/>
        <w:szCs w:val="28"/>
      </w:rPr>
      <w:t xml:space="preserve"> —  </w:t>
    </w:r>
  </w:p>
  <w:p w:rsidR="00964B02" w:rsidRDefault="007170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0E1" w:rsidRDefault="007170E1" w:rsidP="00FB63E2">
      <w:r>
        <w:separator/>
      </w:r>
    </w:p>
  </w:footnote>
  <w:footnote w:type="continuationSeparator" w:id="0">
    <w:p w:rsidR="007170E1" w:rsidRDefault="007170E1" w:rsidP="00FB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2" w:rsidRDefault="007170E1" w:rsidP="00964B0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5DDD"/>
    <w:rsid w:val="000670E5"/>
    <w:rsid w:val="00385DDD"/>
    <w:rsid w:val="007170E1"/>
    <w:rsid w:val="00DD2C21"/>
    <w:rsid w:val="00FB63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D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385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385DDD"/>
    <w:rPr>
      <w:rFonts w:ascii="Times New Roman" w:eastAsia="宋体" w:hAnsi="Times New Roman" w:cs="Times New Roman"/>
      <w:sz w:val="18"/>
      <w:szCs w:val="18"/>
    </w:rPr>
  </w:style>
  <w:style w:type="paragraph" w:styleId="a4">
    <w:name w:val="footer"/>
    <w:basedOn w:val="a"/>
    <w:link w:val="Char0"/>
    <w:unhideWhenUsed/>
    <w:rsid w:val="00385DDD"/>
    <w:pPr>
      <w:tabs>
        <w:tab w:val="center" w:pos="4153"/>
        <w:tab w:val="right" w:pos="8306"/>
      </w:tabs>
      <w:snapToGrid w:val="0"/>
      <w:jc w:val="left"/>
    </w:pPr>
    <w:rPr>
      <w:sz w:val="18"/>
      <w:szCs w:val="18"/>
    </w:rPr>
  </w:style>
  <w:style w:type="character" w:customStyle="1" w:styleId="Char0">
    <w:name w:val="页脚 Char"/>
    <w:basedOn w:val="a0"/>
    <w:link w:val="a4"/>
    <w:rsid w:val="00385D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余宗权</dc:creator>
  <cp:lastModifiedBy>余宗权</cp:lastModifiedBy>
  <cp:revision>3</cp:revision>
  <dcterms:created xsi:type="dcterms:W3CDTF">2017-11-22T09:49:00Z</dcterms:created>
  <dcterms:modified xsi:type="dcterms:W3CDTF">2017-11-23T00:47:00Z</dcterms:modified>
</cp:coreProperties>
</file>