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大黑_GBK" w:hAnsi="方正大黑_GBK" w:eastAsia="方正大黑_GBK" w:cs="方正大黑_GBK"/>
          <w:sz w:val="44"/>
          <w:szCs w:val="44"/>
          <w:lang w:eastAsia="zh-CN"/>
        </w:rPr>
      </w:pPr>
      <w:r>
        <w:rPr>
          <w:rFonts w:hint="eastAsia" w:ascii="方正大黑_GBK" w:hAnsi="方正大黑_GBK" w:eastAsia="方正大黑_GBK" w:cs="方正大黑_GBK"/>
          <w:sz w:val="44"/>
          <w:szCs w:val="44"/>
          <w:lang w:eastAsia="zh-CN"/>
        </w:rPr>
        <w:t>关于刘昆伦所提问题的答复</w:t>
      </w:r>
    </w:p>
    <w:p>
      <w:pPr>
        <w:ind w:firstLine="880" w:firstLineChars="200"/>
        <w:rPr>
          <w:rFonts w:hint="eastAsia" w:ascii="方正大黑_GBK" w:hAnsi="方正大黑_GBK" w:eastAsia="方正大黑_GBK" w:cs="方正大黑_GBK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eastAsia="zh-CN"/>
        </w:rPr>
        <w:t>刘昆伦：</w:t>
      </w: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>你在反映的问题中，提出诉讼代理问题，诉讼费问题，送达问题，现答复如下：</w:t>
      </w: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>诉讼代理，已有委托人签名，代理律师签名，因此符合法律规定，且代理是帮助被告，对被代理人是有益的诉讼，为此程序合法。</w:t>
      </w: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>诉讼费问题，本案虽然驳回了原告的诉讼请求，但是被告仍然存在不当行为，只是损害结果事实，因原告举证不足没有获得支持，因此诉讼费原被告都应负担。</w:t>
      </w: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>送达的问题，书记员及法官助理送达时是通过邮寄送达的方式送达，信访人（被告）在执行中反映没有收到，后进行补送，也符合法律规定，且生效时间以第二次收到时间确定上诉期限，符合法律规定。</w:t>
      </w:r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>综上所述，信访人即被告未对本案提出上诉，2018渝0230民初5157号判决已经发生法律效力，反映的问题其理由不能成立。同时承办法官已对其详细解释过该问题，不存在态度不好问题，特作说明。</w:t>
      </w:r>
      <w:bookmarkStart w:id="0" w:name="_GoBack"/>
      <w:bookmarkEnd w:id="0"/>
    </w:p>
    <w:p>
      <w:pPr>
        <w:ind w:firstLine="320" w:firstLineChars="100"/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</w:pPr>
      <w:r>
        <w:rPr>
          <w:rFonts w:hint="eastAsia" w:ascii="方正大黑_GBK" w:hAnsi="方正大黑_GBK" w:eastAsia="方正大黑_GBK" w:cs="方正大黑_GBK"/>
          <w:sz w:val="32"/>
          <w:szCs w:val="32"/>
          <w:lang w:val="en-US" w:eastAsia="zh-CN"/>
        </w:rPr>
        <w:t xml:space="preserve">                        承办法官 余孝安</w:t>
      </w:r>
    </w:p>
    <w:p>
      <w:pPr>
        <w:ind w:firstLine="2200" w:firstLineChars="500"/>
        <w:rPr>
          <w:rFonts w:hint="eastAsia" w:ascii="方正大黑_GBK" w:hAnsi="方正大黑_GBK" w:eastAsia="方正大黑_GBK" w:cs="方正大黑_GBK"/>
          <w:sz w:val="44"/>
          <w:szCs w:val="44"/>
          <w:lang w:eastAsia="zh-CN"/>
        </w:rPr>
      </w:pPr>
    </w:p>
    <w:sectPr>
      <w:pgSz w:w="11906" w:h="16838"/>
      <w:pgMar w:top="1814" w:right="1644" w:bottom="181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1C954DFB"/>
    <w:rsid w:val="2AC603D8"/>
    <w:rsid w:val="32D73280"/>
    <w:rsid w:val="34FD4D03"/>
    <w:rsid w:val="3E971572"/>
    <w:rsid w:val="52567595"/>
    <w:rsid w:val="56257591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2019-09-25T03:48:16Z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