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(2019)渝0230民初2573号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原告:文小凤,女,1980年10月18日出生,汉族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重庆市丰都县三合街道久桓大道288号13幢26-3,</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512324198010181227。</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委托诉讼代理人：李忠，重庆洪宇律师事务所律师。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被告:张辉,男,1966年8月20日出生,汉族,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重庆市丰都县三合街道久桓大道288号13幢26-3,</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512324196608206530。</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文小凤</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张辉</w:t>
      </w:r>
      <w:r>
        <w:rPr>
          <w:rFonts w:hint="eastAsia" w:ascii="仿宋" w:hAnsi="仿宋" w:eastAsia="仿宋" w:cs="H-SS9-PK74820000a48-Identity-H"/>
          <w:kern w:val="0"/>
          <w:sz w:val="32"/>
          <w:szCs w:val="32"/>
        </w:rPr>
        <w:t>排除妨害纠纷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2019年5月13日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李忠</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张辉</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文小凤向本院提出诉讼请求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判令被告停止侵害，诉讼费由被告负担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原被告因感情不和，双方于</w:t>
      </w:r>
      <w:r>
        <w:rPr>
          <w:rFonts w:hint="eastAsia" w:ascii="仿宋" w:hAnsi="仿宋" w:eastAsia="仿宋" w:cs="H-SS9-PK74820000a48-Identity-H"/>
          <w:kern w:val="0"/>
          <w:sz w:val="32"/>
          <w:szCs w:val="32"/>
          <w:lang w:val="en-US" w:eastAsia="zh-CN"/>
        </w:rPr>
        <w:t>2018年9月27日在丰都县民政局登记离婚</w:t>
      </w:r>
      <w:r>
        <w:rPr>
          <w:rFonts w:hint="eastAsia" w:ascii="仿宋" w:hAnsi="仿宋" w:eastAsia="仿宋" w:cs="H-SS9-PK74820000a48-Identity-H"/>
          <w:kern w:val="0"/>
          <w:sz w:val="32"/>
          <w:szCs w:val="32"/>
          <w:lang w:eastAsia="zh-CN"/>
        </w:rPr>
        <w:t>，离婚时约定，在婚姻关系存续期间，以被告名义经营的丰都县朝华公园游乐场所中的茶园，由被告转租给原告经营，原告每年向被告支付</w:t>
      </w:r>
      <w:r>
        <w:rPr>
          <w:rFonts w:hint="eastAsia" w:ascii="仿宋" w:hAnsi="仿宋" w:eastAsia="仿宋" w:cs="H-SS9-PK74820000a48-Identity-H"/>
          <w:kern w:val="0"/>
          <w:sz w:val="32"/>
          <w:szCs w:val="32"/>
          <w:lang w:val="en-US" w:eastAsia="zh-CN"/>
        </w:rPr>
        <w:t>5万元租金</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现原告干扰原告经营，经相关部门调解未果，为此请求法院支持原告的诉讼请求。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张辉</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离婚时协议以</w:t>
      </w:r>
      <w:r>
        <w:rPr>
          <w:rFonts w:hint="eastAsia" w:ascii="仿宋" w:hAnsi="仿宋" w:eastAsia="仿宋" w:cs="H-SS9-PK74820000a48-Identity-H"/>
          <w:kern w:val="0"/>
          <w:sz w:val="32"/>
          <w:szCs w:val="32"/>
          <w:lang w:val="en-US" w:eastAsia="zh-CN"/>
        </w:rPr>
        <w:t>5万元租金</w:t>
      </w:r>
      <w:r>
        <w:rPr>
          <w:rFonts w:hint="eastAsia" w:ascii="仿宋" w:hAnsi="仿宋" w:eastAsia="仿宋" w:cs="H-SS9-PK74820000a48-Identity-H"/>
          <w:kern w:val="0"/>
          <w:sz w:val="32"/>
          <w:szCs w:val="32"/>
          <w:lang w:eastAsia="zh-CN"/>
        </w:rPr>
        <w:t>将茶园转原告经营是事实，但原告不履行协议，拖欠租金，并不按相关管理部门要求经营，被告才进行断电处理，断电后，原告交纳了拖欠的租金，被告及时恢复了供电，为此被告没有侵权行为，请求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文小凤</w:t>
      </w:r>
      <w:r>
        <w:rPr>
          <w:rFonts w:hint="eastAsia" w:ascii="仿宋" w:hAnsi="仿宋" w:eastAsia="仿宋" w:cs="SSJ-PK74820000a3c-Identity-H"/>
          <w:kern w:val="0"/>
          <w:sz w:val="32"/>
          <w:szCs w:val="32"/>
        </w:rPr>
        <w:t>与</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因感情不和，于</w:t>
      </w:r>
      <w:r>
        <w:rPr>
          <w:rFonts w:hint="eastAsia" w:ascii="仿宋" w:hAnsi="仿宋" w:eastAsia="仿宋" w:cs="E-BZ9-PK74888-Identity-H"/>
          <w:kern w:val="0"/>
          <w:sz w:val="32"/>
          <w:szCs w:val="32"/>
          <w:lang w:val="en-US" w:eastAsia="zh-CN"/>
        </w:rPr>
        <w:t>2019年9月27日在丰都县民政局登记离婚，离婚时约定，</w:t>
      </w:r>
      <w:r>
        <w:rPr>
          <w:rFonts w:hint="eastAsia" w:ascii="仿宋" w:hAnsi="仿宋" w:eastAsia="仿宋" w:cs="H-SS9-PK74820000a48-Identity-H"/>
          <w:kern w:val="0"/>
          <w:sz w:val="32"/>
          <w:szCs w:val="32"/>
          <w:lang w:eastAsia="zh-CN"/>
        </w:rPr>
        <w:t>丰都县朝华公园游乐园的主体经营权由</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全权负责经营管理，</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在</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经营期间租赁其中的茶园经营，每年提前向</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交纳租金</w:t>
      </w:r>
      <w:r>
        <w:rPr>
          <w:rFonts w:hint="eastAsia" w:ascii="仿宋" w:hAnsi="仿宋" w:eastAsia="仿宋" w:cs="E-BZ9-PK74888-Identity-H"/>
          <w:kern w:val="0"/>
          <w:sz w:val="32"/>
          <w:szCs w:val="32"/>
          <w:lang w:val="en-US" w:eastAsia="zh-CN"/>
        </w:rPr>
        <w:t>5万元，水、电、环境卫生由</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自己承担，并服从</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及绿化公司管理，若违反协议，</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有权收回经营权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2019年初因</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未向</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交纳租金及</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搭建简易棚被丰都县城市管理局限期整改问题，双方发生纠纷，</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为此断电逼</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交纳租金，</w:t>
      </w:r>
      <w:r>
        <w:rPr>
          <w:rFonts w:hint="eastAsia" w:ascii="仿宋" w:hAnsi="仿宋" w:eastAsia="仿宋" w:cs="E-BZ9-PK74888-Identity-H"/>
          <w:kern w:val="0"/>
          <w:sz w:val="32"/>
          <w:szCs w:val="32"/>
          <w:lang w:val="en-US" w:eastAsia="zh-CN"/>
        </w:rPr>
        <w:t>2019年3月9日，</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向</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交纳了</w:t>
      </w:r>
      <w:r>
        <w:rPr>
          <w:rFonts w:hint="eastAsia" w:ascii="仿宋" w:hAnsi="仿宋" w:eastAsia="仿宋" w:cs="E-BZ9-PK74888-Identity-H"/>
          <w:kern w:val="0"/>
          <w:sz w:val="32"/>
          <w:szCs w:val="32"/>
          <w:lang w:val="en-US" w:eastAsia="zh-CN"/>
        </w:rPr>
        <w:t>2019年租金，后</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恢复了供电。</w:t>
      </w:r>
      <w:r>
        <w:rPr>
          <w:rFonts w:hint="eastAsia" w:ascii="仿宋" w:hAnsi="仿宋" w:eastAsia="仿宋" w:cs="E-BZ9-PK74888-Identity-H"/>
          <w:kern w:val="0"/>
          <w:sz w:val="32"/>
          <w:szCs w:val="32"/>
          <w:lang w:val="en-US" w:eastAsia="zh-CN"/>
        </w:rPr>
        <w:t>2019年5月7日</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向</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val="en-US" w:eastAsia="zh-CN"/>
        </w:rPr>
        <w:t>交纳了2020年租金。</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上述事实有原被告的陈述、银行转账记录、证人证言、接报回执等证据，并经</w:t>
      </w:r>
      <w:bookmarkStart w:id="0" w:name="_GoBack"/>
      <w:bookmarkEnd w:id="0"/>
      <w:r>
        <w:rPr>
          <w:rFonts w:hint="eastAsia" w:ascii="仿宋" w:hAnsi="仿宋" w:eastAsia="仿宋" w:cs="E-BZ9-PK74888-Identity-H"/>
          <w:kern w:val="0"/>
          <w:sz w:val="32"/>
          <w:szCs w:val="32"/>
          <w:lang w:val="en-US" w:eastAsia="zh-CN"/>
        </w:rPr>
        <w:t>庭审举证、质证、认证予以确认。</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原被告双方在离婚时双方约定对丰都县朝华公园游乐园中茶园转租的内容，不违背法律强制性规定，对双方具有相对拘束力，原告</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未按协议向被告</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交纳租金属于违约行为，被告</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为此断电逼</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交纳租金履行义务，行为时间短暂，具有自力救济性质，因此不属于违法或者过错侵权行为，且该行为已经终止，为此原告</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请求本院判令被告</w:t>
      </w:r>
      <w:r>
        <w:rPr>
          <w:rFonts w:hint="eastAsia" w:ascii="仿宋" w:hAnsi="仿宋" w:eastAsia="仿宋" w:cs="E-BZ9-PK74888-Identity-H"/>
          <w:kern w:val="0"/>
          <w:sz w:val="32"/>
          <w:szCs w:val="32"/>
        </w:rPr>
        <w:t>张辉</w:t>
      </w:r>
      <w:r>
        <w:rPr>
          <w:rFonts w:hint="eastAsia" w:ascii="仿宋" w:hAnsi="仿宋" w:eastAsia="仿宋" w:cs="E-BZ9-PK74888-Identity-H"/>
          <w:kern w:val="0"/>
          <w:sz w:val="32"/>
          <w:szCs w:val="32"/>
          <w:lang w:eastAsia="zh-CN"/>
        </w:rPr>
        <w:t>停止侵害，缺乏事实依据及法律依据，其请求依法不能成立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《最高人民法院关于适用</w:t>
      </w:r>
      <w:r>
        <w:rPr>
          <w:rFonts w:hint="eastAsia" w:ascii="微软雅黑" w:hAnsi="微软雅黑" w:eastAsia="微软雅黑" w:cs="微软雅黑"/>
          <w:kern w:val="0"/>
          <w:sz w:val="32"/>
          <w:szCs w:val="32"/>
          <w:lang w:eastAsia="zh-CN"/>
        </w:rPr>
        <w:t>〈中华人民共和国民事诉讼法〉的解释</w:t>
      </w:r>
      <w:r>
        <w:rPr>
          <w:rFonts w:hint="eastAsia" w:ascii="仿宋" w:hAnsi="仿宋" w:eastAsia="仿宋" w:cs="H-SS9-PK74820000a48-Identity-H"/>
          <w:kern w:val="0"/>
          <w:sz w:val="32"/>
          <w:szCs w:val="32"/>
          <w:lang w:eastAsia="zh-CN"/>
        </w:rPr>
        <w:t>》第九十条、第九十一条之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驳回原告</w:t>
      </w:r>
      <w:r>
        <w:rPr>
          <w:rFonts w:hint="eastAsia" w:ascii="仿宋" w:hAnsi="仿宋" w:eastAsia="仿宋" w:cs="E-BZ9-PK74888-Identity-H"/>
          <w:kern w:val="0"/>
          <w:sz w:val="32"/>
          <w:szCs w:val="32"/>
        </w:rPr>
        <w:t>文小凤</w:t>
      </w:r>
      <w:r>
        <w:rPr>
          <w:rFonts w:hint="eastAsia" w:ascii="仿宋" w:hAnsi="仿宋" w:eastAsia="仿宋" w:cs="E-BZ9-PK74888-Identity-H"/>
          <w:kern w:val="0"/>
          <w:sz w:val="32"/>
          <w:szCs w:val="32"/>
          <w:lang w:eastAsia="zh-CN"/>
        </w:rPr>
        <w:t>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80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40元，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文小凤</w:t>
      </w:r>
      <w:r>
        <w:rPr>
          <w:rFonts w:hint="eastAsia" w:ascii="仿宋" w:hAnsi="仿宋" w:eastAsia="仿宋" w:cs="SSJ-PK74820000a3c-Identity-H"/>
          <w:kern w:val="0"/>
          <w:sz w:val="32"/>
          <w:szCs w:val="32"/>
        </w:rPr>
        <w:t>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二〇一九年六月二十日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20124A3"/>
    <w:rsid w:val="03AE2BBA"/>
    <w:rsid w:val="06B16E39"/>
    <w:rsid w:val="0E8B7AEF"/>
    <w:rsid w:val="1449073B"/>
    <w:rsid w:val="163830F5"/>
    <w:rsid w:val="17F23ECC"/>
    <w:rsid w:val="2AC603D8"/>
    <w:rsid w:val="32D73280"/>
    <w:rsid w:val="330E2D08"/>
    <w:rsid w:val="34FD4D03"/>
    <w:rsid w:val="361347F1"/>
    <w:rsid w:val="407663E7"/>
    <w:rsid w:val="56257591"/>
    <w:rsid w:val="696F18C6"/>
    <w:rsid w:val="76413484"/>
    <w:rsid w:val="77C90004"/>
    <w:rsid w:val="7CBE0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2019-06-20T09:09:49Z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