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(2019)渝0230民初2015号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原告:易酒批电子商务有限公司,统一社会信用代码91340200MA2N43Y323。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法定代表人：王朝成，董事长。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委托代理人：吕汶，安徽健友律师事务所律师。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被告:范福武,男,1982年6月21日出生,汉族,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重庆市丰都县富洲路5号8幢12-1,居民身份证512324198206213892。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委托诉讼代理人：罗杨，重庆创辉律师事务所律师。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易酒批电子商务有限公司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范福武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财产损害赔偿纠纷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2019年4月15日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易酒批电子商务有限公司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吕汶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范福武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及其委托诉讼代理人罗杨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易酒批电子商务有限公司向本院提出诉讼请求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判令被告偿还欠款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100万元，并承担本案诉讼费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2015年5月25日被告在原告处工作，2016年原告安排被告到福州百合春天进出口有限公司当经理，负责经营与管理，2017年原被告双方核帐，发现被告在经营期间造成原告损失179万元，被告承认该事实，并出具100万元的货款欠条，后经原告多次催还，被告拒不归还，为此请求法院判令被告偿还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范福武辩称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出具欠条属实，但欠条载明，以查帐为准，并且不是被告造成，虽然后经查帐，也系被告单方面行为，被告不予认可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另，即使被告经营管理造成了损失，也是给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福州百合春天进出口有限公司造成损失，应当由该公司向被告请求赔偿，为此原告主体不适格。综上，请求驳回原告的诉讼请求。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范福武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原系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易酒批电子商务有限公司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职工，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2016年被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易酒批电子商务有限公司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派往福州市销售点从事酒类销售业务及管理工作，货物由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易酒批电子商务有限公司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供给，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范福武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负责该办事处的货物销售、收款、与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易酒批电子商务有限公司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结算等工作，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2017年1月，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范福武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易酒批电子商务有限公司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结算，存在挪用款物情形，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范福武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为此给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易酒批电子商务有限公司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出具欠条一张，内容为“范福武欠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易酒批电子商务有限公司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货款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100万元（壹佰万元整），以查帐数额为准。欠货款人：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范福武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 xml:space="preserve"> 2017年1月16日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范福武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辞职离开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易酒批电子商务有限公司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上述事实有原被告的陈述，欠条等证据，并经庭审举证，质证，认证予以确认。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范福武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系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易酒批电子商务有限公司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职工，在派驻福州销售及管理工作期间，有勤勉工作的义务，可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范福武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在工作中未尽义务，导致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易酒批电子商务有限公司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款物被挪用，依法应当承担偿还的民事责任，金额以被告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范福武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出具的欠条载明的金额为准，为此确定为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100万元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范福武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辩称，不能以此确定，以查帐的金额确定，该主张事实，被告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范福武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依法有举证责任，本案庭审终结，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范福武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未举示其成立的有关证据，为此认定变更金额的事实不成立。被告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范福武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另辩称原告主体不适格的问题，本院认为，从案件查明的事实看，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范福武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系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易酒批电子商务有限公司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职工，派住福州工作仍然不改变劳动关系中的权利义务关系，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范福武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仍然对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易酒批电子商务有限公司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负有工作责任，同时销售的货物系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易酒批电子商务有限公司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所有，受到损害系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易酒批电子商务有限公司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，并且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范福武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出具的欠条载明的权利主体也系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易酒批电子商务有限公司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，因此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易酒批电子商务有限公司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属于适格原告，由此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范福武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这一辩理由也依法不能成立。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民法总则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一百三十七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条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第二款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第一百四十三条、第一百七十六条、第一百七十九条第一款第八项、《中华人民共和国侵权责任法》第二条、第六条第一款、第十五条第一款第六项、《最高人民法院关于适用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〈中华人民共和国民事诉讼法〉的解释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》第九十条、第九十一条之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范福武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在本判决发生法律效力后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30日内偿还原告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易酒批电子商务有限公司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欠款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1000000万元。</w:t>
      </w:r>
      <w:bookmarkStart w:id="0" w:name="_GoBack"/>
      <w:bookmarkEnd w:id="0"/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如果未按本判决指定的期间履行给付金钱义务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应当依照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中华人民共和国民事诉讼法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第二百五十三条规定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加倍支付迟延履行期间的债务利息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13800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6900元，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范福武负担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二〇一九年六月十七日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廖秋林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17777A7"/>
    <w:rsid w:val="02A96C0C"/>
    <w:rsid w:val="0D7E0B8D"/>
    <w:rsid w:val="100B450C"/>
    <w:rsid w:val="163830F5"/>
    <w:rsid w:val="1B8F501B"/>
    <w:rsid w:val="2AC603D8"/>
    <w:rsid w:val="2BAB2E45"/>
    <w:rsid w:val="2EBB2A20"/>
    <w:rsid w:val="32D73280"/>
    <w:rsid w:val="34FD4D03"/>
    <w:rsid w:val="37FC5B81"/>
    <w:rsid w:val="3A1F6175"/>
    <w:rsid w:val="3AE37E4A"/>
    <w:rsid w:val="499126A5"/>
    <w:rsid w:val="4CB248BA"/>
    <w:rsid w:val="50E36A12"/>
    <w:rsid w:val="56257591"/>
    <w:rsid w:val="567D3461"/>
    <w:rsid w:val="63F6257C"/>
    <w:rsid w:val="664E5D67"/>
    <w:rsid w:val="76413484"/>
    <w:rsid w:val="7937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2019-06-18T03:35:05Z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