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(2019)渝0230民初1305号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原告:殷素兰,女,1952年11月29日出生,汉族,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重庆市丰都县兴义镇水天坪5组77号,</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512324195211294769。</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委托诉讼代理人：彭波</w:t>
      </w:r>
      <w:r>
        <w:rPr>
          <w:rFonts w:hint="eastAsia" w:ascii="仿宋" w:hAnsi="仿宋" w:eastAsia="仿宋" w:cs="SSJ-PK74820000a3c-Identity-H"/>
          <w:kern w:val="0"/>
          <w:sz w:val="32"/>
          <w:szCs w:val="32"/>
          <w:lang w:val="en-US" w:eastAsia="zh-CN"/>
        </w:rPr>
        <w:t>(原告之子)</w:t>
      </w:r>
      <w:r>
        <w:rPr>
          <w:rFonts w:hint="eastAsia" w:ascii="仿宋" w:hAnsi="仿宋" w:eastAsia="仿宋" w:cs="SSJ-PK74820000a3c-Identity-H"/>
          <w:kern w:val="0"/>
          <w:sz w:val="32"/>
          <w:szCs w:val="32"/>
          <w:lang w:eastAsia="zh-CN"/>
        </w:rPr>
        <w:t>，汉族，居民，住重庆市丰都县</w:t>
      </w:r>
      <w:r>
        <w:rPr>
          <w:rFonts w:hint="eastAsia" w:ascii="仿宋" w:hAnsi="仿宋" w:eastAsia="仿宋" w:cs="SSJ-PK74820000a3c-Identity-H"/>
          <w:kern w:val="0"/>
          <w:sz w:val="32"/>
          <w:szCs w:val="32"/>
        </w:rPr>
        <w:t>兴义镇水天坪5组77号,</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lang w:val="en-US" w:eastAsia="zh-CN"/>
        </w:rPr>
        <w:t>500230198605014872。</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val="en-US" w:eastAsia="zh-CN"/>
        </w:rPr>
        <w:t>委托诉讼代理人：彭秀明，重庆市丰都县名山法律服务所法律工作者。</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被告:熊国发,男,1969年7月20日出生,汉族,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重庆市丰都县高家镇汶溪村4组278号,</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512324196907200294。</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殷素兰</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熊国发</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2019年3月13日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殷素兰</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彭波</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lang w:val="en-US" w:eastAsia="zh-CN"/>
        </w:rPr>
        <w:t>彭秀明、</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熊国发</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殷素兰向本院提出诉讼请求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判令被告赔偿原告的医疗费、残疾赔偿金、护理费、后续医疗费、误工费、交通费、精神损害抚慰金等共计</w:t>
      </w:r>
      <w:r>
        <w:rPr>
          <w:rFonts w:hint="eastAsia" w:ascii="仿宋" w:hAnsi="仿宋" w:eastAsia="仿宋" w:cs="H-SS9-PK74820000a48-Identity-H"/>
          <w:kern w:val="0"/>
          <w:sz w:val="32"/>
          <w:szCs w:val="32"/>
          <w:lang w:val="en-US" w:eastAsia="zh-CN"/>
        </w:rPr>
        <w:t>1341940.91元</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2017年9月24日5时50分许，</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熊国发</w:t>
      </w:r>
      <w:r>
        <w:rPr>
          <w:rFonts w:hint="eastAsia" w:ascii="仿宋" w:hAnsi="仿宋" w:eastAsia="仿宋" w:cs="E-BZ9-PK74888-Identity-H"/>
          <w:kern w:val="0"/>
          <w:sz w:val="32"/>
          <w:szCs w:val="32"/>
          <w:lang w:eastAsia="zh-CN"/>
        </w:rPr>
        <w:t>驾驶无号牌新达铃木牌电动三轮车，由丰都县高家镇文溪村往丰都县三合街道方向行驶，当车行驶至丰都县省道</w:t>
      </w:r>
      <w:r>
        <w:rPr>
          <w:rFonts w:hint="eastAsia" w:ascii="仿宋" w:hAnsi="仿宋" w:eastAsia="仿宋" w:cs="E-BZ9-PK74888-Identity-H"/>
          <w:kern w:val="0"/>
          <w:sz w:val="32"/>
          <w:szCs w:val="32"/>
          <w:lang w:val="en-US" w:eastAsia="zh-CN"/>
        </w:rPr>
        <w:t>105线237KM+90M（兴义镇张家沟路段）时，与原告相撞致原告受伤，后被告送原告到丰都县人民医院住院治疗，诊断为脑挫裂伤伴脑内血肿，外伤性蛛网膜下腔出血，枕骨骨折等，2018年9月24日转重庆市涪陵中心医院住院治疗，同月27日转回丰都县人民医院住院治疗，2018年4月9日好转出院，住院194天，后在丰都县兴义镇医院治疗。治疗期间被告支付丰都县人民医院医疗费29000元，护理费25880元，欠丰都县人民医院医疗费189000元。事故经丰都县公安局交通巡逻警察大队认定，</w:t>
      </w:r>
      <w:r>
        <w:rPr>
          <w:rFonts w:hint="eastAsia" w:ascii="仿宋" w:hAnsi="仿宋" w:eastAsia="仿宋" w:cs="SSJ-PK74820000a3c-Identity-H"/>
          <w:kern w:val="0"/>
          <w:sz w:val="32"/>
          <w:szCs w:val="32"/>
        </w:rPr>
        <w:t>熊国发</w:t>
      </w:r>
      <w:r>
        <w:rPr>
          <w:rFonts w:hint="eastAsia" w:ascii="仿宋" w:hAnsi="仿宋" w:eastAsia="仿宋" w:cs="SSJ-PK74820000a3c-Identity-H"/>
          <w:kern w:val="0"/>
          <w:sz w:val="32"/>
          <w:szCs w:val="32"/>
          <w:lang w:eastAsia="zh-CN"/>
        </w:rPr>
        <w:t>为全部过错，负事故全部责任，原告无过错无责任。原告的伤经司法鉴定为</w:t>
      </w:r>
      <w:r>
        <w:rPr>
          <w:rFonts w:hint="eastAsia" w:ascii="仿宋" w:hAnsi="仿宋" w:eastAsia="仿宋" w:cs="SSJ-PK74820000a3c-Identity-H"/>
          <w:kern w:val="0"/>
          <w:sz w:val="32"/>
          <w:szCs w:val="32"/>
          <w:lang w:val="en-US" w:eastAsia="zh-CN"/>
        </w:rPr>
        <w:t>2</w:t>
      </w:r>
      <w:r>
        <w:rPr>
          <w:rFonts w:hint="eastAsia" w:ascii="仿宋" w:hAnsi="仿宋" w:eastAsia="仿宋" w:cs="SSJ-PK74820000a3c-Identity-H"/>
          <w:kern w:val="0"/>
          <w:sz w:val="32"/>
          <w:szCs w:val="32"/>
          <w:lang w:eastAsia="zh-CN"/>
        </w:rPr>
        <w:t>级伤残，开颅术后伴软化灶形成属</w:t>
      </w:r>
      <w:r>
        <w:rPr>
          <w:rFonts w:hint="eastAsia" w:ascii="仿宋" w:hAnsi="仿宋" w:eastAsia="仿宋" w:cs="SSJ-PK74820000a3c-Identity-H"/>
          <w:kern w:val="0"/>
          <w:sz w:val="32"/>
          <w:szCs w:val="32"/>
          <w:lang w:val="en-US" w:eastAsia="zh-CN"/>
        </w:rPr>
        <w:t>10级</w:t>
      </w:r>
      <w:r>
        <w:rPr>
          <w:rFonts w:hint="eastAsia" w:ascii="仿宋" w:hAnsi="仿宋" w:eastAsia="仿宋" w:cs="SSJ-PK74820000a3c-Identity-H"/>
          <w:kern w:val="0"/>
          <w:sz w:val="32"/>
          <w:szCs w:val="32"/>
          <w:lang w:eastAsia="zh-CN"/>
        </w:rPr>
        <w:t>伤残，终身属完全护理依赖；营养时限</w:t>
      </w:r>
      <w:r>
        <w:rPr>
          <w:rFonts w:hint="eastAsia" w:ascii="仿宋" w:hAnsi="仿宋" w:eastAsia="仿宋" w:cs="SSJ-PK74820000a3c-Identity-H"/>
          <w:kern w:val="0"/>
          <w:sz w:val="32"/>
          <w:szCs w:val="32"/>
          <w:lang w:val="en-US" w:eastAsia="zh-CN"/>
        </w:rPr>
        <w:t>24个月；需后续医疗费14万元。综上所述，请求法院支持原告的诉讼请求。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熊国发辩称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原告也存在过错，应当减轻赔偿责任，原告家庭困难没有赔偿能力，已经支付的赔偿金应扣减，请求酌定处理</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2017年9月24日5时50分许，</w:t>
      </w:r>
      <w:r>
        <w:rPr>
          <w:rFonts w:hint="eastAsia" w:ascii="仿宋" w:hAnsi="仿宋" w:eastAsia="仿宋" w:cs="E-BZ9-PK74888-Identity-H"/>
          <w:kern w:val="0"/>
          <w:sz w:val="32"/>
          <w:szCs w:val="32"/>
        </w:rPr>
        <w:t>熊国发</w:t>
      </w:r>
      <w:r>
        <w:rPr>
          <w:rFonts w:hint="eastAsia" w:ascii="仿宋" w:hAnsi="仿宋" w:eastAsia="仿宋" w:cs="E-BZ9-PK74888-Identity-H"/>
          <w:kern w:val="0"/>
          <w:sz w:val="32"/>
          <w:szCs w:val="32"/>
          <w:lang w:eastAsia="zh-CN"/>
        </w:rPr>
        <w:t>驾驶无号牌新达铃木牌电动三轮车，由丰都县高家镇文溪村往丰都县三合街道方向行驶，当车行驶至丰都县省道</w:t>
      </w:r>
      <w:r>
        <w:rPr>
          <w:rFonts w:hint="eastAsia" w:ascii="仿宋" w:hAnsi="仿宋" w:eastAsia="仿宋" w:cs="E-BZ9-PK74888-Identity-H"/>
          <w:kern w:val="0"/>
          <w:sz w:val="32"/>
          <w:szCs w:val="32"/>
          <w:lang w:val="en-US" w:eastAsia="zh-CN"/>
        </w:rPr>
        <w:t>105线237KM+90M（兴义镇张家沟路段）时，与</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擦挂</w:t>
      </w:r>
      <w:r>
        <w:rPr>
          <w:rFonts w:hint="eastAsia" w:ascii="仿宋" w:hAnsi="仿宋" w:eastAsia="仿宋" w:cs="E-BZ9-PK74888-Identity-H"/>
          <w:kern w:val="0"/>
          <w:sz w:val="32"/>
          <w:szCs w:val="32"/>
          <w:lang w:val="en-US" w:eastAsia="zh-CN"/>
        </w:rPr>
        <w:t>致伤。当日上午送往丰都县人民医院住院治疗，诊断为脑挫裂伤伴脑内血肿，外伤性蛛网膜下腔出血，枕骨骨折等，2017年9月24日下午转重庆市涪陵中心医院住院治疗，同月27日转回丰都县人民医院住院治疗，2018年4月9日好转出院，住院194天，后在丰都县兴义镇卫生院治疗。住院期间</w:t>
      </w:r>
      <w:r>
        <w:rPr>
          <w:rFonts w:hint="eastAsia" w:ascii="仿宋" w:hAnsi="仿宋" w:eastAsia="仿宋" w:cs="SSJ-PK74820000a3c-Identity-H"/>
          <w:kern w:val="0"/>
          <w:sz w:val="32"/>
          <w:szCs w:val="32"/>
        </w:rPr>
        <w:t>殷素兰</w:t>
      </w:r>
      <w:r>
        <w:rPr>
          <w:rFonts w:hint="eastAsia" w:ascii="仿宋" w:hAnsi="仿宋" w:eastAsia="仿宋" w:cs="E-BZ9-PK74888-Identity-H"/>
          <w:kern w:val="0"/>
          <w:sz w:val="32"/>
          <w:szCs w:val="32"/>
          <w:lang w:val="en-US" w:eastAsia="zh-CN"/>
        </w:rPr>
        <w:t>花费的医疗费为，2017年9月24日在丰都县人民医院支付医疗费4006.77元，2017年9月24日至同年同月27日在重庆市涪陵中心医院支付医疗费56086.13元，2018年5月14日至2018年7月213日期间丰都县兴义镇卫生院治疗花去医疗费5448.76元，其中统筹支付3935.92元，</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支付为</w:t>
      </w:r>
      <w:r>
        <w:rPr>
          <w:rFonts w:hint="eastAsia" w:ascii="仿宋" w:hAnsi="仿宋" w:eastAsia="仿宋" w:cs="SSJ-PK74820000a3c-Identity-H"/>
          <w:kern w:val="0"/>
          <w:sz w:val="32"/>
          <w:szCs w:val="32"/>
          <w:lang w:val="en-US" w:eastAsia="zh-CN"/>
        </w:rPr>
        <w:t>1512.84元。</w:t>
      </w:r>
      <w:r>
        <w:rPr>
          <w:rFonts w:hint="eastAsia" w:ascii="仿宋" w:hAnsi="仿宋" w:eastAsia="仿宋" w:cs="E-BZ9-PK74888-Identity-H"/>
          <w:kern w:val="0"/>
          <w:sz w:val="32"/>
          <w:szCs w:val="32"/>
          <w:lang w:val="en-US" w:eastAsia="zh-CN"/>
        </w:rPr>
        <w:t>2017年9月27日至2018年4月9日</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在丰都县人民医院住院期间未结算实际医疗费，无实收医疗费发票。</w:t>
      </w:r>
      <w:r>
        <w:rPr>
          <w:rFonts w:hint="eastAsia" w:ascii="仿宋" w:hAnsi="仿宋" w:eastAsia="仿宋" w:cs="E-BZ9-PK74888-Identity-H"/>
          <w:kern w:val="0"/>
          <w:sz w:val="32"/>
          <w:szCs w:val="32"/>
          <w:lang w:val="en-US" w:eastAsia="zh-CN"/>
        </w:rPr>
        <w:t>被告</w:t>
      </w:r>
      <w:r>
        <w:rPr>
          <w:rFonts w:hint="eastAsia" w:ascii="仿宋" w:hAnsi="仿宋" w:eastAsia="仿宋" w:cs="SSJ-PK74820000a3c-Identity-H"/>
          <w:kern w:val="0"/>
          <w:sz w:val="32"/>
          <w:szCs w:val="32"/>
        </w:rPr>
        <w:t>熊国发</w:t>
      </w:r>
      <w:r>
        <w:rPr>
          <w:rFonts w:hint="eastAsia" w:ascii="仿宋" w:hAnsi="仿宋" w:eastAsia="仿宋" w:cs="E-BZ9-PK74888-Identity-H"/>
          <w:kern w:val="0"/>
          <w:sz w:val="32"/>
          <w:szCs w:val="32"/>
          <w:lang w:val="en-US" w:eastAsia="zh-CN"/>
        </w:rPr>
        <w:t>支付原告</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医疗费及护理费等共计</w:t>
      </w:r>
      <w:r>
        <w:rPr>
          <w:rFonts w:hint="eastAsia" w:ascii="仿宋" w:hAnsi="仿宋" w:eastAsia="仿宋" w:cs="SSJ-PK74820000a3c-Identity-H"/>
          <w:kern w:val="0"/>
          <w:sz w:val="32"/>
          <w:szCs w:val="32"/>
          <w:lang w:val="en-US" w:eastAsia="zh-CN"/>
        </w:rPr>
        <w:t>54880</w:t>
      </w:r>
      <w:r>
        <w:rPr>
          <w:rFonts w:hint="eastAsia" w:ascii="仿宋" w:hAnsi="仿宋" w:eastAsia="仿宋" w:cs="E-BZ9-PK74888-Identity-H"/>
          <w:kern w:val="0"/>
          <w:sz w:val="32"/>
          <w:szCs w:val="32"/>
          <w:lang w:val="en-US" w:eastAsia="zh-CN"/>
        </w:rPr>
        <w:t>元。事故经丰都县公安局交通巡逻警察大队认定，被告</w:t>
      </w:r>
      <w:r>
        <w:rPr>
          <w:rFonts w:hint="eastAsia" w:ascii="仿宋" w:hAnsi="仿宋" w:eastAsia="仿宋" w:cs="SSJ-PK74820000a3c-Identity-H"/>
          <w:kern w:val="0"/>
          <w:sz w:val="32"/>
          <w:szCs w:val="32"/>
        </w:rPr>
        <w:t>熊国发</w:t>
      </w:r>
      <w:r>
        <w:rPr>
          <w:rFonts w:hint="eastAsia" w:ascii="仿宋" w:hAnsi="仿宋" w:eastAsia="仿宋" w:cs="SSJ-PK74820000a3c-Identity-H"/>
          <w:kern w:val="0"/>
          <w:sz w:val="32"/>
          <w:szCs w:val="32"/>
          <w:lang w:eastAsia="zh-CN"/>
        </w:rPr>
        <w:t>为全部过错，负事故全部责任，原告</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无过错无责任。</w:t>
      </w:r>
      <w:r>
        <w:rPr>
          <w:rFonts w:hint="eastAsia" w:ascii="仿宋" w:hAnsi="仿宋" w:eastAsia="仿宋" w:cs="SSJ-PK74820000a3c-Identity-H"/>
          <w:kern w:val="0"/>
          <w:sz w:val="32"/>
          <w:szCs w:val="32"/>
          <w:lang w:val="en-US" w:eastAsia="zh-CN"/>
        </w:rPr>
        <w:t>重庆市丰都县名山法律服务所</w:t>
      </w:r>
      <w:r>
        <w:rPr>
          <w:rFonts w:hint="eastAsia" w:ascii="仿宋" w:hAnsi="仿宋" w:eastAsia="仿宋" w:cs="SSJ-PK74820000a3c-Identity-H"/>
          <w:kern w:val="0"/>
          <w:sz w:val="32"/>
          <w:szCs w:val="32"/>
          <w:lang w:eastAsia="zh-CN"/>
        </w:rPr>
        <w:t>于</w:t>
      </w:r>
      <w:r>
        <w:rPr>
          <w:rFonts w:hint="eastAsia" w:ascii="仿宋" w:hAnsi="仿宋" w:eastAsia="仿宋" w:cs="SSJ-PK74820000a3c-Identity-H"/>
          <w:kern w:val="0"/>
          <w:sz w:val="32"/>
          <w:szCs w:val="32"/>
          <w:lang w:val="en-US" w:eastAsia="zh-CN"/>
        </w:rPr>
        <w:t>2018年10月26日委托重庆市明正司法鉴定所对</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的伤进行司法鉴定，该鉴定所于</w:t>
      </w:r>
      <w:r>
        <w:rPr>
          <w:rFonts w:hint="eastAsia" w:ascii="仿宋" w:hAnsi="仿宋" w:eastAsia="仿宋" w:cs="SSJ-PK74820000a3c-Identity-H"/>
          <w:kern w:val="0"/>
          <w:sz w:val="32"/>
          <w:szCs w:val="32"/>
          <w:lang w:val="en-US" w:eastAsia="zh-CN"/>
        </w:rPr>
        <w:t>2018年10月30日作出</w:t>
      </w:r>
      <w:r>
        <w:rPr>
          <w:rFonts w:hint="eastAsia" w:ascii="仿宋" w:hAnsi="仿宋" w:eastAsia="仿宋" w:cs="SSJ-PK74820000a3c-Identity-H"/>
          <w:kern w:val="0"/>
          <w:sz w:val="32"/>
          <w:szCs w:val="32"/>
          <w:lang w:eastAsia="zh-CN"/>
        </w:rPr>
        <w:t>鉴定意见，意见为</w:t>
      </w:r>
      <w:r>
        <w:rPr>
          <w:rFonts w:hint="eastAsia" w:ascii="仿宋" w:hAnsi="仿宋" w:eastAsia="仿宋" w:cs="SSJ-PK74820000a3c-Identity-H"/>
          <w:kern w:val="0"/>
          <w:sz w:val="32"/>
          <w:szCs w:val="32"/>
          <w:lang w:val="en-US" w:eastAsia="zh-CN"/>
        </w:rPr>
        <w:t>1.</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重型颅脑损伤致三肢瘫伴完全性失语属</w:t>
      </w:r>
      <w:r>
        <w:rPr>
          <w:rFonts w:hint="eastAsia" w:ascii="仿宋" w:hAnsi="仿宋" w:eastAsia="仿宋" w:cs="SSJ-PK74820000a3c-Identity-H"/>
          <w:kern w:val="0"/>
          <w:sz w:val="32"/>
          <w:szCs w:val="32"/>
          <w:lang w:val="en-US" w:eastAsia="zh-CN"/>
        </w:rPr>
        <w:t>2</w:t>
      </w:r>
      <w:r>
        <w:rPr>
          <w:rFonts w:hint="eastAsia" w:ascii="仿宋" w:hAnsi="仿宋" w:eastAsia="仿宋" w:cs="SSJ-PK74820000a3c-Identity-H"/>
          <w:kern w:val="0"/>
          <w:sz w:val="32"/>
          <w:szCs w:val="32"/>
          <w:lang w:eastAsia="zh-CN"/>
        </w:rPr>
        <w:t>级伤残，开颅术后伴软化灶形成属</w:t>
      </w:r>
      <w:r>
        <w:rPr>
          <w:rFonts w:hint="eastAsia" w:ascii="仿宋" w:hAnsi="仿宋" w:eastAsia="仿宋" w:cs="SSJ-PK74820000a3c-Identity-H"/>
          <w:kern w:val="0"/>
          <w:sz w:val="32"/>
          <w:szCs w:val="32"/>
          <w:lang w:val="en-US" w:eastAsia="zh-CN"/>
        </w:rPr>
        <w:t>10级</w:t>
      </w:r>
      <w:r>
        <w:rPr>
          <w:rFonts w:hint="eastAsia" w:ascii="仿宋" w:hAnsi="仿宋" w:eastAsia="仿宋" w:cs="SSJ-PK74820000a3c-Identity-H"/>
          <w:kern w:val="0"/>
          <w:sz w:val="32"/>
          <w:szCs w:val="32"/>
          <w:lang w:eastAsia="zh-CN"/>
        </w:rPr>
        <w:t>伤残。；</w:t>
      </w:r>
      <w:r>
        <w:rPr>
          <w:rFonts w:hint="eastAsia" w:ascii="仿宋" w:hAnsi="仿宋" w:eastAsia="仿宋" w:cs="SSJ-PK74820000a3c-Identity-H"/>
          <w:kern w:val="0"/>
          <w:sz w:val="32"/>
          <w:szCs w:val="32"/>
          <w:lang w:val="en-US" w:eastAsia="zh-CN"/>
        </w:rPr>
        <w:t>2.</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终身属完全护理依赖；</w:t>
      </w:r>
      <w:r>
        <w:rPr>
          <w:rFonts w:hint="eastAsia" w:ascii="仿宋" w:hAnsi="仿宋" w:eastAsia="仿宋" w:cs="SSJ-PK74820000a3c-Identity-H"/>
          <w:kern w:val="0"/>
          <w:sz w:val="32"/>
          <w:szCs w:val="32"/>
          <w:lang w:val="en-US" w:eastAsia="zh-CN"/>
        </w:rPr>
        <w:t>3.</w:t>
      </w:r>
      <w:r>
        <w:rPr>
          <w:rFonts w:hint="eastAsia" w:ascii="仿宋" w:hAnsi="仿宋" w:eastAsia="仿宋" w:cs="SSJ-PK74820000a3c-Identity-H"/>
          <w:kern w:val="0"/>
          <w:sz w:val="32"/>
          <w:szCs w:val="32"/>
          <w:lang w:eastAsia="zh-CN"/>
        </w:rPr>
        <w:t>营养时限</w:t>
      </w:r>
      <w:r>
        <w:rPr>
          <w:rFonts w:hint="eastAsia" w:ascii="仿宋" w:hAnsi="仿宋" w:eastAsia="仿宋" w:cs="SSJ-PK74820000a3c-Identity-H"/>
          <w:kern w:val="0"/>
          <w:sz w:val="32"/>
          <w:szCs w:val="32"/>
          <w:lang w:val="en-US" w:eastAsia="zh-CN"/>
        </w:rPr>
        <w:t>24个月；4.</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val="en-US" w:eastAsia="zh-CN"/>
        </w:rPr>
        <w:t>后续医疗费约为14万元，</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3550元。</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系城镇居民。</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上述事实有当事人的陈述、病历记录、医疗费发票、鉴定发票、渝公交认字</w:t>
      </w:r>
      <w:r>
        <w:rPr>
          <w:rFonts w:hint="eastAsia" w:ascii="微软雅黑" w:hAnsi="微软雅黑" w:eastAsia="微软雅黑" w:cs="微软雅黑"/>
          <w:kern w:val="0"/>
          <w:sz w:val="32"/>
          <w:szCs w:val="32"/>
          <w:lang w:eastAsia="zh-CN"/>
        </w:rPr>
        <w:t>[</w:t>
      </w:r>
      <w:r>
        <w:rPr>
          <w:rFonts w:hint="eastAsia" w:ascii="微软雅黑" w:hAnsi="微软雅黑" w:eastAsia="微软雅黑" w:cs="微软雅黑"/>
          <w:kern w:val="0"/>
          <w:sz w:val="32"/>
          <w:szCs w:val="32"/>
          <w:lang w:val="en-US" w:eastAsia="zh-CN"/>
        </w:rPr>
        <w:t>2017</w:t>
      </w:r>
      <w:r>
        <w:rPr>
          <w:rFonts w:hint="eastAsia" w:ascii="微软雅黑" w:hAnsi="微软雅黑" w:eastAsia="微软雅黑" w:cs="微软雅黑"/>
          <w:kern w:val="0"/>
          <w:sz w:val="32"/>
          <w:szCs w:val="32"/>
          <w:lang w:eastAsia="zh-CN"/>
        </w:rPr>
        <w:t>]第</w:t>
      </w:r>
      <w:r>
        <w:rPr>
          <w:rFonts w:hint="eastAsia" w:ascii="微软雅黑" w:hAnsi="微软雅黑" w:eastAsia="微软雅黑" w:cs="微软雅黑"/>
          <w:kern w:val="0"/>
          <w:sz w:val="32"/>
          <w:szCs w:val="32"/>
          <w:lang w:val="en-US" w:eastAsia="zh-CN"/>
        </w:rPr>
        <w:t>00093号道路交通事故责任认定书等证据，并经庭审举证、质证、认证予以确认。</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lang w:val="en-US" w:eastAsia="zh-CN"/>
        </w:rPr>
        <w:t>被告</w:t>
      </w:r>
      <w:r>
        <w:rPr>
          <w:rFonts w:hint="eastAsia" w:ascii="仿宋" w:hAnsi="仿宋" w:eastAsia="仿宋" w:cs="SSJ-PK74820000a3c-Identity-H"/>
          <w:kern w:val="0"/>
          <w:sz w:val="32"/>
          <w:szCs w:val="32"/>
        </w:rPr>
        <w:t>熊国发</w:t>
      </w:r>
      <w:r>
        <w:rPr>
          <w:rFonts w:hint="eastAsia" w:ascii="仿宋" w:hAnsi="仿宋" w:eastAsia="仿宋" w:cs="SSJ-PK74820000a3c-Identity-H"/>
          <w:kern w:val="0"/>
          <w:sz w:val="32"/>
          <w:szCs w:val="32"/>
          <w:lang w:eastAsia="zh-CN"/>
        </w:rPr>
        <w:t>在驾驶电动车过程中未尽谨慎驾驶的注意义务致伤原告</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熊国发</w:t>
      </w:r>
      <w:r>
        <w:rPr>
          <w:rFonts w:hint="eastAsia" w:ascii="仿宋" w:hAnsi="仿宋" w:eastAsia="仿宋" w:cs="SSJ-PK74820000a3c-Identity-H"/>
          <w:kern w:val="0"/>
          <w:sz w:val="32"/>
          <w:szCs w:val="32"/>
          <w:lang w:eastAsia="zh-CN"/>
        </w:rPr>
        <w:t>存在过错，依法应当承担赔偿责任，原告</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无过错，不承担责任</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熊国发</w:t>
      </w:r>
      <w:r>
        <w:rPr>
          <w:rFonts w:hint="eastAsia" w:ascii="仿宋" w:hAnsi="仿宋" w:eastAsia="仿宋" w:cs="SSJ-PK74820000a3c-Identity-H"/>
          <w:kern w:val="0"/>
          <w:sz w:val="32"/>
          <w:szCs w:val="32"/>
          <w:lang w:eastAsia="zh-CN"/>
        </w:rPr>
        <w:t>辩称，原告存在过错无证据支持其理由不能成立，辩称家庭经济困难，依法也不能成为减少赔偿责任理由，为此</w:t>
      </w: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熊国发</w:t>
      </w:r>
      <w:r>
        <w:rPr>
          <w:rFonts w:hint="eastAsia" w:ascii="仿宋" w:hAnsi="仿宋" w:eastAsia="仿宋" w:cs="SSJ-PK74820000a3c-Identity-H"/>
          <w:kern w:val="0"/>
          <w:sz w:val="32"/>
          <w:szCs w:val="32"/>
          <w:lang w:eastAsia="zh-CN"/>
        </w:rPr>
        <w:t>的辩称理由不能成立。</w:t>
      </w:r>
      <w:r>
        <w:rPr>
          <w:rFonts w:hint="eastAsia" w:ascii="仿宋" w:hAnsi="仿宋" w:eastAsia="仿宋" w:cs="H-SS9-PK74820000a48-Identity-H"/>
          <w:kern w:val="0"/>
          <w:sz w:val="32"/>
          <w:szCs w:val="32"/>
          <w:lang w:eastAsia="zh-CN"/>
        </w:rPr>
        <w:t>对于赔偿金额计算为，</w:t>
      </w:r>
      <w:r>
        <w:rPr>
          <w:rFonts w:hint="eastAsia" w:ascii="仿宋" w:hAnsi="仿宋" w:eastAsia="仿宋" w:cs="H-SS9-PK74820000a48-Identity-H"/>
          <w:kern w:val="0"/>
          <w:sz w:val="32"/>
          <w:szCs w:val="32"/>
          <w:lang w:val="en-US" w:eastAsia="zh-CN"/>
        </w:rPr>
        <w:t>1.医疗费按照医疗发票确定的，并结合</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实际支付</w:t>
      </w:r>
      <w:r>
        <w:rPr>
          <w:rFonts w:hint="eastAsia" w:ascii="仿宋" w:hAnsi="仿宋" w:eastAsia="仿宋" w:cs="H-SS9-PK74820000a48-Identity-H"/>
          <w:kern w:val="0"/>
          <w:sz w:val="32"/>
          <w:szCs w:val="32"/>
          <w:lang w:val="en-US" w:eastAsia="zh-CN"/>
        </w:rPr>
        <w:t>额计算，应为61605.74元；2.后续医疗费以司法鉴定意见确定的金额确定为140000元；3.护理费以原被告自认的10年为期限，以司法鉴定意见确定的完全护理依赖计算确定，计算为365天/年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10年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120元/天=438000元；4.残疾赔偿金为，32193元/年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15年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91%=439434.45元；5.住院伙食补助费为，60元/天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194天=11640元；6.营养费酌定为1000元；7.误工费，因原告已满60周岁，丧失劳动能力，因此该项不予计算；8.交通费酌定为300元；9.精神损害抚慰金酌定为35000元；10.鉴定费据实计算为</w:t>
      </w:r>
      <w:r>
        <w:rPr>
          <w:rFonts w:hint="eastAsia" w:ascii="仿宋" w:hAnsi="仿宋" w:eastAsia="仿宋" w:cs="SSJ-PK74820000a3c-Identity-H"/>
          <w:kern w:val="0"/>
          <w:sz w:val="32"/>
          <w:szCs w:val="32"/>
          <w:lang w:val="en-US" w:eastAsia="zh-CN"/>
        </w:rPr>
        <w:t>3550元，合计1130530.19元，扣减被告</w:t>
      </w:r>
      <w:r>
        <w:rPr>
          <w:rFonts w:hint="eastAsia" w:ascii="仿宋" w:hAnsi="仿宋" w:eastAsia="仿宋" w:cs="SSJ-PK74820000a3c-Identity-H"/>
          <w:kern w:val="0"/>
          <w:sz w:val="32"/>
          <w:szCs w:val="32"/>
        </w:rPr>
        <w:t>熊国发</w:t>
      </w:r>
      <w:r>
        <w:rPr>
          <w:rFonts w:hint="eastAsia" w:ascii="仿宋" w:hAnsi="仿宋" w:eastAsia="仿宋" w:cs="SSJ-PK74820000a3c-Identity-H"/>
          <w:kern w:val="0"/>
          <w:sz w:val="32"/>
          <w:szCs w:val="32"/>
          <w:lang w:eastAsia="zh-CN"/>
        </w:rPr>
        <w:t>已赔偿的费用</w:t>
      </w:r>
      <w:r>
        <w:rPr>
          <w:rFonts w:hint="eastAsia" w:ascii="仿宋" w:hAnsi="仿宋" w:eastAsia="仿宋" w:cs="SSJ-PK74820000a3c-Identity-H"/>
          <w:kern w:val="0"/>
          <w:sz w:val="32"/>
          <w:szCs w:val="32"/>
          <w:lang w:val="en-US" w:eastAsia="zh-CN"/>
        </w:rPr>
        <w:t>54880</w:t>
      </w:r>
      <w:r>
        <w:rPr>
          <w:rFonts w:hint="eastAsia" w:ascii="仿宋" w:hAnsi="仿宋" w:eastAsia="仿宋" w:cs="E-BZ9-PK74888-Identity-H"/>
          <w:kern w:val="0"/>
          <w:sz w:val="32"/>
          <w:szCs w:val="32"/>
          <w:lang w:val="en-US" w:eastAsia="zh-CN"/>
        </w:rPr>
        <w:t>元，被告</w:t>
      </w:r>
      <w:r>
        <w:rPr>
          <w:rFonts w:hint="eastAsia" w:ascii="仿宋" w:hAnsi="仿宋" w:eastAsia="仿宋" w:cs="SSJ-PK74820000a3c-Identity-H"/>
          <w:kern w:val="0"/>
          <w:sz w:val="32"/>
          <w:szCs w:val="32"/>
        </w:rPr>
        <w:t>熊国发</w:t>
      </w:r>
      <w:r>
        <w:rPr>
          <w:rFonts w:hint="eastAsia" w:ascii="仿宋" w:hAnsi="仿宋" w:eastAsia="仿宋" w:cs="E-BZ9-PK74888-Identity-H"/>
          <w:kern w:val="0"/>
          <w:sz w:val="32"/>
          <w:szCs w:val="32"/>
          <w:lang w:val="en-US" w:eastAsia="zh-CN"/>
        </w:rPr>
        <w:t>还应赔偿原告</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val="en-US" w:eastAsia="zh-CN"/>
        </w:rPr>
        <w:t>1075650.19元。</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六</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四十八条、《中华人民共和国道路交通安全法》第七十六条第一款第二项、《最高人民法院关于审理人身损失害赔偿案件适用法律若干问题的解释》第十七条第一、二款、第十八条、第十九条、第二十条第一款、第二十一条、第二十二条、第二十四条、第二十五条、《最高人民法院关于确定民事侵权精神损害赔偿责任若干问题的解释》第十条、《中华人民共和国民事诉讼法》第五十一条、《最高人民法院关于适用</w:t>
      </w:r>
      <w:r>
        <w:rPr>
          <w:rFonts w:hint="eastAsia" w:ascii="微软雅黑" w:hAnsi="微软雅黑" w:eastAsia="微软雅黑" w:cs="微软雅黑"/>
          <w:kern w:val="0"/>
          <w:sz w:val="32"/>
          <w:szCs w:val="32"/>
          <w:lang w:eastAsia="zh-CN"/>
        </w:rPr>
        <w:t>〈中华人民共和国民事诉讼法〉的解释</w:t>
      </w:r>
      <w:r>
        <w:rPr>
          <w:rFonts w:hint="eastAsia" w:ascii="仿宋" w:hAnsi="仿宋" w:eastAsia="仿宋" w:cs="H-SS9-PK74820000a48-Identity-H"/>
          <w:kern w:val="0"/>
          <w:sz w:val="32"/>
          <w:szCs w:val="32"/>
          <w:lang w:eastAsia="zh-CN"/>
        </w:rPr>
        <w:t>》第九十条、第九十一条第一项之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熊国发</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30日内赔偿原告</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经济损失</w:t>
      </w:r>
      <w:r>
        <w:rPr>
          <w:rFonts w:hint="eastAsia" w:ascii="仿宋" w:hAnsi="仿宋" w:eastAsia="仿宋" w:cs="SSJ-PK74820000a3c-Identity-H"/>
          <w:kern w:val="0"/>
          <w:sz w:val="32"/>
          <w:szCs w:val="32"/>
          <w:lang w:val="en-US" w:eastAsia="zh-CN"/>
        </w:rPr>
        <w:t>1075650.19元。</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驳回原告</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16877.46</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8438.73元，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殷素兰</w:t>
      </w:r>
      <w:r>
        <w:rPr>
          <w:rFonts w:hint="eastAsia" w:ascii="仿宋" w:hAnsi="仿宋" w:eastAsia="仿宋" w:cs="SSJ-PK74820000a3c-Identity-H"/>
          <w:kern w:val="0"/>
          <w:sz w:val="32"/>
          <w:szCs w:val="32"/>
          <w:lang w:eastAsia="zh-CN"/>
        </w:rPr>
        <w:t>负担</w:t>
      </w:r>
      <w:r>
        <w:rPr>
          <w:rFonts w:hint="eastAsia" w:ascii="仿宋" w:hAnsi="仿宋" w:eastAsia="仿宋" w:cs="SSJ-PK74820000a3c-Identity-H"/>
          <w:kern w:val="0"/>
          <w:sz w:val="32"/>
          <w:szCs w:val="32"/>
          <w:lang w:val="en-US" w:eastAsia="zh-CN"/>
        </w:rPr>
        <w:t>2100元本院决定予以免除</w:t>
      </w:r>
      <w:bookmarkStart w:id="0" w:name="_GoBack"/>
      <w:bookmarkEnd w:id="0"/>
      <w:r>
        <w:rPr>
          <w:rFonts w:hint="eastAsia" w:ascii="仿宋" w:hAnsi="仿宋" w:eastAsia="仿宋" w:cs="SSJ-PK74820000a3c-Identity-H"/>
          <w:kern w:val="0"/>
          <w:sz w:val="32"/>
          <w:szCs w:val="32"/>
          <w:lang w:val="en-US" w:eastAsia="zh-CN"/>
        </w:rPr>
        <w:t>，被告</w:t>
      </w:r>
      <w:r>
        <w:rPr>
          <w:rFonts w:hint="eastAsia" w:ascii="仿宋" w:hAnsi="仿宋" w:eastAsia="仿宋" w:cs="SSJ-PK74820000a3c-Identity-H"/>
          <w:kern w:val="0"/>
          <w:sz w:val="32"/>
          <w:szCs w:val="32"/>
        </w:rPr>
        <w:t>熊国发负担</w:t>
      </w:r>
      <w:r>
        <w:rPr>
          <w:rFonts w:hint="eastAsia" w:ascii="仿宋" w:hAnsi="仿宋" w:eastAsia="仿宋" w:cs="SSJ-PK74820000a3c-Identity-H"/>
          <w:kern w:val="0"/>
          <w:sz w:val="32"/>
          <w:szCs w:val="32"/>
          <w:lang w:val="en-US" w:eastAsia="zh-CN"/>
        </w:rPr>
        <w:t>6338.73元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二〇一九年四月二十八日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杨明容</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05282"/>
    <w:multiLevelType w:val="singleLevel"/>
    <w:tmpl w:val="F4F052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3D4519"/>
    <w:rsid w:val="00516622"/>
    <w:rsid w:val="00891D59"/>
    <w:rsid w:val="02C7598D"/>
    <w:rsid w:val="03C13152"/>
    <w:rsid w:val="07D05CF4"/>
    <w:rsid w:val="085E4A92"/>
    <w:rsid w:val="0D8D6F5B"/>
    <w:rsid w:val="145B1001"/>
    <w:rsid w:val="14E81E3C"/>
    <w:rsid w:val="163830F5"/>
    <w:rsid w:val="16AA5364"/>
    <w:rsid w:val="19560A64"/>
    <w:rsid w:val="1C1F6C91"/>
    <w:rsid w:val="1D413313"/>
    <w:rsid w:val="224D0305"/>
    <w:rsid w:val="262E479D"/>
    <w:rsid w:val="2AA447DC"/>
    <w:rsid w:val="2AC603D8"/>
    <w:rsid w:val="2C3A3A5B"/>
    <w:rsid w:val="32D27DB0"/>
    <w:rsid w:val="32D73280"/>
    <w:rsid w:val="34D71EBE"/>
    <w:rsid w:val="34FD4D03"/>
    <w:rsid w:val="358B4D43"/>
    <w:rsid w:val="36A1536B"/>
    <w:rsid w:val="370555C4"/>
    <w:rsid w:val="375008A6"/>
    <w:rsid w:val="43463301"/>
    <w:rsid w:val="464A611E"/>
    <w:rsid w:val="4BB04249"/>
    <w:rsid w:val="4C944A15"/>
    <w:rsid w:val="4C995033"/>
    <w:rsid w:val="505C3E14"/>
    <w:rsid w:val="52837AA9"/>
    <w:rsid w:val="534C2834"/>
    <w:rsid w:val="53B31462"/>
    <w:rsid w:val="56257591"/>
    <w:rsid w:val="56654929"/>
    <w:rsid w:val="58C23EEC"/>
    <w:rsid w:val="58E242E9"/>
    <w:rsid w:val="6064274A"/>
    <w:rsid w:val="660F64CD"/>
    <w:rsid w:val="67687516"/>
    <w:rsid w:val="6A1F2D41"/>
    <w:rsid w:val="71265FF3"/>
    <w:rsid w:val="71A73864"/>
    <w:rsid w:val="754C0424"/>
    <w:rsid w:val="76413484"/>
    <w:rsid w:val="764C7BF0"/>
    <w:rsid w:val="7D854976"/>
    <w:rsid w:val="7F107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6</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2019-04-30T07:38:50Z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