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(2018)渝0230民初5694号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原告:付之江,男,1981年3月16日出生,汉族,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重庆市丰都县高家镇金家坪村12组10号,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512324198103160273。</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委托诉讼代理人：付华荣，系原告之妹，住重庆市丰都县高家镇祥和路西段</w:t>
      </w:r>
      <w:r>
        <w:rPr>
          <w:rFonts w:hint="eastAsia" w:ascii="仿宋" w:hAnsi="仿宋" w:eastAsia="仿宋" w:cs="SSJ-PK74820000a3c-Identity-H"/>
          <w:kern w:val="0"/>
          <w:sz w:val="32"/>
          <w:szCs w:val="32"/>
          <w:lang w:val="en-US" w:eastAsia="zh-CN"/>
        </w:rPr>
        <w:t>88号4-1。</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val="en-US" w:eastAsia="zh-CN"/>
        </w:rPr>
        <w:t>委托诉讼代理人：冉泽槐，重庆市丰都县高家镇法律服务所法律工作者。</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被告:永安财产保险股份有限公司遂宁中心支公司,住所地四川省遂宁市遂州北路467号运管处二楼,统一社会信用代码91510900779830904Q。</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负责人：熊艺，总经理。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委托诉讼代理人：许军，该公司职工。</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被告：重庆玖万汽车运输有限公司，住所地重庆市綦江区文龙街道孟家院</w:t>
      </w:r>
      <w:r>
        <w:rPr>
          <w:rFonts w:hint="eastAsia" w:ascii="仿宋" w:hAnsi="仿宋" w:eastAsia="仿宋" w:cs="SSJ-PK74820000a3c-Identity-H"/>
          <w:kern w:val="0"/>
          <w:sz w:val="32"/>
          <w:szCs w:val="32"/>
          <w:lang w:val="en-US" w:eastAsia="zh-CN"/>
        </w:rPr>
        <w:t>263-4号，统一社会信用代码91500222000216562。</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法定代表人：张燕，经理。</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被告：秦杰，男，1983年7月26日出生，汉族，农民，住重庆市丰都县高家镇建国村5组83号，公民身份号码512324198307260276。</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被告:冯勇,男,1980年7月31日出生,汉族,</w:t>
      </w:r>
      <w:r>
        <w:rPr>
          <w:rFonts w:hint="eastAsia" w:ascii="仿宋" w:hAnsi="仿宋" w:eastAsia="仿宋" w:cs="SSJ-PK74820000a3c-Identity-H"/>
          <w:kern w:val="0"/>
          <w:sz w:val="32"/>
          <w:szCs w:val="32"/>
          <w:lang w:eastAsia="zh-CN"/>
        </w:rPr>
        <w:t>农民</w:t>
      </w:r>
      <w:r>
        <w:rPr>
          <w:rFonts w:hint="eastAsia" w:ascii="仿宋" w:hAnsi="仿宋" w:eastAsia="仿宋" w:cs="SSJ-PK74820000a3c-Identity-H"/>
          <w:kern w:val="0"/>
          <w:sz w:val="32"/>
          <w:szCs w:val="32"/>
        </w:rPr>
        <w:t>重庆市丰都县高家镇金刚</w:t>
      </w:r>
      <w:r>
        <w:rPr>
          <w:rFonts w:hint="eastAsia" w:ascii="仿宋" w:hAnsi="仿宋" w:eastAsia="仿宋" w:cs="SSJ-PK74820000a3c-Identity-H"/>
          <w:kern w:val="0"/>
          <w:sz w:val="32"/>
          <w:szCs w:val="32"/>
          <w:lang w:eastAsia="zh-CN"/>
        </w:rPr>
        <w:t>村</w:t>
      </w:r>
      <w:r>
        <w:rPr>
          <w:rFonts w:hint="eastAsia" w:ascii="仿宋" w:hAnsi="仿宋" w:eastAsia="仿宋" w:cs="SSJ-PK74820000a3c-Identity-H"/>
          <w:kern w:val="0"/>
          <w:sz w:val="32"/>
          <w:szCs w:val="32"/>
        </w:rPr>
        <w:t>4组118号,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512324198007310278。</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lang w:val="en-US" w:eastAsia="zh-CN"/>
        </w:rPr>
        <w:t>秦杰、冯勇的委托诉讼代理人：刘川，重庆晨曲律师事务所律师。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第三人:中国人民财产保险有限公司丰都支公司,住所地重庆市</w:t>
      </w:r>
      <w:r>
        <w:rPr>
          <w:rFonts w:hint="eastAsia" w:ascii="仿宋" w:hAnsi="仿宋" w:eastAsia="仿宋" w:cs="SSJ-PK74820000a3c-Identity-H"/>
          <w:kern w:val="0"/>
          <w:sz w:val="32"/>
          <w:szCs w:val="32"/>
          <w:lang w:eastAsia="zh-CN"/>
        </w:rPr>
        <w:t>渝中区沧白路</w:t>
      </w:r>
      <w:r>
        <w:rPr>
          <w:rFonts w:hint="eastAsia" w:ascii="仿宋" w:hAnsi="仿宋" w:eastAsia="仿宋" w:cs="SSJ-PK74820000a3c-Identity-H"/>
          <w:kern w:val="0"/>
          <w:sz w:val="32"/>
          <w:szCs w:val="32"/>
          <w:lang w:val="en-US" w:eastAsia="zh-CN"/>
        </w:rPr>
        <w:t>10</w:t>
      </w:r>
      <w:r>
        <w:rPr>
          <w:rFonts w:hint="eastAsia" w:ascii="仿宋" w:hAnsi="仿宋" w:eastAsia="仿宋" w:cs="SSJ-PK74820000a3c-Identity-H"/>
          <w:kern w:val="0"/>
          <w:sz w:val="32"/>
          <w:szCs w:val="32"/>
        </w:rPr>
        <w:t>号,统一社会信用代码91500</w:t>
      </w:r>
      <w:r>
        <w:rPr>
          <w:rFonts w:hint="eastAsia" w:ascii="仿宋" w:hAnsi="仿宋" w:eastAsia="仿宋" w:cs="SSJ-PK74820000a3c-Identity-H"/>
          <w:kern w:val="0"/>
          <w:sz w:val="32"/>
          <w:szCs w:val="32"/>
          <w:lang w:val="en-US" w:eastAsia="zh-CN"/>
        </w:rPr>
        <w:t>00</w:t>
      </w:r>
      <w:r>
        <w:rPr>
          <w:rFonts w:hint="eastAsia" w:ascii="仿宋" w:hAnsi="仿宋" w:eastAsia="仿宋" w:cs="SSJ-PK74820000a3c-Identity-H"/>
          <w:kern w:val="0"/>
          <w:sz w:val="32"/>
          <w:szCs w:val="32"/>
        </w:rPr>
        <w:t>090</w:t>
      </w:r>
      <w:r>
        <w:rPr>
          <w:rFonts w:hint="eastAsia" w:ascii="仿宋" w:hAnsi="仿宋" w:eastAsia="仿宋" w:cs="SSJ-PK74820000a3c-Identity-H"/>
          <w:kern w:val="0"/>
          <w:sz w:val="32"/>
          <w:szCs w:val="32"/>
          <w:lang w:val="en-US" w:eastAsia="zh-CN"/>
        </w:rPr>
        <w:t>2883690B</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负责人：龙保勇，总经理。</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委托诉讼代理人：杨集，该公司职工。</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付之江</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冯勇,永安财产保险股份有限公司遂宁中心支公司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秦杰</w:t>
      </w:r>
      <w:r>
        <w:rPr>
          <w:rFonts w:hint="eastAsia" w:ascii="仿宋" w:hAnsi="仿宋" w:eastAsia="仿宋" w:cs="E-BZ9-PK74888-Identity-H"/>
          <w:kern w:val="0"/>
          <w:sz w:val="32"/>
          <w:szCs w:val="32"/>
          <w:lang w:eastAsia="zh-CN"/>
        </w:rPr>
        <w:t>、冯勇、</w:t>
      </w:r>
      <w:r>
        <w:rPr>
          <w:rFonts w:hint="eastAsia" w:ascii="仿宋" w:hAnsi="仿宋" w:eastAsia="仿宋" w:cs="E-BZ9-PK74888-Identity-H"/>
          <w:kern w:val="0"/>
          <w:sz w:val="32"/>
          <w:szCs w:val="32"/>
        </w:rPr>
        <w:t>重庆玖万汽车运输有限公司</w:t>
      </w:r>
      <w:r>
        <w:rPr>
          <w:rFonts w:hint="eastAsia" w:ascii="仿宋" w:hAnsi="仿宋" w:eastAsia="仿宋" w:cs="E-BZ9-PK74888-Identity-H"/>
          <w:kern w:val="0"/>
          <w:sz w:val="32"/>
          <w:szCs w:val="32"/>
          <w:lang w:eastAsia="zh-CN"/>
        </w:rPr>
        <w:t>、第三人</w:t>
      </w:r>
      <w:r>
        <w:rPr>
          <w:rFonts w:hint="eastAsia" w:ascii="仿宋" w:hAnsi="仿宋" w:eastAsia="仿宋" w:cs="SSJ-PK74820000a3c-Identity-H"/>
          <w:kern w:val="0"/>
          <w:sz w:val="32"/>
          <w:szCs w:val="32"/>
        </w:rPr>
        <w:t>中国人民财产保险有限公司丰都支公司</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2018年12月6日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付华荣和</w:t>
      </w:r>
      <w:r>
        <w:rPr>
          <w:rFonts w:hint="eastAsia" w:ascii="仿宋" w:hAnsi="仿宋" w:eastAsia="仿宋" w:cs="SSJ-PK74820000a3c-Identity-H"/>
          <w:kern w:val="0"/>
          <w:sz w:val="32"/>
          <w:szCs w:val="32"/>
          <w:lang w:val="en-US" w:eastAsia="zh-CN"/>
        </w:rPr>
        <w:t>冉泽槐、</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冯勇</w:t>
      </w:r>
      <w:r>
        <w:rPr>
          <w:rFonts w:hint="eastAsia" w:ascii="仿宋" w:hAnsi="仿宋" w:eastAsia="仿宋" w:cs="E-BZ9-PK74888-Identity-H"/>
          <w:kern w:val="0"/>
          <w:sz w:val="32"/>
          <w:szCs w:val="32"/>
          <w:lang w:eastAsia="zh-CN"/>
        </w:rPr>
        <w:t>和</w:t>
      </w:r>
      <w:r>
        <w:rPr>
          <w:rFonts w:hint="eastAsia" w:ascii="仿宋" w:hAnsi="仿宋" w:eastAsia="仿宋" w:cs="E-BZ9-PK74888-Identity-H"/>
          <w:kern w:val="0"/>
          <w:sz w:val="32"/>
          <w:szCs w:val="32"/>
        </w:rPr>
        <w:t>秦杰</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val="en-US" w:eastAsia="zh-CN"/>
        </w:rPr>
        <w:t>刘川、被告</w:t>
      </w:r>
      <w:r>
        <w:rPr>
          <w:rFonts w:hint="eastAsia" w:ascii="仿宋" w:hAnsi="仿宋" w:eastAsia="仿宋" w:cs="E-BZ9-PK74888-Identity-H"/>
          <w:kern w:val="0"/>
          <w:sz w:val="32"/>
          <w:szCs w:val="32"/>
        </w:rPr>
        <w:t>永安财产保险股份有限公司遂宁中心支公司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许军</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重庆玖万汽车运输有限公司</w:t>
      </w:r>
      <w:r>
        <w:rPr>
          <w:rFonts w:hint="eastAsia" w:ascii="仿宋" w:hAnsi="仿宋" w:eastAsia="仿宋" w:cs="E-BZ9-PK74888-Identity-H"/>
          <w:kern w:val="0"/>
          <w:sz w:val="32"/>
          <w:szCs w:val="32"/>
          <w:lang w:eastAsia="zh-CN"/>
        </w:rPr>
        <w:t>、第三人</w:t>
      </w:r>
      <w:r>
        <w:rPr>
          <w:rFonts w:hint="eastAsia" w:ascii="仿宋" w:hAnsi="仿宋" w:eastAsia="仿宋" w:cs="SSJ-PK74820000a3c-Identity-H"/>
          <w:kern w:val="0"/>
          <w:sz w:val="32"/>
          <w:szCs w:val="32"/>
        </w:rPr>
        <w:t>中国人民财产保险有限公司丰都支公司</w:t>
      </w:r>
      <w:r>
        <w:rPr>
          <w:rFonts w:hint="eastAsia" w:ascii="仿宋" w:hAnsi="仿宋" w:eastAsia="仿宋" w:cs="SSJ-PK74820000a3c-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付之江</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判令</w:t>
      </w:r>
      <w:r>
        <w:rPr>
          <w:rFonts w:hint="eastAsia" w:ascii="仿宋" w:hAnsi="仿宋" w:eastAsia="仿宋" w:cs="E-BZ9-PK74888-Identity-H"/>
          <w:kern w:val="0"/>
          <w:sz w:val="32"/>
          <w:szCs w:val="32"/>
        </w:rPr>
        <w:t>永安财产保险股份有限公司遂宁中心支公司</w:t>
      </w:r>
      <w:r>
        <w:rPr>
          <w:rFonts w:hint="eastAsia" w:ascii="仿宋" w:hAnsi="仿宋" w:eastAsia="仿宋" w:cs="E-BZ9-PK74888-Identity-H"/>
          <w:kern w:val="0"/>
          <w:sz w:val="32"/>
          <w:szCs w:val="32"/>
          <w:lang w:eastAsia="zh-CN"/>
        </w:rPr>
        <w:t>在交强险及商业保险范围内赔偿原告经济损失，不足部分由其余被告赔偿，共计赔偿金额</w:t>
      </w:r>
      <w:r>
        <w:rPr>
          <w:rFonts w:hint="eastAsia" w:ascii="仿宋" w:hAnsi="仿宋" w:eastAsia="仿宋" w:cs="E-BZ9-PK74888-Identity-H"/>
          <w:kern w:val="0"/>
          <w:sz w:val="32"/>
          <w:szCs w:val="32"/>
          <w:lang w:val="en-US" w:eastAsia="zh-CN"/>
        </w:rPr>
        <w:t>636378.2元，诉讼费由被告负担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2018年8月21日16时36分，被告</w:t>
      </w:r>
      <w:r>
        <w:rPr>
          <w:rFonts w:hint="eastAsia" w:ascii="仿宋" w:hAnsi="仿宋" w:eastAsia="仿宋" w:cs="E-BZ9-PK74888-Identity-H"/>
          <w:kern w:val="0"/>
          <w:sz w:val="32"/>
          <w:szCs w:val="32"/>
        </w:rPr>
        <w:t>秦杰</w:t>
      </w:r>
      <w:r>
        <w:rPr>
          <w:rFonts w:hint="eastAsia" w:ascii="仿宋" w:hAnsi="仿宋" w:eastAsia="仿宋" w:cs="E-BZ9-PK74888-Identity-H"/>
          <w:kern w:val="0"/>
          <w:sz w:val="32"/>
          <w:szCs w:val="32"/>
          <w:lang w:eastAsia="zh-CN"/>
        </w:rPr>
        <w:t>驾驶</w:t>
      </w:r>
      <w:r>
        <w:rPr>
          <w:rFonts w:hint="eastAsia" w:ascii="仿宋" w:hAnsi="仿宋" w:eastAsia="仿宋" w:cs="E-BZ9-PK74888-Identity-H"/>
          <w:kern w:val="0"/>
          <w:sz w:val="32"/>
          <w:szCs w:val="32"/>
        </w:rPr>
        <w:t>重庆玖万汽车运输有限公司</w:t>
      </w:r>
      <w:r>
        <w:rPr>
          <w:rFonts w:hint="eastAsia" w:ascii="仿宋" w:hAnsi="仿宋" w:eastAsia="仿宋" w:cs="E-BZ9-PK74888-Identity-H"/>
          <w:kern w:val="0"/>
          <w:sz w:val="32"/>
          <w:szCs w:val="32"/>
          <w:lang w:eastAsia="zh-CN"/>
        </w:rPr>
        <w:t>所有的渝</w:t>
      </w:r>
      <w:r>
        <w:rPr>
          <w:rFonts w:hint="eastAsia" w:ascii="仿宋" w:hAnsi="仿宋" w:eastAsia="仿宋" w:cs="E-BZ9-PK74888-Identity-H"/>
          <w:kern w:val="0"/>
          <w:sz w:val="32"/>
          <w:szCs w:val="32"/>
          <w:lang w:val="en-US" w:eastAsia="zh-CN"/>
        </w:rPr>
        <w:t>A92181号重型自卸货车从丰都县高家镇汶溪村沿105省道往高家镇太运方向行驶，当车行驶至105省道261KM+330M路段时，与相对方向行驶的</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驾驶的渝</w:t>
      </w:r>
      <w:r>
        <w:rPr>
          <w:rFonts w:hint="eastAsia" w:ascii="仿宋" w:hAnsi="仿宋" w:eastAsia="仿宋" w:cs="E-BZ9-PK74888-Identity-H"/>
          <w:kern w:val="0"/>
          <w:sz w:val="32"/>
          <w:szCs w:val="32"/>
          <w:lang w:val="en-US" w:eastAsia="zh-CN"/>
        </w:rPr>
        <w:t>DJ0466小型面包车</w:t>
      </w:r>
      <w:r>
        <w:rPr>
          <w:rFonts w:hint="eastAsia" w:ascii="仿宋" w:hAnsi="仿宋" w:eastAsia="仿宋" w:cs="E-BZ9-PK74888-Identity-H"/>
          <w:kern w:val="0"/>
          <w:sz w:val="32"/>
          <w:szCs w:val="32"/>
          <w:lang w:eastAsia="zh-CN"/>
        </w:rPr>
        <w:t>相撞，造成两车受损，</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受伤，当日</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被送往丰都县人民医院住院治疗，后转重庆医科大学附属第一医院住院治疗，共计花费治疗费</w:t>
      </w:r>
      <w:r>
        <w:rPr>
          <w:rFonts w:hint="eastAsia" w:ascii="仿宋" w:hAnsi="仿宋" w:eastAsia="仿宋" w:cs="E-BZ9-PK74888-Identity-H"/>
          <w:kern w:val="0"/>
          <w:sz w:val="32"/>
          <w:szCs w:val="32"/>
          <w:lang w:val="en-US" w:eastAsia="zh-CN"/>
        </w:rPr>
        <w:t>13万余元，</w:t>
      </w:r>
      <w:r>
        <w:rPr>
          <w:rFonts w:hint="eastAsia" w:ascii="仿宋" w:hAnsi="仿宋" w:eastAsia="仿宋" w:cs="E-BZ9-PK74888-Identity-H"/>
          <w:kern w:val="0"/>
          <w:sz w:val="32"/>
          <w:szCs w:val="32"/>
        </w:rPr>
        <w:t>秦杰</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2万元，</w:t>
      </w:r>
      <w:r>
        <w:rPr>
          <w:rFonts w:hint="eastAsia" w:ascii="仿宋" w:hAnsi="仿宋" w:eastAsia="仿宋" w:cs="E-BZ9-PK74888-Identity-H"/>
          <w:kern w:val="0"/>
          <w:sz w:val="32"/>
          <w:szCs w:val="32"/>
        </w:rPr>
        <w:t>永安财产保险股份有限公司遂宁中心支公司</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1万元，其余损失被告未支付，被扶养人有子女三人及妻子1人，父母二人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事故经丰都县公安局交通巡逻警察大队认定</w:t>
      </w:r>
      <w:r>
        <w:rPr>
          <w:rFonts w:hint="eastAsia" w:ascii="仿宋" w:hAnsi="仿宋" w:eastAsia="仿宋" w:cs="E-BZ9-PK74888-Identity-H"/>
          <w:kern w:val="0"/>
          <w:sz w:val="32"/>
          <w:szCs w:val="32"/>
        </w:rPr>
        <w:t>秦杰</w:t>
      </w:r>
      <w:r>
        <w:rPr>
          <w:rFonts w:hint="eastAsia" w:ascii="仿宋" w:hAnsi="仿宋" w:eastAsia="仿宋" w:cs="E-BZ9-PK74888-Identity-H"/>
          <w:kern w:val="0"/>
          <w:sz w:val="32"/>
          <w:szCs w:val="32"/>
          <w:lang w:eastAsia="zh-CN"/>
        </w:rPr>
        <w:t>为全部过错负事故全部责任</w:t>
      </w:r>
      <w:r>
        <w:rPr>
          <w:rFonts w:hint="eastAsia" w:ascii="仿宋" w:hAnsi="仿宋" w:eastAsia="仿宋" w:cs="H-SS9-PK74820000a48-Identity-H"/>
          <w:kern w:val="0"/>
          <w:sz w:val="32"/>
          <w:szCs w:val="32"/>
          <w:lang w:eastAsia="zh-CN"/>
        </w:rPr>
        <w:t>，</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无过错不承担事故责任。为此请求法院判令被告赔偿原告的医疗费</w:t>
      </w:r>
      <w:r>
        <w:rPr>
          <w:rFonts w:hint="eastAsia" w:ascii="仿宋" w:hAnsi="仿宋" w:eastAsia="仿宋" w:cs="E-BZ9-PK74888-Identity-H"/>
          <w:kern w:val="0"/>
          <w:sz w:val="32"/>
          <w:szCs w:val="32"/>
          <w:lang w:val="en-US" w:eastAsia="zh-CN"/>
        </w:rPr>
        <w:t>119637.14元，护理费6120元，误工费2340元，住院伙食补助费1260元，交通费及住宿费1845元，营养费2000元，精神损害抚慰金20000元，残疾赔偿金383368元，后续医疗费34000元，鉴定费2100元，车辆损失15000元，共计636378.2元。</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永安财产保险股份有限公司遂宁中心支公司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发生交通事故是事实，</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A92181号重型自卸货车在本被告处投保了交强险及商业保险100万元，事故发生在保险期限内</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原告损失计算不正确，非医保用药部分不应当由本被告承担。其余只能依法计算赔偿，并且应当扣减已赔偿的部分。</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被告秦杰辩称，本被告系冯勇雇请的驾驶员，因此本被告不应当承担赔偿责任。</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被告冯勇辩称，</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在渝</w:t>
      </w:r>
      <w:r>
        <w:rPr>
          <w:rFonts w:hint="eastAsia" w:ascii="仿宋" w:hAnsi="仿宋" w:eastAsia="仿宋" w:cs="E-BZ9-PK74888-Identity-H"/>
          <w:kern w:val="0"/>
          <w:sz w:val="32"/>
          <w:szCs w:val="32"/>
          <w:lang w:val="en-US" w:eastAsia="zh-CN"/>
        </w:rPr>
        <w:t>A92181号车投保时，</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val="en-US" w:eastAsia="zh-CN"/>
        </w:rPr>
        <w:t>未尽告知义务，</w:t>
      </w:r>
      <w:r>
        <w:rPr>
          <w:rFonts w:hint="eastAsia" w:ascii="仿宋" w:hAnsi="仿宋" w:eastAsia="仿宋" w:cs="H-SS9-PK74820000a48-Identity-H"/>
          <w:kern w:val="0"/>
          <w:sz w:val="32"/>
          <w:szCs w:val="32"/>
          <w:lang w:eastAsia="zh-CN"/>
        </w:rPr>
        <w:t>非医保用药部分仍然应当由</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赔偿，</w:t>
      </w:r>
      <w:r>
        <w:rPr>
          <w:rFonts w:hint="eastAsia" w:ascii="仿宋" w:hAnsi="仿宋" w:eastAsia="仿宋" w:cs="H-SS9-PK74820000a48-Identity-H"/>
          <w:kern w:val="0"/>
          <w:sz w:val="32"/>
          <w:szCs w:val="32"/>
          <w:lang w:eastAsia="zh-CN"/>
        </w:rPr>
        <w:t>秦杰系本被告雇请的驾驶员是事实，</w:t>
      </w:r>
      <w:r>
        <w:rPr>
          <w:rFonts w:hint="eastAsia" w:ascii="仿宋" w:hAnsi="仿宋" w:eastAsia="仿宋" w:cs="E-BZ9-PK74888-Identity-H"/>
          <w:kern w:val="0"/>
          <w:sz w:val="32"/>
          <w:szCs w:val="32"/>
          <w:lang w:eastAsia="zh-CN"/>
        </w:rPr>
        <w:t>其余意见与</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一致。</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重庆玖万汽车运输有限公司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玖万</w:t>
      </w:r>
      <w:r>
        <w:rPr>
          <w:rFonts w:hint="eastAsia" w:ascii="仿宋" w:hAnsi="仿宋" w:eastAsia="仿宋" w:cs="E-BZ9-PK74888-Identity-H"/>
          <w:kern w:val="0"/>
          <w:sz w:val="32"/>
          <w:szCs w:val="32"/>
          <w:lang w:eastAsia="zh-CN"/>
        </w:rPr>
        <w:t>公司）未作答辩。</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第三人</w:t>
      </w:r>
      <w:r>
        <w:rPr>
          <w:rFonts w:hint="eastAsia" w:ascii="仿宋" w:hAnsi="仿宋" w:eastAsia="仿宋" w:cs="SSJ-PK74820000a3c-Identity-H"/>
          <w:kern w:val="0"/>
          <w:sz w:val="32"/>
          <w:szCs w:val="32"/>
        </w:rPr>
        <w:t>中国人民财产保险有限公司丰都支公司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丰都支公司</w:t>
      </w:r>
      <w:r>
        <w:rPr>
          <w:rFonts w:hint="eastAsia" w:ascii="仿宋" w:hAnsi="仿宋" w:eastAsia="仿宋" w:cs="SSJ-PK74820000a3c-Identity-H"/>
          <w:kern w:val="0"/>
          <w:sz w:val="32"/>
          <w:szCs w:val="32"/>
          <w:lang w:eastAsia="zh-CN"/>
        </w:rPr>
        <w:t>）书面</w:t>
      </w:r>
      <w:r>
        <w:rPr>
          <w:rFonts w:hint="eastAsia" w:ascii="仿宋" w:hAnsi="仿宋" w:eastAsia="仿宋" w:cs="E-BZ9-PK74888-Identity-H"/>
          <w:kern w:val="0"/>
          <w:sz w:val="32"/>
          <w:szCs w:val="32"/>
          <w:lang w:eastAsia="zh-CN"/>
        </w:rPr>
        <w:t>答辩称，在本公司投保的渝</w:t>
      </w:r>
      <w:r>
        <w:rPr>
          <w:rFonts w:hint="eastAsia" w:ascii="仿宋" w:hAnsi="仿宋" w:eastAsia="仿宋" w:cs="E-BZ9-PK74888-Identity-H"/>
          <w:kern w:val="0"/>
          <w:sz w:val="32"/>
          <w:szCs w:val="32"/>
          <w:lang w:val="en-US" w:eastAsia="zh-CN"/>
        </w:rPr>
        <w:t>DJ0466小型面包车无责任，因此本被告无责任</w:t>
      </w:r>
      <w:r>
        <w:rPr>
          <w:rFonts w:hint="eastAsia" w:ascii="仿宋" w:hAnsi="仿宋" w:eastAsia="仿宋" w:cs="E-BZ9-PK74888-Identity-H"/>
          <w:kern w:val="0"/>
          <w:sz w:val="32"/>
          <w:szCs w:val="32"/>
          <w:lang w:eastAsia="zh-CN"/>
        </w:rPr>
        <w:t>。</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2018年8月21日16时36分，</w:t>
      </w:r>
      <w:r>
        <w:rPr>
          <w:rFonts w:hint="eastAsia" w:ascii="仿宋" w:hAnsi="仿宋" w:eastAsia="仿宋" w:cs="E-BZ9-PK74888-Identity-H"/>
          <w:kern w:val="0"/>
          <w:sz w:val="32"/>
          <w:szCs w:val="32"/>
        </w:rPr>
        <w:t>秦杰</w:t>
      </w:r>
      <w:r>
        <w:rPr>
          <w:rFonts w:hint="eastAsia" w:ascii="仿宋" w:hAnsi="仿宋" w:eastAsia="仿宋" w:cs="E-BZ9-PK74888-Identity-H"/>
          <w:kern w:val="0"/>
          <w:sz w:val="32"/>
          <w:szCs w:val="32"/>
          <w:lang w:eastAsia="zh-CN"/>
        </w:rPr>
        <w:t>驾驶</w:t>
      </w:r>
      <w:r>
        <w:rPr>
          <w:rFonts w:hint="eastAsia" w:ascii="仿宋" w:hAnsi="仿宋" w:eastAsia="仿宋" w:cs="H-SS9-PK74820000a48-Identity-H"/>
          <w:kern w:val="0"/>
          <w:sz w:val="32"/>
          <w:szCs w:val="32"/>
          <w:lang w:eastAsia="zh-CN"/>
        </w:rPr>
        <w:t>冯勇</w:t>
      </w:r>
      <w:r>
        <w:rPr>
          <w:rFonts w:hint="eastAsia" w:ascii="仿宋" w:hAnsi="仿宋" w:eastAsia="仿宋" w:cs="E-BZ9-PK74888-Identity-H"/>
          <w:kern w:val="0"/>
          <w:sz w:val="32"/>
          <w:szCs w:val="32"/>
          <w:lang w:eastAsia="zh-CN"/>
        </w:rPr>
        <w:t>所有的挂靠</w:t>
      </w:r>
      <w:r>
        <w:rPr>
          <w:rFonts w:hint="eastAsia" w:ascii="仿宋" w:hAnsi="仿宋" w:eastAsia="仿宋" w:cs="E-BZ9-PK74888-Identity-H"/>
          <w:kern w:val="0"/>
          <w:sz w:val="32"/>
          <w:szCs w:val="32"/>
        </w:rPr>
        <w:t>玖万公司</w:t>
      </w:r>
      <w:r>
        <w:rPr>
          <w:rFonts w:hint="eastAsia" w:ascii="仿宋" w:hAnsi="仿宋" w:eastAsia="仿宋" w:cs="E-BZ9-PK74888-Identity-H"/>
          <w:kern w:val="0"/>
          <w:sz w:val="32"/>
          <w:szCs w:val="32"/>
          <w:lang w:eastAsia="zh-CN"/>
        </w:rPr>
        <w:t>经营的渝</w:t>
      </w:r>
      <w:r>
        <w:rPr>
          <w:rFonts w:hint="eastAsia" w:ascii="仿宋" w:hAnsi="仿宋" w:eastAsia="仿宋" w:cs="E-BZ9-PK74888-Identity-H"/>
          <w:kern w:val="0"/>
          <w:sz w:val="32"/>
          <w:szCs w:val="32"/>
          <w:lang w:val="en-US" w:eastAsia="zh-CN"/>
        </w:rPr>
        <w:t>A92181号重型自卸货车从丰都县高家镇汶溪村沿105省道往高家镇太运方向行驶，当车行驶到105省道261KM+330M路段时，与相对方向行驶的</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驾驶的渝</w:t>
      </w:r>
      <w:r>
        <w:rPr>
          <w:rFonts w:hint="eastAsia" w:ascii="仿宋" w:hAnsi="仿宋" w:eastAsia="仿宋" w:cs="E-BZ9-PK74888-Identity-H"/>
          <w:kern w:val="0"/>
          <w:sz w:val="32"/>
          <w:szCs w:val="32"/>
          <w:lang w:val="en-US" w:eastAsia="zh-CN"/>
        </w:rPr>
        <w:t>DJ0466小型面包车</w:t>
      </w:r>
      <w:r>
        <w:rPr>
          <w:rFonts w:hint="eastAsia" w:ascii="仿宋" w:hAnsi="仿宋" w:eastAsia="仿宋" w:cs="E-BZ9-PK74888-Identity-H"/>
          <w:kern w:val="0"/>
          <w:sz w:val="32"/>
          <w:szCs w:val="32"/>
          <w:lang w:eastAsia="zh-CN"/>
        </w:rPr>
        <w:t>相撞，造成两车受损，</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受伤，当日</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被送往丰都县人民医院住院治疗，后转重庆医科大学附属第一医院住院治疗，诊断为双肺挫伤，右侧</w:t>
      </w:r>
      <w:r>
        <w:rPr>
          <w:rFonts w:hint="eastAsia" w:ascii="仿宋" w:hAnsi="仿宋" w:eastAsia="仿宋" w:cs="E-BZ9-PK74888-Identity-H"/>
          <w:kern w:val="0"/>
          <w:sz w:val="32"/>
          <w:szCs w:val="32"/>
          <w:lang w:val="en-US" w:eastAsia="zh-CN"/>
        </w:rPr>
        <w:t>3-9肋骨骨折等多处损伤,2018年9月11日好转出院，在重庆医科大学附属第一医院花去住院医疗费118025.64元，门诊医疗费1599.5元，在丰都县人民医院花去医疗费4191.24元，共计123816.38元。2018年11月26日</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委托重庆市涪陵司法鉴定所进行司法鉴定，</w:t>
      </w:r>
      <w:r>
        <w:rPr>
          <w:rFonts w:hint="eastAsia" w:ascii="仿宋" w:hAnsi="仿宋" w:eastAsia="仿宋" w:cs="E-BZ9-PK74888-Identity-H"/>
          <w:kern w:val="0"/>
          <w:sz w:val="32"/>
          <w:szCs w:val="32"/>
          <w:lang w:val="en-US" w:eastAsia="zh-CN"/>
        </w:rPr>
        <w:t>2018年11月28日该司法鉴定所作出司法鉴定意见，其意见为：1.</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左侧膝关节功能丧失</w:t>
      </w:r>
      <w:r>
        <w:rPr>
          <w:rFonts w:hint="eastAsia" w:ascii="仿宋" w:hAnsi="仿宋" w:eastAsia="仿宋" w:cs="E-BZ9-PK74888-Identity-H"/>
          <w:kern w:val="0"/>
          <w:sz w:val="32"/>
          <w:szCs w:val="32"/>
          <w:lang w:val="en-US" w:eastAsia="zh-CN"/>
        </w:rPr>
        <w:t>50%以上评定为9级伤残，胸部肋骨骨折6根以上评定为10级伤残，左侧髋关节功能丧失25%以上评定10级伤残；2.受伤之日起60天左右需1人护理，务工期180天左右，需营养补助60天左右；3.续医费34000元，</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支付本次司法鉴定费</w:t>
      </w:r>
      <w:r>
        <w:rPr>
          <w:rFonts w:hint="eastAsia" w:ascii="仿宋" w:hAnsi="仿宋" w:eastAsia="仿宋" w:cs="E-BZ9-PK74888-Identity-H"/>
          <w:kern w:val="0"/>
          <w:sz w:val="32"/>
          <w:szCs w:val="32"/>
          <w:lang w:val="en-US" w:eastAsia="zh-CN"/>
        </w:rPr>
        <w:t>2100元。审理过程中，</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对</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伤残、</w:t>
      </w:r>
      <w:r>
        <w:rPr>
          <w:rFonts w:hint="eastAsia" w:ascii="仿宋" w:hAnsi="仿宋" w:eastAsia="仿宋" w:cs="E-BZ9-PK74888-Identity-H"/>
          <w:kern w:val="0"/>
          <w:sz w:val="32"/>
          <w:szCs w:val="32"/>
          <w:lang w:val="en-US" w:eastAsia="zh-CN"/>
        </w:rPr>
        <w:t>续医费、非医疗保险范围用药部分申请重新进行司法鉴定，本院委托重庆市科证司法鉴定所进行司法鉴定，鉴定意见为，1.</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左侧膝关节功能丧失</w:t>
      </w:r>
      <w:r>
        <w:rPr>
          <w:rFonts w:hint="eastAsia" w:ascii="仿宋" w:hAnsi="仿宋" w:eastAsia="仿宋" w:cs="E-BZ9-PK74888-Identity-H"/>
          <w:kern w:val="0"/>
          <w:sz w:val="32"/>
          <w:szCs w:val="32"/>
          <w:lang w:val="en-US" w:eastAsia="zh-CN"/>
        </w:rPr>
        <w:t>50%以上评定为9级伤残，胸部肋骨骨折7根评定为10级伤残，左侧髋关节功能丧失25%以上目前评定为10级伤残；2.</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后约</w:t>
      </w:r>
      <w:r>
        <w:rPr>
          <w:rFonts w:hint="eastAsia" w:ascii="仿宋" w:hAnsi="仿宋" w:eastAsia="仿宋" w:cs="E-BZ9-PK74888-Identity-H"/>
          <w:kern w:val="0"/>
          <w:sz w:val="32"/>
          <w:szCs w:val="32"/>
          <w:lang w:val="en-US" w:eastAsia="zh-CN"/>
        </w:rPr>
        <w:t>续医费用约需25000元；3..</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受伤住院期间超出基本医疗保险同类医疗费用</w:t>
      </w:r>
      <w:r>
        <w:rPr>
          <w:rFonts w:hint="eastAsia" w:ascii="仿宋" w:hAnsi="仿宋" w:eastAsia="仿宋" w:cs="E-BZ9-PK74888-Identity-H"/>
          <w:kern w:val="0"/>
          <w:sz w:val="32"/>
          <w:szCs w:val="32"/>
          <w:lang w:val="en-US" w:eastAsia="zh-CN"/>
        </w:rPr>
        <w:t>11660.29元。</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支付该次司法鉴定费</w:t>
      </w:r>
      <w:r>
        <w:rPr>
          <w:rFonts w:hint="eastAsia" w:ascii="仿宋" w:hAnsi="仿宋" w:eastAsia="仿宋" w:cs="E-BZ9-PK74888-Identity-H"/>
          <w:kern w:val="0"/>
          <w:sz w:val="32"/>
          <w:szCs w:val="32"/>
          <w:lang w:val="en-US" w:eastAsia="zh-CN"/>
        </w:rPr>
        <w:t>2900元。</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A92181号重型自卸货车在</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投保了交强险及商业第三者责任险限额</w:t>
      </w:r>
      <w:r>
        <w:rPr>
          <w:rFonts w:hint="eastAsia" w:ascii="仿宋" w:hAnsi="仿宋" w:eastAsia="仿宋" w:cs="E-BZ9-PK74888-Identity-H"/>
          <w:kern w:val="0"/>
          <w:sz w:val="32"/>
          <w:szCs w:val="32"/>
          <w:lang w:val="en-US" w:eastAsia="zh-CN"/>
        </w:rPr>
        <w:t>100万元，商业第三者责任险中投保人</w:t>
      </w:r>
      <w:r>
        <w:rPr>
          <w:rFonts w:hint="eastAsia" w:ascii="仿宋" w:hAnsi="仿宋" w:eastAsia="仿宋" w:cs="E-BZ9-PK74888-Identity-H"/>
          <w:kern w:val="0"/>
          <w:sz w:val="32"/>
          <w:szCs w:val="32"/>
        </w:rPr>
        <w:t>玖万</w:t>
      </w:r>
      <w:r>
        <w:rPr>
          <w:rFonts w:hint="eastAsia" w:ascii="仿宋" w:hAnsi="仿宋" w:eastAsia="仿宋" w:cs="E-BZ9-PK74888-Identity-H"/>
          <w:kern w:val="0"/>
          <w:sz w:val="32"/>
          <w:szCs w:val="32"/>
          <w:lang w:eastAsia="zh-CN"/>
        </w:rPr>
        <w:t>公司与保险人约定为不计免赔，按国家基本医疗保险的同类医疗费用标准核定医疗费用的赔偿金额，事故发生后，</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支付了</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赔偿款</w:t>
      </w:r>
      <w:r>
        <w:rPr>
          <w:rFonts w:hint="eastAsia" w:ascii="仿宋" w:hAnsi="仿宋" w:eastAsia="仿宋" w:cs="E-BZ9-PK74888-Identity-H"/>
          <w:kern w:val="0"/>
          <w:sz w:val="32"/>
          <w:szCs w:val="32"/>
          <w:lang w:val="en-US" w:eastAsia="zh-CN"/>
        </w:rPr>
        <w:t>10000元，</w:t>
      </w:r>
      <w:r>
        <w:rPr>
          <w:rFonts w:hint="eastAsia" w:ascii="仿宋" w:hAnsi="仿宋" w:eastAsia="仿宋" w:cs="H-SS9-PK74820000a48-Identity-H"/>
          <w:kern w:val="0"/>
          <w:sz w:val="32"/>
          <w:szCs w:val="32"/>
          <w:lang w:eastAsia="zh-CN"/>
        </w:rPr>
        <w:t>冯勇垫付了</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赔偿款</w:t>
      </w:r>
      <w:r>
        <w:rPr>
          <w:rFonts w:hint="eastAsia" w:ascii="仿宋" w:hAnsi="仿宋" w:eastAsia="仿宋" w:cs="E-BZ9-PK74888-Identity-H"/>
          <w:kern w:val="0"/>
          <w:sz w:val="32"/>
          <w:szCs w:val="32"/>
          <w:lang w:val="en-US" w:eastAsia="zh-CN"/>
        </w:rPr>
        <w:t>20000元。</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DJ0466小型面包车在</w:t>
      </w:r>
      <w:r>
        <w:rPr>
          <w:rFonts w:hint="eastAsia" w:ascii="仿宋" w:hAnsi="仿宋" w:eastAsia="仿宋" w:cs="SSJ-PK74820000a3c-Identity-H"/>
          <w:kern w:val="0"/>
          <w:sz w:val="32"/>
          <w:szCs w:val="32"/>
        </w:rPr>
        <w:t>丰都支公司</w:t>
      </w:r>
      <w:r>
        <w:rPr>
          <w:rFonts w:hint="eastAsia" w:ascii="仿宋" w:hAnsi="仿宋" w:eastAsia="仿宋" w:cs="SSJ-PK74820000a3c-Identity-H"/>
          <w:kern w:val="0"/>
          <w:sz w:val="32"/>
          <w:szCs w:val="32"/>
          <w:lang w:eastAsia="zh-CN"/>
        </w:rPr>
        <w:t>投保了交强险及商业第三者责任险。事故发生在保险期限内。</w:t>
      </w:r>
      <w:r>
        <w:rPr>
          <w:rFonts w:hint="eastAsia" w:ascii="仿宋" w:hAnsi="仿宋" w:eastAsia="仿宋" w:cs="E-BZ9-PK74888-Identity-H"/>
          <w:kern w:val="0"/>
          <w:sz w:val="32"/>
          <w:szCs w:val="32"/>
        </w:rPr>
        <w:t>秦杰</w:t>
      </w:r>
      <w:r>
        <w:rPr>
          <w:rFonts w:hint="eastAsia" w:ascii="仿宋" w:hAnsi="仿宋" w:eastAsia="仿宋" w:cs="E-BZ9-PK74888-Identity-H"/>
          <w:kern w:val="0"/>
          <w:sz w:val="32"/>
          <w:szCs w:val="32"/>
          <w:lang w:eastAsia="zh-CN"/>
        </w:rPr>
        <w:t>系</w:t>
      </w:r>
      <w:r>
        <w:rPr>
          <w:rFonts w:hint="eastAsia" w:ascii="仿宋" w:hAnsi="仿宋" w:eastAsia="仿宋" w:cs="H-SS9-PK74820000a48-Identity-H"/>
          <w:kern w:val="0"/>
          <w:sz w:val="32"/>
          <w:szCs w:val="32"/>
          <w:lang w:eastAsia="zh-CN"/>
        </w:rPr>
        <w:t>冯勇雇请的驾驶员。本次交通事故经重庆市丰都县公安局交通巡逻警察大队认定，</w:t>
      </w:r>
      <w:r>
        <w:rPr>
          <w:rFonts w:hint="eastAsia" w:ascii="仿宋" w:hAnsi="仿宋" w:eastAsia="仿宋" w:cs="E-BZ9-PK74888-Identity-H"/>
          <w:kern w:val="0"/>
          <w:sz w:val="32"/>
          <w:szCs w:val="32"/>
        </w:rPr>
        <w:t>秦杰</w:t>
      </w:r>
      <w:r>
        <w:rPr>
          <w:rFonts w:hint="eastAsia" w:ascii="仿宋" w:hAnsi="仿宋" w:eastAsia="仿宋" w:cs="E-BZ9-PK74888-Identity-H"/>
          <w:kern w:val="0"/>
          <w:sz w:val="32"/>
          <w:szCs w:val="32"/>
          <w:lang w:eastAsia="zh-CN"/>
        </w:rPr>
        <w:t>在此事故中为全部过错，承担事故的全部责任。</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另查明，</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有父亲付守伦及母亲杨素芳，付守伦于</w:t>
      </w:r>
      <w:r>
        <w:rPr>
          <w:rFonts w:hint="eastAsia" w:ascii="仿宋" w:hAnsi="仿宋" w:eastAsia="仿宋" w:cs="E-BZ9-PK74888-Identity-H"/>
          <w:kern w:val="0"/>
          <w:sz w:val="32"/>
          <w:szCs w:val="32"/>
          <w:lang w:val="en-US" w:eastAsia="zh-CN"/>
        </w:rPr>
        <w:t>1951年12月17日出生，农民，有肢体三级残疾；杨素芳于1955年3月15日出生，农民。</w:t>
      </w:r>
      <w:r>
        <w:rPr>
          <w:rFonts w:hint="eastAsia" w:ascii="仿宋" w:hAnsi="仿宋" w:eastAsia="仿宋" w:cs="E-BZ9-PK74888-Identity-H"/>
          <w:kern w:val="0"/>
          <w:sz w:val="32"/>
          <w:szCs w:val="32"/>
          <w:lang w:eastAsia="zh-CN"/>
        </w:rPr>
        <w:t>付守伦与杨素芳生育有子女</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、付华荣，均已成年</w:t>
      </w:r>
      <w:r>
        <w:rPr>
          <w:rFonts w:hint="eastAsia" w:ascii="仿宋" w:hAnsi="仿宋" w:eastAsia="仿宋" w:cs="E-BZ9-PK74888-Identity-H"/>
          <w:kern w:val="0"/>
          <w:sz w:val="32"/>
          <w:szCs w:val="32"/>
          <w:lang w:val="en-US" w:eastAsia="zh-CN"/>
        </w:rPr>
        <w:t>。</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与廖艳丽系夫妻，廖艳丽有精神三级残疾，双方于</w:t>
      </w:r>
      <w:r>
        <w:rPr>
          <w:rFonts w:hint="eastAsia" w:ascii="仿宋" w:hAnsi="仿宋" w:eastAsia="仿宋" w:cs="E-BZ9-PK74888-Identity-H"/>
          <w:kern w:val="0"/>
          <w:sz w:val="32"/>
          <w:szCs w:val="32"/>
          <w:lang w:val="en-US" w:eastAsia="zh-CN"/>
        </w:rPr>
        <w:t>2006年5月12日生育长子付林槟，2007年7月25日生育二女付林香，2010年2月24日生育三女付林红。</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与廖艳丽于</w:t>
      </w:r>
      <w:r>
        <w:rPr>
          <w:rFonts w:hint="eastAsia" w:ascii="仿宋" w:hAnsi="仿宋" w:eastAsia="仿宋" w:cs="E-BZ9-PK74888-Identity-H"/>
          <w:kern w:val="0"/>
          <w:sz w:val="32"/>
          <w:szCs w:val="32"/>
          <w:lang w:val="en-US" w:eastAsia="zh-CN"/>
        </w:rPr>
        <w:t>2004年6月在丰都县高家镇柏林路购买住房居住。</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DJ0466小型面包车为</w:t>
      </w:r>
      <w:r>
        <w:rPr>
          <w:rFonts w:hint="eastAsia" w:ascii="仿宋" w:hAnsi="仿宋" w:eastAsia="仿宋" w:cs="E-BZ9-PK74888-Identity-H"/>
          <w:kern w:val="0"/>
          <w:sz w:val="32"/>
          <w:szCs w:val="32"/>
          <w:lang w:eastAsia="zh-CN"/>
        </w:rPr>
        <w:t>杨素芳所有。</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上述事实有当事人的陈述、第</w:t>
      </w:r>
      <w:r>
        <w:rPr>
          <w:rFonts w:hint="eastAsia" w:ascii="仿宋" w:hAnsi="仿宋" w:eastAsia="仿宋" w:cs="E-BZ9-PK74888-Identity-H"/>
          <w:kern w:val="0"/>
          <w:sz w:val="32"/>
          <w:szCs w:val="32"/>
          <w:lang w:val="en-US" w:eastAsia="zh-CN"/>
        </w:rPr>
        <w:t>500230120180000163号道路交通事故责任认定书、病历记录、医疗发票、驾驶证、交强险及商业保险保险单、房屋买卖合同、证明、残疾证、常住人口登记卡、鉴定费发票、司法鉴定意见书等证据，并经过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原被告争议的焦点是：一、责任主体问题；二、</w:t>
      </w:r>
      <w:r>
        <w:rPr>
          <w:rFonts w:hint="eastAsia" w:ascii="仿宋" w:hAnsi="仿宋" w:eastAsia="仿宋" w:cs="E-BZ9-PK74888-Identity-H"/>
          <w:kern w:val="0"/>
          <w:sz w:val="32"/>
          <w:szCs w:val="32"/>
        </w:rPr>
        <w:t>付之江</w:t>
      </w:r>
      <w:r>
        <w:rPr>
          <w:rFonts w:hint="eastAsia" w:ascii="仿宋" w:hAnsi="仿宋" w:eastAsia="仿宋" w:cs="H-SS9-PK74820000a48-Identity-H"/>
          <w:kern w:val="0"/>
          <w:sz w:val="32"/>
          <w:szCs w:val="32"/>
          <w:lang w:eastAsia="zh-CN"/>
        </w:rPr>
        <w:t>损失金额的确定等问题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责任主体问题。</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A92181号重型自卸货车系冯勇所有，并挂靠</w:t>
      </w:r>
      <w:r>
        <w:rPr>
          <w:rFonts w:hint="eastAsia" w:ascii="仿宋" w:hAnsi="仿宋" w:eastAsia="仿宋" w:cs="E-BZ9-PK74888-Identity-H"/>
          <w:kern w:val="0"/>
          <w:sz w:val="32"/>
          <w:szCs w:val="32"/>
        </w:rPr>
        <w:t>玖万公司</w:t>
      </w:r>
      <w:r>
        <w:rPr>
          <w:rFonts w:hint="eastAsia" w:ascii="仿宋" w:hAnsi="仿宋" w:eastAsia="仿宋" w:cs="E-BZ9-PK74888-Identity-H"/>
          <w:kern w:val="0"/>
          <w:sz w:val="32"/>
          <w:szCs w:val="32"/>
          <w:lang w:eastAsia="zh-CN"/>
        </w:rPr>
        <w:t>经营，秦杰系</w:t>
      </w:r>
      <w:r>
        <w:rPr>
          <w:rFonts w:hint="eastAsia" w:ascii="仿宋" w:hAnsi="仿宋" w:eastAsia="仿宋" w:cs="E-BZ9-PK74888-Identity-H"/>
          <w:kern w:val="0"/>
          <w:sz w:val="32"/>
          <w:szCs w:val="32"/>
          <w:lang w:val="en-US" w:eastAsia="zh-CN"/>
        </w:rPr>
        <w:t>冯勇雇请的驾驶员，发生交通事故致害</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，依法</w:t>
      </w:r>
      <w:r>
        <w:rPr>
          <w:rFonts w:hint="eastAsia" w:ascii="仿宋" w:hAnsi="仿宋" w:eastAsia="仿宋" w:cs="E-BZ9-PK74888-Identity-H"/>
          <w:kern w:val="0"/>
          <w:sz w:val="32"/>
          <w:szCs w:val="32"/>
          <w:lang w:val="en-US" w:eastAsia="zh-CN"/>
        </w:rPr>
        <w:t>冯勇应当承担民事赔偿责任，</w:t>
      </w:r>
      <w:r>
        <w:rPr>
          <w:rFonts w:hint="eastAsia" w:ascii="仿宋" w:hAnsi="仿宋" w:eastAsia="仿宋" w:cs="E-BZ9-PK74888-Identity-H"/>
          <w:kern w:val="0"/>
          <w:sz w:val="32"/>
          <w:szCs w:val="32"/>
        </w:rPr>
        <w:t>玖万公司</w:t>
      </w:r>
      <w:r>
        <w:rPr>
          <w:rFonts w:hint="eastAsia" w:ascii="仿宋" w:hAnsi="仿宋" w:eastAsia="仿宋" w:cs="E-BZ9-PK74888-Identity-H"/>
          <w:kern w:val="0"/>
          <w:sz w:val="32"/>
          <w:szCs w:val="32"/>
          <w:lang w:eastAsia="zh-CN"/>
        </w:rPr>
        <w:t>承担连带赔偿责任，为此</w:t>
      </w:r>
      <w:r>
        <w:rPr>
          <w:rFonts w:hint="eastAsia" w:ascii="仿宋" w:hAnsi="仿宋" w:eastAsia="仿宋" w:cs="E-BZ9-PK74888-Identity-H"/>
          <w:kern w:val="0"/>
          <w:sz w:val="32"/>
          <w:szCs w:val="32"/>
          <w:lang w:val="en-US" w:eastAsia="zh-CN"/>
        </w:rPr>
        <w:t>冯勇及</w:t>
      </w:r>
      <w:r>
        <w:rPr>
          <w:rFonts w:hint="eastAsia" w:ascii="仿宋" w:hAnsi="仿宋" w:eastAsia="仿宋" w:cs="E-BZ9-PK74888-Identity-H"/>
          <w:kern w:val="0"/>
          <w:sz w:val="32"/>
          <w:szCs w:val="32"/>
        </w:rPr>
        <w:t>玖万公司</w:t>
      </w:r>
      <w:r>
        <w:rPr>
          <w:rFonts w:hint="eastAsia" w:ascii="仿宋" w:hAnsi="仿宋" w:eastAsia="仿宋" w:cs="E-BZ9-PK74888-Identity-H"/>
          <w:kern w:val="0"/>
          <w:sz w:val="32"/>
          <w:szCs w:val="32"/>
          <w:lang w:eastAsia="zh-CN"/>
        </w:rPr>
        <w:t>属于责任主体。又渝</w:t>
      </w:r>
      <w:r>
        <w:rPr>
          <w:rFonts w:hint="eastAsia" w:ascii="仿宋" w:hAnsi="仿宋" w:eastAsia="仿宋" w:cs="E-BZ9-PK74888-Identity-H"/>
          <w:kern w:val="0"/>
          <w:sz w:val="32"/>
          <w:szCs w:val="32"/>
          <w:lang w:val="en-US" w:eastAsia="zh-CN"/>
        </w:rPr>
        <w:t>A92181号重型自卸货车在</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投保了交强险及商业第三者责任险，</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也起诉了该公司，依法</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应当在保险限额内优先予以赔偿，承担赔偿责任，因此</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属于责任主体。</w:t>
      </w:r>
      <w:r>
        <w:rPr>
          <w:rFonts w:hint="eastAsia" w:ascii="仿宋" w:hAnsi="仿宋" w:eastAsia="仿宋" w:cs="SSJ-PK74820000a3c-Identity-H"/>
          <w:kern w:val="0"/>
          <w:sz w:val="32"/>
          <w:szCs w:val="32"/>
        </w:rPr>
        <w:t>丰都支公司</w:t>
      </w:r>
      <w:r>
        <w:rPr>
          <w:rFonts w:hint="eastAsia" w:ascii="仿宋" w:hAnsi="仿宋" w:eastAsia="仿宋" w:cs="SSJ-PK74820000a3c-Identity-H"/>
          <w:kern w:val="0"/>
          <w:sz w:val="32"/>
          <w:szCs w:val="32"/>
          <w:lang w:eastAsia="zh-CN"/>
        </w:rPr>
        <w:t>保险的车为</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DJ0466小型面包车，该车的驾驶员</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val="en-US" w:eastAsia="zh-CN"/>
        </w:rPr>
        <w:t>在交通事故中无过错无责任，且赔偿金额未超过在</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保险的限额，且不属于</w:t>
      </w:r>
      <w:r>
        <w:rPr>
          <w:rFonts w:hint="eastAsia" w:ascii="仿宋" w:hAnsi="仿宋" w:eastAsia="仿宋" w:cs="SSJ-PK74820000a3c-Identity-H"/>
          <w:kern w:val="0"/>
          <w:sz w:val="32"/>
          <w:szCs w:val="32"/>
        </w:rPr>
        <w:t>丰都支公司</w:t>
      </w:r>
      <w:r>
        <w:rPr>
          <w:rFonts w:hint="eastAsia" w:ascii="仿宋" w:hAnsi="仿宋" w:eastAsia="仿宋" w:cs="E-BZ9-PK74888-Identity-H"/>
          <w:kern w:val="0"/>
          <w:sz w:val="32"/>
          <w:szCs w:val="32"/>
          <w:lang w:eastAsia="zh-CN"/>
        </w:rPr>
        <w:t>第三者责任交强险及商业险范畴，因此</w:t>
      </w:r>
      <w:r>
        <w:rPr>
          <w:rFonts w:hint="eastAsia" w:ascii="仿宋" w:hAnsi="仿宋" w:eastAsia="仿宋" w:cs="SSJ-PK74820000a3c-Identity-H"/>
          <w:kern w:val="0"/>
          <w:sz w:val="32"/>
          <w:szCs w:val="32"/>
        </w:rPr>
        <w:t>丰都支公司</w:t>
      </w:r>
      <w:r>
        <w:rPr>
          <w:rFonts w:hint="eastAsia" w:ascii="仿宋" w:hAnsi="仿宋" w:eastAsia="仿宋" w:cs="SSJ-PK74820000a3c-Identity-H"/>
          <w:kern w:val="0"/>
          <w:sz w:val="32"/>
          <w:szCs w:val="32"/>
          <w:lang w:eastAsia="zh-CN"/>
        </w:rPr>
        <w:t>不应承担赔偿责任，不属于责任主体。</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E-BZ9-PK74888-Identity-H"/>
          <w:kern w:val="0"/>
          <w:sz w:val="32"/>
          <w:szCs w:val="32"/>
        </w:rPr>
        <w:t>付之江</w:t>
      </w:r>
      <w:r>
        <w:rPr>
          <w:rFonts w:hint="eastAsia" w:ascii="仿宋" w:hAnsi="仿宋" w:eastAsia="仿宋" w:cs="H-SS9-PK74820000a48-Identity-H"/>
          <w:kern w:val="0"/>
          <w:sz w:val="32"/>
          <w:szCs w:val="32"/>
          <w:lang w:eastAsia="zh-CN"/>
        </w:rPr>
        <w:t>损失金额的确定等问题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1.医疗费据实计算为</w:t>
      </w:r>
      <w:r>
        <w:rPr>
          <w:rFonts w:hint="eastAsia" w:ascii="仿宋" w:hAnsi="仿宋" w:eastAsia="仿宋" w:cs="E-BZ9-PK74888-Identity-H"/>
          <w:kern w:val="0"/>
          <w:sz w:val="32"/>
          <w:szCs w:val="32"/>
          <w:lang w:val="en-US" w:eastAsia="zh-CN"/>
        </w:rPr>
        <w:t>123816.38元；2.续医费以重庆市科证司法鉴定所的鉴定意见确定为25000元；3.护理费以</w:t>
      </w:r>
      <w:r>
        <w:rPr>
          <w:rFonts w:hint="eastAsia" w:ascii="仿宋" w:hAnsi="仿宋" w:eastAsia="仿宋" w:cs="E-BZ9-PK74888-Identity-H"/>
          <w:kern w:val="0"/>
          <w:sz w:val="32"/>
          <w:szCs w:val="32"/>
          <w:lang w:eastAsia="zh-CN"/>
        </w:rPr>
        <w:t>重庆市涪陵司法鉴定所作出的司法鉴定意见确定，计算为</w:t>
      </w:r>
      <w:r>
        <w:rPr>
          <w:rFonts w:hint="eastAsia" w:ascii="仿宋" w:hAnsi="仿宋" w:eastAsia="仿宋" w:cs="E-BZ9-PK74888-Identity-H"/>
          <w:kern w:val="0"/>
          <w:sz w:val="32"/>
          <w:szCs w:val="32"/>
          <w:lang w:val="en-US" w:eastAsia="zh-CN"/>
        </w:rPr>
        <w:t>120元/天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21天+120元/天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39天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50%=4860元；4.误工费参照</w:t>
      </w:r>
      <w:r>
        <w:rPr>
          <w:rFonts w:hint="eastAsia" w:ascii="仿宋" w:hAnsi="仿宋" w:eastAsia="仿宋" w:cs="E-BZ9-PK74888-Identity-H"/>
          <w:kern w:val="0"/>
          <w:sz w:val="32"/>
          <w:szCs w:val="32"/>
          <w:lang w:eastAsia="zh-CN"/>
        </w:rPr>
        <w:t>重庆市涪陵司法鉴定所作出的司法鉴定意见（因二次鉴定未改变），以该次定残之前一日确定计算为，</w:t>
      </w:r>
      <w:r>
        <w:rPr>
          <w:rFonts w:hint="eastAsia" w:ascii="仿宋" w:hAnsi="仿宋" w:eastAsia="仿宋" w:cs="E-BZ9-PK74888-Identity-H"/>
          <w:kern w:val="0"/>
          <w:sz w:val="32"/>
          <w:szCs w:val="32"/>
          <w:lang w:val="en-US" w:eastAsia="zh-CN"/>
        </w:rPr>
        <w:t>100元/天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99天=9900元；5.住院伙食补助费为60元/天</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21天=1260元；6.交通费及住宿费酌定为500元；7.营养费酌定为1000元；8.精神损害抚慰金酌定为6000元；9.残疾赔偿金以司法鉴定意见确定，计算为32193元/年</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20年</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22%=141649.2元；10.被扶养人生活费，廖艳丽生活费计算为22759元/年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20年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30%</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22%=30041.9元，付林槟生活费计算为22759元/年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6年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22%=15020.9元，付林香生活费计算为22759元/年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7年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22%=17524.4元，付林红生活费计算为22759元/年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10年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22%=25034.9元，付守伦生活费计算为10936元/年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14年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22%=16841.4元，杨素芳生活费计算为10936元/年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17年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22%=20450.3元，小计为124913.8元（</w:t>
      </w:r>
      <w:r>
        <w:rPr>
          <w:rFonts w:hint="eastAsia" w:ascii="仿宋" w:hAnsi="仿宋" w:eastAsia="仿宋" w:cs="E-BZ9-PK74888-Identity-H"/>
          <w:kern w:val="0"/>
          <w:sz w:val="32"/>
          <w:szCs w:val="32"/>
          <w:lang w:val="en-US" w:eastAsia="zh-CN"/>
        </w:rPr>
        <w:t>被扶养人生活费未超过法律规定的限额，以此金额确定</w:t>
      </w:r>
      <w:r>
        <w:rPr>
          <w:rFonts w:hint="eastAsia" w:ascii="Arial" w:hAnsi="Arial" w:eastAsia="仿宋" w:cs="Arial"/>
          <w:kern w:val="0"/>
          <w:sz w:val="32"/>
          <w:szCs w:val="32"/>
          <w:lang w:val="en-US" w:eastAsia="zh-CN"/>
        </w:rPr>
        <w:t>）；11.鉴定费据实计算为2100元+2900元=5000元；12.车辆损失，因</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并非该车所有人，对该项无诉讼主体资格，且诉讼过程中</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放弃该项主张，依法本院予以准许，不作为</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损失计算；</w:t>
      </w:r>
      <w:r>
        <w:rPr>
          <w:rFonts w:hint="eastAsia" w:ascii="仿宋" w:hAnsi="仿宋" w:eastAsia="仿宋" w:cs="E-BZ9-PK74888-Identity-H"/>
          <w:kern w:val="0"/>
          <w:sz w:val="32"/>
          <w:szCs w:val="32"/>
          <w:lang w:val="en-US" w:eastAsia="zh-CN"/>
        </w:rPr>
        <w:t>13.其他损失12元</w:t>
      </w:r>
      <w:r>
        <w:rPr>
          <w:rFonts w:hint="eastAsia" w:ascii="仿宋" w:hAnsi="仿宋" w:eastAsia="仿宋" w:cs="E-BZ9-PK74888-Identity-H"/>
          <w:kern w:val="0"/>
          <w:sz w:val="32"/>
          <w:szCs w:val="32"/>
          <w:lang w:eastAsia="zh-CN"/>
        </w:rPr>
        <w:t>。以上共计损失为</w:t>
      </w:r>
      <w:r>
        <w:rPr>
          <w:rFonts w:hint="eastAsia" w:ascii="仿宋" w:hAnsi="仿宋" w:eastAsia="仿宋" w:cs="E-BZ9-PK74888-Identity-H"/>
          <w:kern w:val="0"/>
          <w:sz w:val="32"/>
          <w:szCs w:val="32"/>
          <w:lang w:val="en-US" w:eastAsia="zh-CN"/>
        </w:rPr>
        <w:t>443911.38元。责任分担的问题，因</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A92181号重型自卸货车在</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投保了交强险及商业第三者责任险，且损失金额未超过交强险及商业第三者责任险限额，因此</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应当承担赔偿责任。对于</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超过非保用药的金额</w:t>
      </w:r>
      <w:r>
        <w:rPr>
          <w:rFonts w:hint="eastAsia" w:ascii="仿宋" w:hAnsi="仿宋" w:eastAsia="仿宋" w:cs="E-BZ9-PK74888-Identity-H"/>
          <w:kern w:val="0"/>
          <w:sz w:val="32"/>
          <w:szCs w:val="32"/>
          <w:lang w:val="en-US" w:eastAsia="zh-CN"/>
        </w:rPr>
        <w:t>11660.29元，其中10000元计入交强险赔偿，余额1660.29元由于在商业第三者责任险中明确约定</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不承担赔偿责任，该部分依法由冯勇予以赔偿，对于鉴定费投保人与保险人未约定明确排除，因此应纳入保险赔偿范畴。最后确定的赔偿金额为，总的损失</w:t>
      </w:r>
      <w:r>
        <w:rPr>
          <w:rFonts w:hint="eastAsia" w:ascii="仿宋" w:hAnsi="仿宋" w:eastAsia="仿宋" w:cs="E-BZ9-PK74888-Identity-H"/>
          <w:kern w:val="0"/>
          <w:sz w:val="32"/>
          <w:szCs w:val="32"/>
          <w:lang w:val="en-US" w:eastAsia="zh-CN"/>
        </w:rPr>
        <w:t>-</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已支付额</w:t>
      </w:r>
      <w:r>
        <w:rPr>
          <w:rFonts w:hint="eastAsia" w:ascii="仿宋" w:hAnsi="仿宋" w:eastAsia="仿宋" w:cs="E-BZ9-PK74888-Identity-H"/>
          <w:kern w:val="0"/>
          <w:sz w:val="32"/>
          <w:szCs w:val="32"/>
          <w:lang w:val="en-US" w:eastAsia="zh-CN"/>
        </w:rPr>
        <w:t>-冯勇已垫付额=443911.38元-12900元-20000元=411011.38元，为此</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赔偿</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的经济损失确定为</w:t>
      </w:r>
      <w:r>
        <w:rPr>
          <w:rFonts w:hint="eastAsia" w:ascii="仿宋" w:hAnsi="仿宋" w:eastAsia="仿宋" w:cs="E-BZ9-PK74888-Identity-H"/>
          <w:kern w:val="0"/>
          <w:sz w:val="32"/>
          <w:szCs w:val="32"/>
          <w:lang w:val="en-US" w:eastAsia="zh-CN"/>
        </w:rPr>
        <w:t>411011.38元。对于冯勇垫付</w:t>
      </w:r>
      <w:r>
        <w:rPr>
          <w:rFonts w:hint="eastAsia" w:ascii="仿宋" w:hAnsi="仿宋" w:eastAsia="仿宋" w:cs="E-BZ9-PK74888-Identity-H"/>
          <w:kern w:val="0"/>
          <w:sz w:val="32"/>
          <w:szCs w:val="32"/>
        </w:rPr>
        <w:t>付之江</w:t>
      </w:r>
      <w:r>
        <w:rPr>
          <w:rFonts w:hint="eastAsia" w:ascii="仿宋" w:hAnsi="仿宋" w:eastAsia="仿宋" w:cs="E-BZ9-PK74888-Identity-H"/>
          <w:kern w:val="0"/>
          <w:sz w:val="32"/>
          <w:szCs w:val="32"/>
          <w:lang w:eastAsia="zh-CN"/>
        </w:rPr>
        <w:t>赔偿金</w:t>
      </w:r>
      <w:r>
        <w:rPr>
          <w:rFonts w:hint="eastAsia" w:ascii="仿宋" w:hAnsi="仿宋" w:eastAsia="仿宋" w:cs="E-BZ9-PK74888-Identity-H"/>
          <w:kern w:val="0"/>
          <w:sz w:val="32"/>
          <w:szCs w:val="32"/>
          <w:lang w:val="en-US" w:eastAsia="zh-CN"/>
        </w:rPr>
        <w:t>20000元，本应支付1660.29元，扣减后多支付的18339.71元，应由</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支付给</w:t>
      </w:r>
      <w:r>
        <w:rPr>
          <w:rFonts w:hint="eastAsia" w:ascii="仿宋" w:hAnsi="仿宋" w:eastAsia="仿宋" w:cs="E-BZ9-PK74888-Identity-H"/>
          <w:kern w:val="0"/>
          <w:sz w:val="32"/>
          <w:szCs w:val="32"/>
          <w:lang w:val="en-US" w:eastAsia="zh-CN"/>
        </w:rPr>
        <w:t>冯勇，对于该费用</w:t>
      </w:r>
      <w:r>
        <w:rPr>
          <w:rFonts w:hint="eastAsia" w:ascii="仿宋" w:hAnsi="仿宋" w:eastAsia="仿宋" w:cs="E-BZ9-PK74888-Identity-H"/>
          <w:kern w:val="0"/>
          <w:sz w:val="32"/>
          <w:szCs w:val="32"/>
        </w:rPr>
        <w:t>遂宁公司</w:t>
      </w:r>
      <w:r>
        <w:rPr>
          <w:rFonts w:hint="eastAsia" w:ascii="仿宋" w:hAnsi="仿宋" w:eastAsia="仿宋" w:cs="E-BZ9-PK74888-Identity-H"/>
          <w:kern w:val="0"/>
          <w:sz w:val="32"/>
          <w:szCs w:val="32"/>
          <w:lang w:eastAsia="zh-CN"/>
        </w:rPr>
        <w:t>与</w:t>
      </w:r>
      <w:r>
        <w:rPr>
          <w:rFonts w:hint="eastAsia" w:ascii="仿宋" w:hAnsi="仿宋" w:eastAsia="仿宋" w:cs="E-BZ9-PK74888-Identity-H"/>
          <w:kern w:val="0"/>
          <w:sz w:val="32"/>
          <w:szCs w:val="32"/>
          <w:lang w:val="en-US" w:eastAsia="zh-CN"/>
        </w:rPr>
        <w:t>冯勇可协商解决，但不属于原告请求范围因此本案依法不予处理，如双方协商未果，冯勇可另案向有管辖权的人民法院提起诉讼。同时鉴于冯勇已承担了应承担的赔偿责任，因此本案不再承担赔偿责任，</w:t>
      </w:r>
      <w:r>
        <w:rPr>
          <w:rFonts w:hint="eastAsia" w:ascii="仿宋" w:hAnsi="仿宋" w:eastAsia="仿宋" w:cs="E-BZ9-PK74888-Identity-H"/>
          <w:kern w:val="0"/>
          <w:sz w:val="32"/>
          <w:szCs w:val="32"/>
        </w:rPr>
        <w:t>玖万公司</w:t>
      </w:r>
      <w:r>
        <w:rPr>
          <w:rFonts w:hint="eastAsia" w:ascii="仿宋" w:hAnsi="仿宋" w:eastAsia="仿宋" w:cs="E-BZ9-PK74888-Identity-H"/>
          <w:kern w:val="0"/>
          <w:sz w:val="32"/>
          <w:szCs w:val="32"/>
          <w:lang w:eastAsia="zh-CN"/>
        </w:rPr>
        <w:t>也由此不成立对</w:t>
      </w:r>
      <w:r>
        <w:rPr>
          <w:rFonts w:hint="eastAsia" w:ascii="仿宋" w:hAnsi="仿宋" w:eastAsia="仿宋" w:cs="E-BZ9-PK74888-Identity-H"/>
          <w:kern w:val="0"/>
          <w:sz w:val="32"/>
          <w:szCs w:val="32"/>
          <w:lang w:val="en-US" w:eastAsia="zh-CN"/>
        </w:rPr>
        <w:t>冯勇的赔偿承担</w:t>
      </w:r>
      <w:r>
        <w:rPr>
          <w:rFonts w:hint="eastAsia" w:ascii="仿宋" w:hAnsi="仿宋" w:eastAsia="仿宋" w:cs="E-BZ9-PK74888-Identity-H"/>
          <w:kern w:val="0"/>
          <w:sz w:val="32"/>
          <w:szCs w:val="32"/>
          <w:lang w:eastAsia="zh-CN"/>
        </w:rPr>
        <w:t>连带责任问题。</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第一款、第三十五条、第四十八条、</w:t>
      </w:r>
      <w:r>
        <w:rPr>
          <w:rFonts w:hint="eastAsia" w:ascii="仿宋" w:hAnsi="仿宋" w:eastAsia="仿宋" w:cs="H-SS9-PK74820000a48-Identity-H"/>
          <w:kern w:val="0"/>
          <w:sz w:val="32"/>
          <w:szCs w:val="32"/>
          <w:lang w:eastAsia="zh-CN"/>
        </w:rPr>
        <w:t>《中华人民共和国道路交通安全法》第七十六条第一款第一项、《最高人民法院关于审理道路交通事故损害赔偿案件适用法律若干问题的解释》第十六条、《最高人民法院关于审理人身损害赔偿案件适用法律若干问题的解释》第十七条第一、二款、第十八条、第十九条、第二十条、第二十一条、第二十二条、第二十三条、第二十四条、第二十五条第一款、、第二十八条、《最高人民法院关于确定民事侵权精神损害赔偿责任问题的解释》第十条、《中华人民共和国民事诉讼法》第五十一条、第一百四十四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永安财产保险股份有限公司遂宁中心支公司</w:t>
      </w:r>
      <w:r>
        <w:rPr>
          <w:rFonts w:hint="eastAsia" w:ascii="仿宋" w:hAnsi="仿宋" w:eastAsia="仿宋" w:cs="SSJ-PK74820000a3c-Identity-H"/>
          <w:kern w:val="0"/>
          <w:sz w:val="32"/>
          <w:szCs w:val="32"/>
          <w:lang w:eastAsia="zh-CN"/>
        </w:rPr>
        <w:t>在本判决发生法律效力</w:t>
      </w:r>
      <w:r>
        <w:rPr>
          <w:rFonts w:hint="eastAsia" w:ascii="仿宋" w:hAnsi="仿宋" w:eastAsia="仿宋" w:cs="SSJ-PK74820000a3c-Identity-H"/>
          <w:kern w:val="0"/>
          <w:sz w:val="32"/>
          <w:szCs w:val="32"/>
          <w:lang w:val="en-US" w:eastAsia="zh-CN"/>
        </w:rPr>
        <w:t>10日内赔偿原告付之江经济损失</w:t>
      </w:r>
      <w:r>
        <w:rPr>
          <w:rFonts w:hint="eastAsia" w:ascii="仿宋" w:hAnsi="仿宋" w:eastAsia="仿宋" w:cs="E-BZ9-PK74888-Identity-H"/>
          <w:kern w:val="0"/>
          <w:sz w:val="32"/>
          <w:szCs w:val="32"/>
          <w:lang w:val="en-US" w:eastAsia="zh-CN"/>
        </w:rPr>
        <w:t>411011.38元</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H-SS9-PK74820000a48-Identity-H"/>
          <w:kern w:val="0"/>
          <w:sz w:val="32"/>
          <w:szCs w:val="32"/>
          <w:lang w:eastAsia="zh-CN"/>
        </w:rPr>
        <w:t>驳回原告</w:t>
      </w:r>
      <w:r>
        <w:rPr>
          <w:rFonts w:hint="eastAsia" w:ascii="仿宋" w:hAnsi="仿宋" w:eastAsia="仿宋" w:cs="SSJ-PK74820000a3c-Identity-H"/>
          <w:kern w:val="0"/>
          <w:sz w:val="32"/>
          <w:szCs w:val="32"/>
          <w:lang w:val="en-US" w:eastAsia="zh-CN"/>
        </w:rPr>
        <w:t>付之江的</w:t>
      </w:r>
      <w:bookmarkStart w:id="0" w:name="_GoBack"/>
      <w:bookmarkEnd w:id="0"/>
      <w:r>
        <w:rPr>
          <w:rFonts w:hint="eastAsia" w:ascii="仿宋" w:hAnsi="仿宋" w:eastAsia="仿宋" w:cs="SSJ-PK74820000a3c-Identity-H"/>
          <w:kern w:val="0"/>
          <w:sz w:val="32"/>
          <w:szCs w:val="32"/>
          <w:lang w:val="en-US" w:eastAsia="zh-CN"/>
        </w:rPr>
        <w:t>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10164</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5082元，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被告冯勇负担</w:t>
      </w:r>
      <w:r>
        <w:rPr>
          <w:rFonts w:hint="eastAsia" w:ascii="仿宋" w:hAnsi="仿宋" w:eastAsia="仿宋" w:cs="SSJ-PK74820000a3c-Identity-H"/>
          <w:kern w:val="0"/>
          <w:sz w:val="32"/>
          <w:szCs w:val="32"/>
          <w:lang w:val="en-US" w:eastAsia="zh-CN"/>
        </w:rPr>
        <w:t>3388元，原告付之江</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1694元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二〇一九年四月十七日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陈姝旭</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4132B"/>
    <w:multiLevelType w:val="singleLevel"/>
    <w:tmpl w:val="8D64132B"/>
    <w:lvl w:ilvl="0" w:tentative="0">
      <w:start w:val="1"/>
      <w:numFmt w:val="chineseCounting"/>
      <w:suff w:val="nothing"/>
      <w:lvlText w:val="%1、"/>
      <w:lvlJc w:val="left"/>
      <w:rPr>
        <w:rFonts w:hint="eastAsia"/>
      </w:rPr>
    </w:lvl>
  </w:abstractNum>
  <w:abstractNum w:abstractNumId="1">
    <w:nsid w:val="D16D692D"/>
    <w:multiLevelType w:val="singleLevel"/>
    <w:tmpl w:val="D16D692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1E4063F"/>
    <w:rsid w:val="01F47DBE"/>
    <w:rsid w:val="02730F4D"/>
    <w:rsid w:val="02D13E80"/>
    <w:rsid w:val="066828FB"/>
    <w:rsid w:val="08946E62"/>
    <w:rsid w:val="090D0464"/>
    <w:rsid w:val="0B061013"/>
    <w:rsid w:val="0EFD5132"/>
    <w:rsid w:val="0FFF0983"/>
    <w:rsid w:val="10AB36CF"/>
    <w:rsid w:val="11C74C9A"/>
    <w:rsid w:val="11EC7DC9"/>
    <w:rsid w:val="14D24EA8"/>
    <w:rsid w:val="163830F5"/>
    <w:rsid w:val="16D06609"/>
    <w:rsid w:val="1A981BEC"/>
    <w:rsid w:val="1AEB6CF4"/>
    <w:rsid w:val="1BFE5A3F"/>
    <w:rsid w:val="1C9C4966"/>
    <w:rsid w:val="21A02041"/>
    <w:rsid w:val="22AC119F"/>
    <w:rsid w:val="22DD650C"/>
    <w:rsid w:val="24B4697C"/>
    <w:rsid w:val="26772887"/>
    <w:rsid w:val="29147C4C"/>
    <w:rsid w:val="2A0A784F"/>
    <w:rsid w:val="2AC603D8"/>
    <w:rsid w:val="2CED4F02"/>
    <w:rsid w:val="2D68068E"/>
    <w:rsid w:val="30430163"/>
    <w:rsid w:val="30466086"/>
    <w:rsid w:val="31CB1473"/>
    <w:rsid w:val="323E3993"/>
    <w:rsid w:val="32D73280"/>
    <w:rsid w:val="33BE3D57"/>
    <w:rsid w:val="34FD4D03"/>
    <w:rsid w:val="355E1F36"/>
    <w:rsid w:val="35E71D75"/>
    <w:rsid w:val="37855C99"/>
    <w:rsid w:val="38D03927"/>
    <w:rsid w:val="44437A68"/>
    <w:rsid w:val="44461B40"/>
    <w:rsid w:val="46B00EB2"/>
    <w:rsid w:val="46B1390C"/>
    <w:rsid w:val="47CB49E2"/>
    <w:rsid w:val="487825CA"/>
    <w:rsid w:val="4B686BCC"/>
    <w:rsid w:val="4BD9131B"/>
    <w:rsid w:val="4C6413A0"/>
    <w:rsid w:val="4D250247"/>
    <w:rsid w:val="4D407AF7"/>
    <w:rsid w:val="4E2F4742"/>
    <w:rsid w:val="4F3775A6"/>
    <w:rsid w:val="503131DD"/>
    <w:rsid w:val="503E1C50"/>
    <w:rsid w:val="516A542D"/>
    <w:rsid w:val="5218686E"/>
    <w:rsid w:val="532C458F"/>
    <w:rsid w:val="5447742C"/>
    <w:rsid w:val="54B37548"/>
    <w:rsid w:val="56257591"/>
    <w:rsid w:val="569B0E17"/>
    <w:rsid w:val="572D77DD"/>
    <w:rsid w:val="57C3169C"/>
    <w:rsid w:val="5C5E768E"/>
    <w:rsid w:val="5D0258F9"/>
    <w:rsid w:val="5F247566"/>
    <w:rsid w:val="5FCF0D01"/>
    <w:rsid w:val="5FFC5DE5"/>
    <w:rsid w:val="606F5D06"/>
    <w:rsid w:val="60FD0603"/>
    <w:rsid w:val="61582334"/>
    <w:rsid w:val="623A2D4B"/>
    <w:rsid w:val="638717D1"/>
    <w:rsid w:val="6475694F"/>
    <w:rsid w:val="64ED04B1"/>
    <w:rsid w:val="65515A01"/>
    <w:rsid w:val="67546ADE"/>
    <w:rsid w:val="685E3E4C"/>
    <w:rsid w:val="6C7661C2"/>
    <w:rsid w:val="6D2A3E5B"/>
    <w:rsid w:val="6D802F91"/>
    <w:rsid w:val="6F3D2189"/>
    <w:rsid w:val="71701314"/>
    <w:rsid w:val="72443566"/>
    <w:rsid w:val="73BA2A35"/>
    <w:rsid w:val="754E13DD"/>
    <w:rsid w:val="755C5B9D"/>
    <w:rsid w:val="75846B76"/>
    <w:rsid w:val="76212063"/>
    <w:rsid w:val="76413484"/>
    <w:rsid w:val="77005ABE"/>
    <w:rsid w:val="77CD20C4"/>
    <w:rsid w:val="7A932459"/>
    <w:rsid w:val="7B68460B"/>
    <w:rsid w:val="7C9E5CD5"/>
    <w:rsid w:val="7DBC5A6C"/>
    <w:rsid w:val="7E1F127B"/>
    <w:rsid w:val="7E927C01"/>
    <w:rsid w:val="7EC675C9"/>
    <w:rsid w:val="7EE05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7</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2019-04-25T02:38:03Z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