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44"/>
          <w:szCs w:val="44"/>
          <w:lang w:val="en-US" w:eastAsia="zh-CN"/>
        </w:rPr>
      </w:pPr>
      <w:r>
        <w:rPr>
          <w:rFonts w:hint="eastAsia" w:ascii="黑体" w:hAnsi="黑体" w:eastAsia="黑体" w:cs="黑体"/>
          <w:sz w:val="44"/>
          <w:szCs w:val="44"/>
          <w:lang w:eastAsia="zh-CN"/>
        </w:rPr>
        <w:t>刑民交叉的诉讼路径与裁判模式探析</w:t>
      </w:r>
      <w:r>
        <w:rPr>
          <w:rFonts w:hint="eastAsia" w:ascii="黑体" w:hAnsi="黑体" w:eastAsia="黑体" w:cs="黑体"/>
          <w:sz w:val="44"/>
          <w:szCs w:val="44"/>
          <w:lang w:val="en-US" w:eastAsia="zh-CN"/>
        </w:rPr>
        <w:t>:以合同诈骗罪为例</w:t>
      </w:r>
    </w:p>
    <w:p>
      <w:pP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 xml:space="preserve">               余孝安</w:t>
      </w:r>
    </w:p>
    <w:p>
      <w:pPr>
        <w:ind w:firstLine="640" w:firstLineChars="200"/>
        <w:rPr>
          <w:rFonts w:hint="eastAsia" w:asciiTheme="majorEastAsia" w:hAnsiTheme="majorEastAsia" w:eastAsiaTheme="majorEastAsia" w:cstheme="majorEastAsia"/>
          <w:sz w:val="28"/>
          <w:szCs w:val="28"/>
          <w:lang w:val="en-US" w:eastAsia="zh-CN"/>
        </w:rPr>
      </w:pPr>
      <w:r>
        <w:rPr>
          <w:rFonts w:hint="eastAsia" w:ascii="黑体" w:hAnsi="黑体" w:eastAsia="黑体" w:cs="黑体"/>
          <w:sz w:val="32"/>
          <w:szCs w:val="32"/>
          <w:lang w:val="en-US" w:eastAsia="zh-CN"/>
        </w:rPr>
        <w:t>内容提要：</w:t>
      </w:r>
      <w:r>
        <w:rPr>
          <w:rFonts w:hint="eastAsia" w:asciiTheme="majorEastAsia" w:hAnsiTheme="majorEastAsia" w:eastAsiaTheme="majorEastAsia" w:cstheme="majorEastAsia"/>
          <w:sz w:val="28"/>
          <w:szCs w:val="28"/>
          <w:lang w:val="en-US" w:eastAsia="zh-CN"/>
        </w:rPr>
        <w:t>刑民交叉问题是目前尚未根本解决的问题，刑事先行或民事先行或独立或附带是理论界多年争论不休的问题，也是司法实践中积极探索的命题，本文无意于纠缠理论上的争论，而是进行样本考察，观察司法的实际样态。既然为刑民交叉案件，必然涉及国家、集体、个人、其他组织的生命财产被侵害的刑事案件，才有交叉的问题。刑事和民事交叉的案件，属双重违法，理应受到双重责任追究，然事实并非如此，通过对合同诈骗罪的抽样考察，发现刑事责任取代民事责任，成为问题的焦点，且以此为点向面上</w:t>
      </w:r>
      <w:r>
        <w:rPr>
          <w:rFonts w:hint="eastAsia" w:asciiTheme="majorEastAsia" w:hAnsiTheme="majorEastAsia" w:eastAsiaTheme="majorEastAsia" w:cstheme="majorEastAsia"/>
          <w:color w:val="000000" w:themeColor="text1"/>
          <w:sz w:val="28"/>
          <w:szCs w:val="28"/>
          <w:lang w:val="en-US" w:eastAsia="zh-CN"/>
          <w14:textFill>
            <w14:solidFill>
              <w14:schemeClr w14:val="tx1"/>
            </w14:solidFill>
          </w14:textFill>
        </w:rPr>
        <w:t>延伸</w:t>
      </w:r>
      <w:r>
        <w:rPr>
          <w:rFonts w:hint="eastAsia" w:asciiTheme="majorEastAsia" w:hAnsiTheme="majorEastAsia" w:eastAsiaTheme="majorEastAsia" w:cstheme="majorEastAsia"/>
          <w:sz w:val="28"/>
          <w:szCs w:val="28"/>
          <w:lang w:val="en-US" w:eastAsia="zh-CN"/>
        </w:rPr>
        <w:t>，其他很多侵害生命健康和财产权的刑事案件都存在类似的问题，由此可知我国的刑事诉讼制度，在刑事附带民事诉讼的制度设计上存在理论预设和立法上的缺陷，应当进行理念上的重新考量与制度上的补强，及司法方法改变，其路径一是进行立法修正刑诉法第99条修改为“被害人由于被告人的犯罪行为而遭受财产损失、精神损害的，在刑事诉讼过程中，有权提起附带民事诉讼，但影响诉讼迟延的不予受理，告之另行提起民事诉讼……”，其他相关法条进行相应修改；路径二是通过教义学方法对相关条款进行重新解释，并创制成指导案例。</w:t>
      </w:r>
    </w:p>
    <w:p>
      <w:pPr>
        <w:rPr>
          <w:rFonts w:hint="eastAsia" w:ascii="宋体" w:hAnsi="宋体" w:eastAsia="宋体" w:cs="宋体"/>
          <w:sz w:val="28"/>
          <w:szCs w:val="28"/>
          <w:lang w:val="en-US" w:eastAsia="zh-CN"/>
        </w:rPr>
      </w:pPr>
    </w:p>
    <w:p>
      <w:pPr>
        <w:ind w:firstLine="3520" w:firstLineChars="1100"/>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 xml:space="preserve"> 引  言</w:t>
      </w:r>
    </w:p>
    <w:p>
      <w:pPr>
        <w:rPr>
          <w:rFonts w:hint="eastAsia" w:asciiTheme="majorEastAsia" w:hAnsiTheme="majorEastAsia" w:eastAsiaTheme="majorEastAsia" w:cstheme="majorEastAsia"/>
          <w:sz w:val="32"/>
          <w:szCs w:val="32"/>
          <w:lang w:val="en-US" w:eastAsia="zh-CN"/>
        </w:rPr>
      </w:pPr>
    </w:p>
    <w:p>
      <w:pPr>
        <w:ind w:left="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eastAsia="zh-CN"/>
        </w:rPr>
        <w:t>我国近年来，诈骗、合同诈骗、侵犯知识产权等犯罪呈上升趋势，从一定意义上说，是因为部分人在利欲熏心的驱使下，行为失范的结果，同时也表明社会在文明发展的进程中，犯罪行为从明目张胆型侵财罪转化为隐蔽型侵财罪，犯罪的智能化也在与日俱增，但从刑罚的修复和预防意义上考量，证明我们的刑罚和其他法律及司法还存在某一些欠缺，本论题，正是从后一种意义上进行展开，并以合同诈骗罪为样本考察研究问题，拟进行制度上，司法方法上补强。笔者从</w:t>
      </w:r>
      <w:r>
        <w:rPr>
          <w:rFonts w:hint="eastAsia" w:asciiTheme="minorEastAsia" w:hAnsiTheme="minorEastAsia" w:cstheme="minorEastAsia"/>
          <w:sz w:val="28"/>
          <w:szCs w:val="28"/>
          <w:lang w:val="en-US" w:eastAsia="zh-CN"/>
        </w:rPr>
        <w:t>1696件合同诈骗罪的裁判考察，发现合同诈骗罪的判决中存在的问题有，重量刑判项欠修复判项，在事实认定上罪量与非罪量纠缠不清，刑民互补缺失，导致被侵害的法益未得到完全性修复，以至于违法犯罪还获得经济利益，受害人的损失赔偿被刑罚取代而没下落，刑法的保护、警示、预防功能大大降低。为了解决以上问题，笔者从司法模式入手，刑民交叉为突破点，蕴含的制度漏洞为补强点，由此获取路径。</w:t>
      </w:r>
    </w:p>
    <w:p>
      <w:pPr>
        <w:numPr>
          <w:ilvl w:val="0"/>
          <w:numId w:val="1"/>
        </w:numPr>
        <w:ind w:left="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裁判形态：重刑轻民，以刑代民</w:t>
      </w:r>
    </w:p>
    <w:p>
      <w:pPr>
        <w:numPr>
          <w:ilvl w:val="0"/>
          <w:numId w:val="0"/>
        </w:numPr>
        <w:ind w:left="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从中国知网收录的全国1696件合同诈骗罪案件考察，并访问部分刑事案件审理法官，目前的判决情况呈现以下几种形态：</w:t>
      </w:r>
    </w:p>
    <w:p>
      <w:pPr>
        <w:numPr>
          <w:ilvl w:val="0"/>
          <w:numId w:val="0"/>
        </w:numPr>
        <w:ind w:left="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（一）刑事判决呈现多种样态</w:t>
      </w:r>
    </w:p>
    <w:p>
      <w:pPr>
        <w:numPr>
          <w:ilvl w:val="0"/>
          <w:numId w:val="0"/>
        </w:numPr>
        <w:ind w:left="0" w:leftChars="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刑罚+追缴发还或责令退赔型。从抽取的样本案例看，这类判决:71%，这种判决还细分为，有具体发还对象的发还判决，无具体发还对象的发还判决，但是对于追缴的数额和发还的数额一般都没明确。例1：张某假冒军队干部以出售电解铜为由骗李某100万元，退还45万元，55万元未追回，判处有期徒刑10年，并处罚金1万元；退赔李某55万元。例2：黄某在海淀区无照经营“北京阿信物流公司”骗取张某等91人货款83万余元，判处有期徒刑11年，剥夺政治权利2年，罚金10万元，继续向各被害人退赔剩余损失。</w:t>
      </w:r>
      <w:r>
        <w:rPr>
          <w:rStyle w:val="4"/>
          <w:rFonts w:hint="eastAsia" w:asciiTheme="minorEastAsia" w:hAnsiTheme="minorEastAsia" w:cstheme="minorEastAsia"/>
          <w:sz w:val="28"/>
          <w:szCs w:val="28"/>
          <w:lang w:val="en-US" w:eastAsia="zh-CN"/>
        </w:rPr>
        <w:footnoteReference w:id="0"/>
      </w:r>
    </w:p>
    <w:p>
      <w:pPr>
        <w:numPr>
          <w:ilvl w:val="0"/>
          <w:numId w:val="0"/>
        </w:numPr>
        <w:ind w:left="0" w:leftChars="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2、单一刑罚型。这种类型的判决占样本案例的27%，其具体案件事实是在判决前，被告人退还了赃款给被害人，刑期较短或者犯罪涉及的标的额特别巨大，犯罪分子已经挥霍，判决的刑期为10年以上有期徒刑或者无期徒刑，追缴的可能性不大的案件。例1：高某以共同开采铁矿石为名，签订承包合同骗取吴某9.5万元，判决：判处高某有期徒刑4年，并处罚金9万元。例2：周某以共同投资经营沙场为名骗袁某40万元，判处周某有期徒刑5年，并处罚金5万元。</w:t>
      </w:r>
      <w:r>
        <w:rPr>
          <w:rStyle w:val="4"/>
          <w:rFonts w:hint="eastAsia" w:asciiTheme="minorEastAsia" w:hAnsiTheme="minorEastAsia" w:cstheme="minorEastAsia"/>
          <w:sz w:val="28"/>
          <w:szCs w:val="28"/>
          <w:lang w:val="en-US" w:eastAsia="zh-CN"/>
        </w:rPr>
        <w:footnoteReference w:id="1" w:customMarkFollows="1"/>
        <w:t>②</w:t>
      </w:r>
    </w:p>
    <w:p>
      <w:pPr>
        <w:numPr>
          <w:ilvl w:val="0"/>
          <w:numId w:val="0"/>
        </w:numPr>
        <w:ind w:left="0" w:leftChars="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3、刑罚+没收型。这种类型的判决严格意义上属于单一刑罚判决，但是由于没收后的处理，有的处理是收缴国家，有的处理是发还被害人，因此有必要作为一种类型进行研究。这种类型的判决占2%。</w:t>
      </w:r>
    </w:p>
    <w:p>
      <w:pPr>
        <w:numPr>
          <w:ilvl w:val="0"/>
          <w:numId w:val="0"/>
        </w:numPr>
        <w:ind w:left="0" w:leftChars="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（二）刑民交叉的司法样态</w:t>
      </w:r>
    </w:p>
    <w:p>
      <w:pPr>
        <w:numPr>
          <w:ilvl w:val="0"/>
          <w:numId w:val="0"/>
        </w:numPr>
        <w:ind w:left="0" w:leftChars="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民事+刑罚型。这种情况，一般是合同当事人，首先进行民事诉讼，以寻求民事司法救济，在未能够执行兑现的情况下，再控告，期待刑罚制裁当事人，或者少部分当事人获得了民事救济，其后的当事人因无法获得民事救济，控告当事人，追究刑事责任，获得心理上的安慰。</w:t>
      </w:r>
    </w:p>
    <w:p>
      <w:pPr>
        <w:numPr>
          <w:ilvl w:val="0"/>
          <w:numId w:val="0"/>
        </w:numPr>
        <w:ind w:left="0" w:leftChars="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2、刑罚+民事型。这种情况，一般出现在对于漏罪的处理上，对于犯罪分子已经因为系列诈骗受到刑罚处罚，但是对于漏掉的犯罪部分被害人，不选择控告的方式，追究犯罪嫌疑人的刑事责任，而是直接进行民事诉讼，追究其民事责任。</w:t>
      </w:r>
    </w:p>
    <w:p>
      <w:pPr>
        <w:numPr>
          <w:ilvl w:val="0"/>
          <w:numId w:val="0"/>
        </w:numPr>
        <w:ind w:left="0" w:leftChars="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3、刑事附带民事赔偿型。这种类型一般限制在合同诈骗造成了被害人的财物毁灭和人身损害的情况，但不包括合同利益的损失，或者说经济利益的损失或者说金钱损失，因为我国刑法将后面的情况排除在附带民事赔偿之外，至于原因后面再作研究。</w:t>
      </w:r>
    </w:p>
    <w:p>
      <w:pPr>
        <w:numPr>
          <w:ilvl w:val="0"/>
          <w:numId w:val="0"/>
        </w:numPr>
        <w:ind w:left="0" w:leftChars="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（三）现有模式的弊端</w:t>
      </w:r>
    </w:p>
    <w:p>
      <w:pPr>
        <w:numPr>
          <w:ilvl w:val="0"/>
          <w:numId w:val="0"/>
        </w:numPr>
        <w:ind w:left="0" w:leftChars="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判决中的追缴成为水中月。由于合同诈骗罪，是职权主义主导下的判决，在刑事诉讼法中并没有设立被害人参加诉讼的地位，因此被害人非当事人，没有申请执行的权利，法院在刑罚交予刑罚执行机关执行后，追缴的判项一般都没有执行。河南洛阳市中级人民法院2007年1-5月刑事附带民事执行兑现率为0。</w:t>
      </w:r>
      <w:r>
        <w:rPr>
          <w:rStyle w:val="4"/>
          <w:rFonts w:hint="eastAsia" w:asciiTheme="minorEastAsia" w:hAnsiTheme="minorEastAsia" w:cstheme="minorEastAsia"/>
          <w:sz w:val="28"/>
          <w:szCs w:val="28"/>
          <w:lang w:val="en-US" w:eastAsia="zh-CN"/>
        </w:rPr>
        <w:footnoteReference w:id="2" w:customMarkFollows="1"/>
        <w:t>①</w:t>
      </w:r>
      <w:r>
        <w:rPr>
          <w:rFonts w:hint="eastAsia" w:asciiTheme="minorEastAsia" w:hAnsiTheme="minorEastAsia" w:cstheme="minorEastAsia"/>
          <w:sz w:val="28"/>
          <w:szCs w:val="28"/>
          <w:lang w:val="en-US" w:eastAsia="zh-CN"/>
        </w:rPr>
        <w:t>被害人对此也只能望文生叹。</w:t>
      </w:r>
    </w:p>
    <w:p>
      <w:pPr>
        <w:numPr>
          <w:ilvl w:val="0"/>
          <w:numId w:val="0"/>
        </w:numPr>
        <w:ind w:left="0" w:leftChars="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2、追缴这个判项不能涵盖被害人的实际损失。刑法中的判决着眼点在被告人从被害人处诈骗取得的财物多少上，并不关注被害人实际受到损失的大小，因此即使进行了追缴，发还被害人，也没有修复民事权益的损害，如利用建设工程合同，诈骗合同保证金的案件，被害人花费大量的人力物力，进行施工作业，保证金与履行合同的损失相比较，可以说是九牛一毛。</w:t>
      </w:r>
    </w:p>
    <w:p>
      <w:pPr>
        <w:numPr>
          <w:ilvl w:val="0"/>
          <w:numId w:val="0"/>
        </w:numPr>
        <w:ind w:left="0" w:leftChars="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3、合同诈骗罪一般都将附带民事诉讼排除在外。由于刑事诉讼法将附带民事诉讼限制在一个很狭窄的空间地带，因此被害人很难作为原告进入，因此民事权益的救济十分困难。刑罚后的民事诉讼法院也基本不予受理，导致民事救济通道被堵塞。</w:t>
      </w:r>
    </w:p>
    <w:p>
      <w:pPr>
        <w:numPr>
          <w:ilvl w:val="0"/>
          <w:numId w:val="0"/>
        </w:numPr>
        <w:ind w:left="0" w:leftChars="0"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4、民事先行刑事后行涉及的犯罪金额构成事实如何计算成为法律盲区。从样本案件情况看，在未对被告人进行刑事追究之前，一般都以合同有效，履行合同责任，承担违约责任的形式进行判决，在刑事诉讼进入后，这一部分涉及的犯罪标的数额，是否作为罪量的事实构成，司法实践做法不一，没有统一。并且刑事判决和民事判决，也存在潜在的冲突，因为一旦合同诈骗罪成立，意味着，合同被重新评价为损害社会公共利益，按照合同法这种行为就属于无效民事行为，对于在先的民事判决是否必须进行再审改判呢？如果改判其他法律问题及社会问题也会接踵而至。</w:t>
      </w:r>
    </w:p>
    <w:p>
      <w:pPr>
        <w:numPr>
          <w:ilvl w:val="0"/>
          <w:numId w:val="0"/>
        </w:numPr>
        <w:ind w:left="0" w:leftChars="0"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其他还存在一些细小的问题，不一一列举。</w:t>
      </w:r>
    </w:p>
    <w:p>
      <w:pPr>
        <w:numPr>
          <w:ilvl w:val="0"/>
          <w:numId w:val="0"/>
        </w:numPr>
        <w:ind w:left="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二、 弊端何来：制度-司法-观念</w:t>
      </w:r>
    </w:p>
    <w:p>
      <w:pPr>
        <w:numPr>
          <w:ilvl w:val="0"/>
          <w:numId w:val="0"/>
        </w:numPr>
        <w:ind w:left="0" w:leftChars="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一）现有制度供给不足。从我国刑事诉讼法的立法目的看，在第2条有“……保护公民的财产权利……”内容，对于“保护公民财产权利”跟进的细则第99条看，附带民事诉讼将公民“财产权利”限制在“被害人由于被告人的犯罪行为而遭受物质损失在刑事诉讼过程中有权提起附带民事诉讼……”，“财产权利”的内涵与外延比“物质”的内涵与外延宽泛得多，也就是说适用刑事诉讼法分则具体保护公民财产权利时只能是物质损失部分可以提起附带民事诉讼，何为“物质损失”呢？最高人民法院关于适用《中华人民共和国刑事诉讼法的解释》第138条解释为，“财物被毁坏而遭受物质损失的……”，由此可以看出刑事附带民事赔偿，只限于物权法上的财物损失，而其他民事法律上财产权益损失都不能提起刑事附带民事诉讼，这意味着刑事诉讼法只保护“有限财产”，不保护全部财产权利，如股权、知识产权、合同利益、劳动报酬等系列财产权益都被排除在刑事附带民事赔偿之外。由于这一制度缺陷导致在合同诈骗罪中，绝大多数案件都不能提起附带民事赔偿诉讼，因为合同诈骗罪，被告人多数诈骗的是金钱，少数诈骗的才是财物，即使诈骗了财物，财物还未必被毁坏，或者只是被消费，或者转移，因此合同诈骗罪一般来说都被排除在刑事附带民事赔偿之外。这无疑产生了犯罪行为虽然受到刑法惩罚，却获得了较大的利益，甚至巨大的利益，导致犯罪分子铤而走险，合同诈骗罪等案件逐年上升。</w:t>
      </w:r>
    </w:p>
    <w:p>
      <w:pPr>
        <w:numPr>
          <w:ilvl w:val="0"/>
          <w:numId w:val="0"/>
        </w:numPr>
        <w:ind w:left="0" w:leftChars="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实体法之间的制度衔接不紧密。严重的合同诈骗行为，既是犯罪行为，也是民事违法行为，但是两种法律立法目的不同，责任形式不同，处理方式也存在较大差别，刑法第二条规定“……用刑罚同犯罪分子作斗争……保护公民私人所有的财产……”，从这条规定的任务上看，刑法保护的方式主要是刑罚惩罚的方式，特殊预防与一般预防的方式，并非主要是修复损失，填补损失，义务履行的民法方式，合同诈骗罪的规定可进一步证明这点。刑法第二百二十四条规定“有下列情形之一，以非法占有为目的，在签订、履行合同过程中，骗取对方当事人财物，数额较大的，处三年以下有期徒刑或者拘役，并处罚金……（一）以虚构的单位或者冒用他人名义签订合同的；……”，因此我国刑法对合同诈骗罪中的被害人财产损失，并不关注。司法解释对此作了一定的补救，刑事诉讼法司法解释第一百三十九条规定“被告人非法占有、处置被害人财产的，应当依法予以追缴或者责令退赔。被害人提起附带民事诉讼的，人民法院不予受理。追缴、退赔的情况，可以作为量刑情节予以考虑。”，但补救不周延，一是追缴后是否必须发还被害人不明确；二是在不能全部退赔时如何分配也不明确；三是将附带民事诉讼排除在外，堵塞了被害人寻求民事救济的通道。被害人既然不能附带提起民事诉讼，可否独立提起民事诉讼，</w:t>
      </w:r>
      <w:r>
        <w:rPr>
          <w:rFonts w:hint="eastAsia" w:asciiTheme="minorEastAsia" w:hAnsiTheme="minorEastAsia" w:cstheme="minorEastAsia"/>
          <w:color w:val="000000" w:themeColor="text1"/>
          <w:sz w:val="28"/>
          <w:szCs w:val="28"/>
          <w:lang w:val="en-US" w:eastAsia="zh-CN"/>
          <w14:textFill>
            <w14:solidFill>
              <w14:schemeClr w14:val="tx1"/>
            </w14:solidFill>
          </w14:textFill>
        </w:rPr>
        <w:t>刑诉法解释是不明确的</w:t>
      </w:r>
      <w:r>
        <w:rPr>
          <w:rFonts w:hint="eastAsia" w:asciiTheme="minorEastAsia" w:hAnsiTheme="minorEastAsia" w:cstheme="minorEastAsia"/>
          <w:sz w:val="28"/>
          <w:szCs w:val="28"/>
          <w:lang w:val="en-US" w:eastAsia="zh-CN"/>
        </w:rPr>
        <w:t>，因此缺乏与民法及民事诉讼的衔接。如刑诉法的解释有将合同诈骗罪的民事问题排除在外的意思，那么出现的问题就是与民法上的意思自治，权利义务对等，有违法损害必有民事赔偿等的民法原则相冲突，“背离了基本的侵权责任归责原则，等于为了某种功利性因素的考量而公开放弃对民法正义的追求。”</w:t>
      </w:r>
      <w:r>
        <w:rPr>
          <w:rStyle w:val="4"/>
          <w:rFonts w:hint="eastAsia" w:asciiTheme="minorEastAsia" w:hAnsiTheme="minorEastAsia" w:cstheme="minorEastAsia"/>
          <w:sz w:val="28"/>
          <w:szCs w:val="28"/>
          <w:lang w:val="en-US" w:eastAsia="zh-CN"/>
        </w:rPr>
        <w:footnoteReference w:id="3"/>
      </w:r>
      <w:r>
        <w:rPr>
          <w:rFonts w:hint="eastAsia" w:asciiTheme="minorEastAsia" w:hAnsiTheme="minorEastAsia" w:cstheme="minorEastAsia"/>
          <w:sz w:val="28"/>
          <w:szCs w:val="28"/>
          <w:lang w:val="en-US" w:eastAsia="zh-CN"/>
        </w:rPr>
        <w:t>。如何调适不能不说是合同诈骗罪下刑民交叉需要解决的问题。如仅是因为考虑刑事诉讼的效率，合同问题审理的复杂性，不利于刑事诉讼快审快结，那么产生的民事诉讼就是合同诈骗罪下民事诉讼是先行或者后行或者独立并行问题。实体上可能出现刑法上的否定可否替代合同法上的无效等问题。</w:t>
      </w:r>
    </w:p>
    <w:p>
      <w:pPr>
        <w:numPr>
          <w:ilvl w:val="0"/>
          <w:numId w:val="0"/>
        </w:numPr>
        <w:ind w:left="0" w:leftChars="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（二）司法实践产出贫困导致合同诈骗民事救济困难。最高人民法院发布的指导案例有92件，涉及合同诈骗罪仅有一例，即指导案例62号，</w:t>
      </w:r>
      <w:r>
        <w:rPr>
          <w:rStyle w:val="4"/>
          <w:rFonts w:hint="eastAsia" w:asciiTheme="minorEastAsia" w:hAnsiTheme="minorEastAsia" w:cstheme="minorEastAsia"/>
          <w:sz w:val="28"/>
          <w:szCs w:val="28"/>
          <w:lang w:val="en-US" w:eastAsia="zh-CN"/>
        </w:rPr>
        <w:footnoteReference w:id="4" w:customMarkFollows="1"/>
        <w:t>（5）</w:t>
      </w:r>
      <w:r>
        <w:rPr>
          <w:rFonts w:hint="eastAsia" w:asciiTheme="minorEastAsia" w:hAnsiTheme="minorEastAsia" w:cstheme="minorEastAsia"/>
          <w:sz w:val="28"/>
          <w:szCs w:val="28"/>
          <w:lang w:val="en-US" w:eastAsia="zh-CN"/>
        </w:rPr>
        <w:t>但该案例是解决犯罪未遂与既遂量刑的竞合问题，与交叉问题无关，其他地方各级法院这方面的参考案例也是凤毛麟角。并且明确将刑事判决中的追缴或者责令退赔列为司法判项，以指导案例44号为证，</w:t>
      </w:r>
      <w:r>
        <w:rPr>
          <w:rStyle w:val="4"/>
          <w:rFonts w:hint="eastAsia" w:asciiTheme="minorEastAsia" w:hAnsiTheme="minorEastAsia" w:cstheme="minorEastAsia"/>
          <w:sz w:val="28"/>
          <w:szCs w:val="28"/>
          <w:lang w:val="en-US" w:eastAsia="zh-CN"/>
        </w:rPr>
        <w:footnoteReference w:id="5"/>
      </w:r>
      <w:r>
        <w:rPr>
          <w:rFonts w:hint="eastAsia" w:asciiTheme="minorEastAsia" w:hAnsiTheme="minorEastAsia" w:cstheme="minorEastAsia"/>
          <w:sz w:val="28"/>
          <w:szCs w:val="28"/>
          <w:lang w:val="en-US" w:eastAsia="zh-CN"/>
        </w:rPr>
        <w:t>该案明确以上追缴或退赔由司法机关依职权进行，被害人无刑事诉讼参与权，也无申请执行权，因此合同诈骗罪刑罚中的追缴或退赔难以落实，执行机关以被告人无履行能力无法执行为借口不予执行，被害人奈何不得。后续民事诉讼，也因《中华人民共和国刑事诉讼法的解释》第138条解释“物质损失”规定，被拒之门外。经笔者搜索全国法院的裁判文书，没发现合同诈骗罪刑罚处罚后，还因此继续进行民事独立诉讼情形，只出现了刑罚追究之前的民事诉讼。</w:t>
      </w:r>
    </w:p>
    <w:p>
      <w:pPr>
        <w:numPr>
          <w:ilvl w:val="0"/>
          <w:numId w:val="0"/>
        </w:numPr>
        <w:ind w:left="0" w:leftChars="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三）陈旧的法制观念致刑民交叉问题成为司法难题。重刑轻民，刑法的工具性观念，在立法与司法实践中经常被唤醒、记忆、重塑，以至于刑法与民法的两套马车不能并驾齐驱，交叉地带被刑法取代。从古代上说，刑法与政权休戚相关，没有刑法就没有江山社稷，因此刑法特别发达。杨鸿烈先生概括为，“上下四千载，法典数百种，而无私法一焉。”，</w:t>
      </w:r>
      <w:r>
        <w:rPr>
          <w:rStyle w:val="4"/>
          <w:rFonts w:hint="eastAsia" w:asciiTheme="minorEastAsia" w:hAnsiTheme="minorEastAsia" w:cstheme="minorEastAsia"/>
          <w:sz w:val="28"/>
          <w:szCs w:val="28"/>
          <w:lang w:val="en-US" w:eastAsia="zh-CN"/>
        </w:rPr>
        <w:footnoteReference w:id="6"/>
      </w:r>
      <w:r>
        <w:rPr>
          <w:rFonts w:hint="eastAsia" w:asciiTheme="minorEastAsia" w:hAnsiTheme="minorEastAsia" w:cstheme="minorEastAsia"/>
          <w:sz w:val="28"/>
          <w:szCs w:val="28"/>
          <w:lang w:val="en-US" w:eastAsia="zh-CN"/>
        </w:rPr>
        <w:t>《后汉书</w:t>
      </w:r>
      <w:r>
        <w:rPr>
          <w:rFonts w:hint="eastAsia" w:ascii="宋体" w:hAnsi="宋体" w:eastAsia="宋体" w:cs="宋体"/>
          <w:sz w:val="28"/>
          <w:szCs w:val="28"/>
          <w:lang w:val="en-US" w:eastAsia="zh-CN"/>
        </w:rPr>
        <w:t>.</w:t>
      </w:r>
      <w:r>
        <w:rPr>
          <w:rFonts w:hint="eastAsia" w:asciiTheme="minorEastAsia" w:hAnsiTheme="minorEastAsia" w:cstheme="minorEastAsia"/>
          <w:sz w:val="28"/>
          <w:szCs w:val="28"/>
          <w:lang w:val="en-US" w:eastAsia="zh-CN"/>
        </w:rPr>
        <w:t>张敏传》：“建初中上疏曰：‘孔子垂经典，皋陶造法律，原其本意皆欲禁民为非。’”，商鞅说：“民众而奸邪生，故立法制为度量以禁之。”</w:t>
      </w:r>
      <w:r>
        <w:rPr>
          <w:rStyle w:val="4"/>
          <w:rFonts w:hint="eastAsia" w:asciiTheme="minorEastAsia" w:hAnsiTheme="minorEastAsia" w:cstheme="minorEastAsia"/>
          <w:sz w:val="28"/>
          <w:szCs w:val="28"/>
          <w:lang w:val="en-US" w:eastAsia="zh-CN"/>
        </w:rPr>
        <w:footnoteReference w:id="7"/>
      </w:r>
      <w:r>
        <w:rPr>
          <w:rFonts w:hint="eastAsia" w:asciiTheme="minorEastAsia" w:hAnsiTheme="minorEastAsia" w:cstheme="minorEastAsia"/>
          <w:sz w:val="28"/>
          <w:szCs w:val="28"/>
          <w:lang w:val="en-US" w:eastAsia="zh-CN"/>
        </w:rPr>
        <w:t>，韩非曰：“矫上之失，诘下之邪，治乱决谬，绌羡齐非，一民之轨，莫如法；属官威民，退骄淫殆，止奸伪，莫如刑。”</w:t>
      </w:r>
      <w:r>
        <w:rPr>
          <w:rStyle w:val="4"/>
          <w:rFonts w:hint="eastAsia" w:asciiTheme="minorEastAsia" w:hAnsiTheme="minorEastAsia" w:cstheme="minorEastAsia"/>
          <w:sz w:val="28"/>
          <w:szCs w:val="28"/>
          <w:lang w:val="en-US" w:eastAsia="zh-CN"/>
        </w:rPr>
        <w:footnoteReference w:id="8"/>
      </w:r>
      <w:r>
        <w:rPr>
          <w:rFonts w:hint="eastAsia" w:asciiTheme="minorEastAsia" w:hAnsiTheme="minorEastAsia" w:cstheme="minorEastAsia"/>
          <w:sz w:val="28"/>
          <w:szCs w:val="28"/>
          <w:lang w:val="en-US" w:eastAsia="zh-CN"/>
        </w:rPr>
        <w:t>。近、现代刑法的工具主义色彩依然不减，国民党统治时期，刑法不过是暴政的代名词。我国79刑法，仍存有工具主义的影子，同时存在以刑代民的影子，将一些民法解决的问题，并入刑事诉讼，使得民事赔偿和其他民事问题根本得不到真正的解决。这种混淆刑法与民法界分的观念，必然阻却刑事违法行为的当事人承担民事责任，导致刑事责任取代民事责任，滋长以短暂失去自由为代价，换取自己下半辈子或者亲人的幸福、安逸，甚至骄奢淫逸生活的堕落方式。各种各样的网络诈骗，合同诈骗等犯罪十分猖獗，2017年各级法院审理刑事548.9万件，其中危害群众生命财产安全的案件占131.5万件，传销、非法经营、网络诈骗犯罪案件29.3万件，案件逐年上升。</w:t>
      </w:r>
      <w:r>
        <w:rPr>
          <w:rStyle w:val="4"/>
          <w:rFonts w:hint="eastAsia" w:asciiTheme="minorEastAsia" w:hAnsiTheme="minorEastAsia" w:cstheme="minorEastAsia"/>
          <w:sz w:val="28"/>
          <w:szCs w:val="28"/>
          <w:lang w:val="en-US" w:eastAsia="zh-CN"/>
        </w:rPr>
        <w:footnoteReference w:id="9"/>
      </w:r>
      <w:r>
        <w:rPr>
          <w:rFonts w:hint="eastAsia" w:asciiTheme="minorEastAsia" w:hAnsiTheme="minorEastAsia" w:cstheme="minorEastAsia"/>
          <w:sz w:val="28"/>
          <w:szCs w:val="28"/>
          <w:lang w:val="en-US" w:eastAsia="zh-CN"/>
        </w:rPr>
        <w:t>刑罚的预防功能大打折扣，恐怕一个重要的原因就是缺乏民事赔偿的跟进吧。</w:t>
      </w:r>
    </w:p>
    <w:p>
      <w:pPr>
        <w:numPr>
          <w:ilvl w:val="0"/>
          <w:numId w:val="0"/>
        </w:numPr>
        <w:ind w:left="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三、理论创新依赖：历史-比较-贯通</w:t>
      </w:r>
    </w:p>
    <w:p>
      <w:pPr>
        <w:numPr>
          <w:ilvl w:val="0"/>
          <w:numId w:val="0"/>
        </w:numPr>
        <w:ind w:left="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（一）史海打捞。合同诈骗罪的实体和程序处理模式，从历史上可否寻到隐隐约约的踪影呢？上溯到周朝，就有“诈欺盗窃罪”。《费誓》：“逾垣墙，窃马牛，诱臣妾，女则有常刑”。</w:t>
      </w:r>
      <w:r>
        <w:rPr>
          <w:rStyle w:val="4"/>
          <w:rFonts w:hint="eastAsia" w:asciiTheme="minorEastAsia" w:hAnsiTheme="minorEastAsia" w:cstheme="minorEastAsia"/>
          <w:sz w:val="28"/>
          <w:szCs w:val="28"/>
          <w:lang w:val="en-US" w:eastAsia="zh-CN"/>
        </w:rPr>
        <w:footnoteReference w:id="10"/>
      </w:r>
      <w:r>
        <w:rPr>
          <w:rFonts w:hint="eastAsia" w:asciiTheme="minorEastAsia" w:hAnsiTheme="minorEastAsia" w:cstheme="minorEastAsia"/>
          <w:sz w:val="28"/>
          <w:szCs w:val="28"/>
          <w:lang w:val="en-US" w:eastAsia="zh-CN"/>
        </w:rPr>
        <w:t>周朝虽有刑法，但民法极少，无诉讼法，刑罚处理时，赔偿如何处理，法官有相当的裁量权。西汉有“诈欺取财罪”，《景帝本纪》：“……它物若‘买故贱卖故贵’，皆坐臧为盗，没入臧县官，吏迁徙，免罢。……”。西汉对财物部分的处理方式是没收官府，充分体现的职权主义模式。发展至唐朝，诉讼模式开始完善，自诉与公诉并行，当事人混杂的民事请求得到一定程度的支持。唐朝继承“诈欺取财罪”罪名，《疏议》说：“‘诈’谓诡诳，‘欺’诬置罔，欺诈官私财物者，一准盗法科罪，唯不在除免赔赃加役流之例，罪止流三千里……”</w:t>
      </w:r>
      <w:r>
        <w:rPr>
          <w:rStyle w:val="4"/>
          <w:rFonts w:hint="eastAsia" w:asciiTheme="minorEastAsia" w:hAnsiTheme="minorEastAsia" w:cstheme="minorEastAsia"/>
          <w:sz w:val="28"/>
          <w:szCs w:val="28"/>
          <w:lang w:val="en-US" w:eastAsia="zh-CN"/>
        </w:rPr>
        <w:footnoteReference w:id="11"/>
      </w:r>
      <w:r>
        <w:rPr>
          <w:rFonts w:hint="eastAsia" w:asciiTheme="minorEastAsia" w:hAnsiTheme="minorEastAsia" w:cstheme="minorEastAsia"/>
          <w:sz w:val="28"/>
          <w:szCs w:val="28"/>
          <w:lang w:val="en-US" w:eastAsia="zh-CN"/>
        </w:rPr>
        <w:t>，由此唐律疏议明确了诈骗这种犯罪不仅给予刑罚，还要进行民事赔偿。唐以下宋元明清，也继承了罪名，对赃物的处理在没收与赔偿之间逡巡。</w:t>
      </w:r>
    </w:p>
    <w:p>
      <w:pPr>
        <w:numPr>
          <w:ilvl w:val="0"/>
          <w:numId w:val="0"/>
        </w:numPr>
        <w:ind w:left="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（二）比较法借鉴。美国对于犯罪行为的刑民两种责任追究，实行的是当事人主义模式，“美国法采不告不理起诉原则，刑事审判为当事人进行主义……就检察官与被告间纠纷为裁判”，</w:t>
      </w:r>
      <w:r>
        <w:rPr>
          <w:rStyle w:val="4"/>
          <w:rFonts w:hint="eastAsia" w:asciiTheme="minorEastAsia" w:hAnsiTheme="minorEastAsia" w:cstheme="minorEastAsia"/>
          <w:sz w:val="28"/>
          <w:szCs w:val="28"/>
          <w:lang w:val="en-US" w:eastAsia="zh-CN"/>
        </w:rPr>
        <w:footnoteReference w:id="12"/>
      </w:r>
      <w:r>
        <w:rPr>
          <w:rFonts w:hint="eastAsia" w:asciiTheme="minorEastAsia" w:hAnsiTheme="minorEastAsia" w:cstheme="minorEastAsia"/>
          <w:sz w:val="28"/>
          <w:szCs w:val="28"/>
          <w:lang w:val="en-US" w:eastAsia="zh-CN"/>
        </w:rPr>
        <w:t>法院至始至终处于被动、中立、超然的地位，并采用独立的诉讼模式，刑民不交叉进行，刑事基于公诉人请求的范围进行，民事基于原告的请求进行，不受刑事诉讼法及刑法的限制及影响，因此民事诉讼是完整的，救济也是全面的。德国刑民交叉问题在《德国刑事诉讼法典》中体现得相当充分，该法典第395条规定“（一）下列规定的违法行为被害人，可以通过附加诉讼参加已经提起的公诉或者保安处分程序”，1.《德国刑法》第174条至第182条……6.《德国专利法》第142条、《德国实用新式样法》第25条、……《德国反不正当竞争法》第16条至19条……（三）其他违法行为的被害人，尤其是为《德国刑法》第185条至189条……规定的违法行为所伤害，如果基于特别理由，尤其是严重的行为后果，为维护其利益看来有必要，可以通过附加诉讼，参加已经提起的公诉。（四）准许在程序的任何阶段参加诉讼。判决作出后亦可为提出法律救济而参加诉讼。</w:t>
      </w:r>
      <w:r>
        <w:rPr>
          <w:rStyle w:val="4"/>
          <w:rFonts w:hint="eastAsia" w:asciiTheme="minorEastAsia" w:hAnsiTheme="minorEastAsia" w:cstheme="minorEastAsia"/>
          <w:sz w:val="28"/>
          <w:szCs w:val="28"/>
          <w:lang w:val="en-US" w:eastAsia="zh-CN"/>
        </w:rPr>
        <w:footnoteReference w:id="13"/>
      </w:r>
      <w:r>
        <w:rPr>
          <w:rFonts w:hint="eastAsia" w:asciiTheme="minorEastAsia" w:hAnsiTheme="minorEastAsia" w:cstheme="minorEastAsia"/>
          <w:sz w:val="28"/>
          <w:szCs w:val="28"/>
          <w:lang w:val="en-US" w:eastAsia="zh-CN"/>
        </w:rPr>
        <w:t>该法第403条规定，被害人可以在未向其他法院提起诉讼的前提下，提起财产权上的请求权，404条规定附加诉讼与民事诉讼具有同等的法律效力。406条规定法院可以就附加诉讼的被害人的部分请求作出判决，亦可因不适于在刑事程序中处理，可以不判决，主要是拖延刑事诉讼，但是申请人可以另行独立在民事诉讼中主张。从以上可以看出德国刑事诉讼法对被害人的附带民事诉讼范围上看，采用的是列举与概括的立法方式，救济范围比较广泛，虽然列举时未将德国刑法第263条的诈骗罪被害人附加诉讼列举其中，但可以根据兜底条款涵摄的形式申请参与附加诉讼，获得司法救济。同时德国刑法在总则第73条中规定了被害人要求限制追缴及追缴涵摄相关利益，也大大提高了被害人获得救济的程度，值得借鉴。法国著名法学家贝尔纳.•布洛克给刑事中的民事诉讼定义是，“如果犯罪在危害社会秩序的同时，还造成他人人身、物质或者精神损害，那么，受到此种损害的人有权向民事法院或者向负责裁判针对危害社会秩序的行为提起公诉的刑事法院，请求给予赔偿。”</w:t>
      </w:r>
      <w:r>
        <w:rPr>
          <w:rStyle w:val="4"/>
          <w:rFonts w:hint="eastAsia" w:asciiTheme="minorEastAsia" w:hAnsiTheme="minorEastAsia" w:cstheme="minorEastAsia"/>
          <w:sz w:val="28"/>
          <w:szCs w:val="28"/>
          <w:lang w:val="en-US" w:eastAsia="zh-CN"/>
        </w:rPr>
        <w:footnoteReference w:id="14"/>
      </w:r>
      <w:r>
        <w:rPr>
          <w:rFonts w:hint="eastAsia" w:asciiTheme="minorEastAsia" w:hAnsiTheme="minorEastAsia" w:cstheme="minorEastAsia"/>
          <w:sz w:val="28"/>
          <w:szCs w:val="28"/>
          <w:lang w:val="en-US" w:eastAsia="zh-CN"/>
        </w:rPr>
        <w:t>，法国刑事诉讼法第2条规定“对重罪、轻罪或者违警罪造成的损害请求赔偿的民事诉讼，由本人遭受犯罪直接造成之损害的人提起。”。物质损害不仅包括毁灭的物，还包括隐匿、转移、窃取或者扣押的特定财产，刑事诉讼产生的费用支出。</w:t>
      </w:r>
      <w:r>
        <w:rPr>
          <w:rStyle w:val="4"/>
          <w:rFonts w:hint="eastAsia" w:asciiTheme="minorEastAsia" w:hAnsiTheme="minorEastAsia" w:cstheme="minorEastAsia"/>
          <w:sz w:val="28"/>
          <w:szCs w:val="28"/>
          <w:lang w:val="en-US" w:eastAsia="zh-CN"/>
        </w:rPr>
        <w:footnoteReference w:id="15"/>
      </w:r>
      <w:r>
        <w:rPr>
          <w:rFonts w:hint="eastAsia" w:asciiTheme="minorEastAsia" w:hAnsiTheme="minorEastAsia" w:cstheme="minorEastAsia"/>
          <w:sz w:val="28"/>
          <w:szCs w:val="28"/>
          <w:lang w:val="en-US" w:eastAsia="zh-CN"/>
        </w:rPr>
        <w:t>刑事中民事赔偿的责任形式与其他民事赔偿责任形式相同。司法实践中逐渐发展将经济犯罪引起的损失也纳入附带民事诉讼范畴。如1945年6月30日“关于有奖销售或者拒绝销售”的法令违背的犯罪，其损害法院不纳入刑事诉讼，但是1973年随着法律的改变，经济犯罪造成的损害法院也纳入刑事附带民事诉讼范畴。法国附带民事诉讼范围广泛，“进行民事诉讼的人能够证明确实存在本人受到的损失，即可在诉讼中成为民事当事人。”</w:t>
      </w:r>
      <w:r>
        <w:rPr>
          <w:rStyle w:val="4"/>
          <w:rFonts w:hint="eastAsia" w:asciiTheme="minorEastAsia" w:hAnsiTheme="minorEastAsia" w:cstheme="minorEastAsia"/>
          <w:sz w:val="28"/>
          <w:szCs w:val="28"/>
          <w:lang w:val="en-US" w:eastAsia="zh-CN"/>
        </w:rPr>
        <w:footnoteReference w:id="16"/>
      </w:r>
      <w:r>
        <w:rPr>
          <w:rFonts w:hint="eastAsia" w:asciiTheme="minorEastAsia" w:hAnsiTheme="minorEastAsia" w:cstheme="minorEastAsia"/>
          <w:sz w:val="28"/>
          <w:szCs w:val="28"/>
          <w:lang w:val="en-US" w:eastAsia="zh-CN"/>
        </w:rPr>
        <w:t>。诈骗罪中的受害人也自然在其中。民事赔偿诉讼是在刑事诉讼中进行或者独立在民事诉讼中进行，法国刑事诉讼法第3条规定，当事人有选择权。考察其他国家的刑事诉讼中的民事赔偿问题与英美法系及大陆法系的主要国家美国、德国、法国也大同小异，这里不再赘述。</w:t>
      </w:r>
    </w:p>
    <w:p>
      <w:pPr>
        <w:numPr>
          <w:ilvl w:val="0"/>
          <w:numId w:val="0"/>
        </w:numPr>
        <w:ind w:left="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三）普世理念的提炼。关于违法犯罪行为造成的受害人损失，应获得民事赔偿，是独立进行民事诉讼还是在刑事中附带进行，由当事人选择决定，这正是民法中“有违法损害，必有责任赔偿”的民法精神。刑事责任与民事责任不能互相替代，“民事责任与刑事责任的目的不同使然。因为民事责任的目的在于对受害人的损害救济，而刑事责任的目的在于惩罚与预防。”</w:t>
      </w:r>
      <w:r>
        <w:rPr>
          <w:rStyle w:val="4"/>
          <w:rFonts w:hint="eastAsia" w:asciiTheme="minorEastAsia" w:hAnsiTheme="minorEastAsia" w:cstheme="minorEastAsia"/>
          <w:sz w:val="28"/>
          <w:szCs w:val="28"/>
          <w:lang w:val="en-US" w:eastAsia="zh-CN"/>
        </w:rPr>
        <w:footnoteReference w:id="17"/>
      </w:r>
      <w:r>
        <w:rPr>
          <w:rFonts w:hint="eastAsia" w:asciiTheme="minorEastAsia" w:hAnsiTheme="minorEastAsia" w:cstheme="minorEastAsia"/>
          <w:sz w:val="28"/>
          <w:szCs w:val="28"/>
          <w:lang w:val="en-US" w:eastAsia="zh-CN"/>
        </w:rPr>
        <w:t>，两种责任应并列，民事责任的赔偿请求权棣属于受害人，是否行使由当事人决定。充分体现“违法不能获得利益”的法治精要。比较以上世界通行的法律精神原则，结合我国社会主义核心价值观，应就刑事犯罪行为的民事赔偿责任范围过窄，程序选择的问题进行修正和漏洞填补。</w:t>
      </w:r>
    </w:p>
    <w:p>
      <w:pPr>
        <w:numPr>
          <w:ilvl w:val="0"/>
          <w:numId w:val="0"/>
        </w:numPr>
        <w:ind w:left="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四、破题之道：建议的模式</w:t>
      </w:r>
    </w:p>
    <w:p>
      <w:pPr>
        <w:numPr>
          <w:ilvl w:val="0"/>
          <w:numId w:val="0"/>
        </w:numPr>
        <w:ind w:left="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（一）拟修改现有法律清除诉讼障碍。</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2505"/>
        <w:gridCol w:w="2004"/>
        <w:gridCol w:w="1775"/>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3" w:type="dxa"/>
          </w:tcPr>
          <w:p>
            <w:pPr>
              <w:numPr>
                <w:ilvl w:val="0"/>
                <w:numId w:val="0"/>
              </w:numPr>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8"/>
                <w:szCs w:val="28"/>
                <w:vertAlign w:val="baseline"/>
                <w:lang w:val="en-US" w:eastAsia="zh-CN"/>
              </w:rPr>
              <w:t>条款名称</w:t>
            </w:r>
          </w:p>
        </w:tc>
        <w:tc>
          <w:tcPr>
            <w:tcW w:w="2505" w:type="dxa"/>
          </w:tcPr>
          <w:p>
            <w:pPr>
              <w:numPr>
                <w:ilvl w:val="0"/>
                <w:numId w:val="0"/>
              </w:numPr>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现有内容</w:t>
            </w:r>
          </w:p>
        </w:tc>
        <w:tc>
          <w:tcPr>
            <w:tcW w:w="2004" w:type="dxa"/>
          </w:tcPr>
          <w:p>
            <w:pPr>
              <w:numPr>
                <w:ilvl w:val="0"/>
                <w:numId w:val="0"/>
              </w:numPr>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拟修改后内容</w:t>
            </w:r>
          </w:p>
        </w:tc>
        <w:tc>
          <w:tcPr>
            <w:tcW w:w="1775" w:type="dxa"/>
          </w:tcPr>
          <w:p>
            <w:pPr>
              <w:numPr>
                <w:ilvl w:val="0"/>
                <w:numId w:val="0"/>
              </w:numPr>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修改理由</w:t>
            </w:r>
          </w:p>
        </w:tc>
        <w:tc>
          <w:tcPr>
            <w:tcW w:w="735" w:type="dxa"/>
          </w:tcPr>
          <w:p>
            <w:pPr>
              <w:numPr>
                <w:ilvl w:val="0"/>
                <w:numId w:val="0"/>
              </w:numPr>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3" w:type="dxa"/>
          </w:tcPr>
          <w:p>
            <w:pPr>
              <w:numPr>
                <w:ilvl w:val="0"/>
                <w:numId w:val="0"/>
              </w:numPr>
              <w:rPr>
                <w:rFonts w:hint="eastAsia"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刑诉法第99条</w:t>
            </w:r>
          </w:p>
        </w:tc>
        <w:tc>
          <w:tcPr>
            <w:tcW w:w="2505" w:type="dxa"/>
          </w:tcPr>
          <w:p>
            <w:pPr>
              <w:numPr>
                <w:ilvl w:val="0"/>
                <w:numId w:val="0"/>
              </w:numPr>
              <w:ind w:firstLine="360" w:firstLineChars="200"/>
              <w:rPr>
                <w:rFonts w:hint="eastAsia"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被害人由于被告人的犯罪行为而遭受物质损失的，在刑事诉讼过程中，有权提起附带民事诉讼。被害人死亡或者丧失行为能力的，被害人的法定代理人、近亲属有权提起附带民事诉讼。</w:t>
            </w:r>
          </w:p>
          <w:p>
            <w:pPr>
              <w:numPr>
                <w:ilvl w:val="0"/>
                <w:numId w:val="0"/>
              </w:numPr>
              <w:rPr>
                <w:rFonts w:hint="eastAsia"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 xml:space="preserve">    如果是国家财产、集体财产遭受损失的，人民检察院在提起公诉的时候，可以提起附带民事诉讼。</w:t>
            </w:r>
          </w:p>
        </w:tc>
        <w:tc>
          <w:tcPr>
            <w:tcW w:w="2004" w:type="dxa"/>
          </w:tcPr>
          <w:p>
            <w:pPr>
              <w:numPr>
                <w:ilvl w:val="0"/>
                <w:numId w:val="0"/>
              </w:numPr>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18"/>
                <w:szCs w:val="18"/>
                <w:vertAlign w:val="baseline"/>
                <w:lang w:val="en-US" w:eastAsia="zh-CN"/>
              </w:rPr>
              <w:t>被害人由于被告人的犯罪行为而遭受财产损失、精神损害的，在刑事诉讼过程中，有权提起附带民事诉讼，但影响诉讼迟延的不予受理，告之另行提起民事诉讼……</w:t>
            </w:r>
            <w:r>
              <w:rPr>
                <w:rStyle w:val="4"/>
                <w:rFonts w:hint="eastAsia" w:asciiTheme="minorEastAsia" w:hAnsiTheme="minorEastAsia" w:cstheme="minorEastAsia"/>
                <w:sz w:val="18"/>
                <w:szCs w:val="18"/>
                <w:lang w:val="en-US" w:eastAsia="zh-CN"/>
              </w:rPr>
              <w:footnoteReference w:id="18"/>
            </w:r>
          </w:p>
        </w:tc>
        <w:tc>
          <w:tcPr>
            <w:tcW w:w="1775" w:type="dxa"/>
          </w:tcPr>
          <w:p>
            <w:pPr>
              <w:numPr>
                <w:ilvl w:val="0"/>
                <w:numId w:val="0"/>
              </w:numPr>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18"/>
                <w:szCs w:val="18"/>
                <w:vertAlign w:val="baseline"/>
                <w:lang w:val="en-US" w:eastAsia="zh-CN"/>
              </w:rPr>
              <w:t>犯罪行为造成被害人损失是多方面的，不仅有物质的，也有精神的，“物质”这个概念在哲学与法学中解释是不同的，物质将大量的金钱、知识产权等排除在保护之外，与侵权责任法的保护内容不能同一，造成法律的冲突，因此应当修改。另外附带民事诉讼与独立民事诉讼在本质上具有统一性。</w:t>
            </w:r>
          </w:p>
        </w:tc>
        <w:tc>
          <w:tcPr>
            <w:tcW w:w="735" w:type="dxa"/>
          </w:tcPr>
          <w:p>
            <w:pPr>
              <w:numPr>
                <w:ilvl w:val="0"/>
                <w:numId w:val="0"/>
              </w:numPr>
              <w:rPr>
                <w:rFonts w:hint="eastAsia" w:asciiTheme="minorEastAsia" w:hAnsiTheme="minorEastAsia" w:cstheme="minor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3" w:type="dxa"/>
          </w:tcPr>
          <w:p>
            <w:pPr>
              <w:numPr>
                <w:ilvl w:val="0"/>
                <w:numId w:val="0"/>
              </w:numPr>
              <w:rPr>
                <w:rFonts w:hint="eastAsia"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 xml:space="preserve">刑诉法司法解释第138条 </w:t>
            </w:r>
          </w:p>
        </w:tc>
        <w:tc>
          <w:tcPr>
            <w:tcW w:w="2505" w:type="dxa"/>
          </w:tcPr>
          <w:p>
            <w:pPr>
              <w:numPr>
                <w:ilvl w:val="0"/>
                <w:numId w:val="0"/>
              </w:numPr>
              <w:rPr>
                <w:rFonts w:hint="eastAsia"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被害人因人身权利受到犯罪侵犯或者财物被犯罪分子毁坏而遭受物质损失的，有权在刑事诉讼过程中提起附带民事诉讼……</w:t>
            </w:r>
          </w:p>
        </w:tc>
        <w:tc>
          <w:tcPr>
            <w:tcW w:w="2004" w:type="dxa"/>
          </w:tcPr>
          <w:p>
            <w:pPr>
              <w:numPr>
                <w:ilvl w:val="0"/>
                <w:numId w:val="0"/>
              </w:numPr>
              <w:rPr>
                <w:rFonts w:hint="eastAsia"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废除该条</w:t>
            </w:r>
          </w:p>
        </w:tc>
        <w:tc>
          <w:tcPr>
            <w:tcW w:w="1775" w:type="dxa"/>
          </w:tcPr>
          <w:p>
            <w:pPr>
              <w:numPr>
                <w:ilvl w:val="0"/>
                <w:numId w:val="0"/>
              </w:numPr>
              <w:rPr>
                <w:rFonts w:hint="eastAsia"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对刑诉法第99修改后，已被涵摄无存在必要。</w:t>
            </w:r>
          </w:p>
        </w:tc>
        <w:tc>
          <w:tcPr>
            <w:tcW w:w="735" w:type="dxa"/>
          </w:tcPr>
          <w:p>
            <w:pPr>
              <w:numPr>
                <w:ilvl w:val="0"/>
                <w:numId w:val="0"/>
              </w:numPr>
              <w:rPr>
                <w:rFonts w:hint="eastAsia" w:asciiTheme="minorEastAsia" w:hAnsiTheme="minorEastAsia" w:cstheme="minor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3" w:type="dxa"/>
          </w:tcPr>
          <w:p>
            <w:pPr>
              <w:numPr>
                <w:ilvl w:val="0"/>
                <w:numId w:val="0"/>
              </w:numPr>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cstheme="minorEastAsia"/>
                <w:sz w:val="18"/>
                <w:szCs w:val="18"/>
                <w:vertAlign w:val="baseline"/>
                <w:lang w:val="en-US" w:eastAsia="zh-CN"/>
              </w:rPr>
              <w:t xml:space="preserve">刑诉法司法解释第139条        </w:t>
            </w:r>
            <w:r>
              <w:rPr>
                <w:rFonts w:hint="eastAsia" w:asciiTheme="minorEastAsia" w:hAnsiTheme="minorEastAsia" w:cstheme="minorEastAsia"/>
                <w:sz w:val="28"/>
                <w:szCs w:val="28"/>
                <w:vertAlign w:val="baseline"/>
                <w:lang w:val="en-US" w:eastAsia="zh-CN"/>
              </w:rPr>
              <w:t xml:space="preserve">                                                                                                                                                                                                                                                                                                                                                                                                                                                                                                                                                                                                                                                                                                                                                                                                                                                                                                                                                                                                                                                                                                                                                                                                                                                                                                                                                                                                                                                                                                                                                                                                                                                                                                                                                                                                                                                                                                                                                                                                                                                                                                                                                                                                                                                                                                                                                                                                                                                           </w:t>
            </w:r>
          </w:p>
        </w:tc>
        <w:tc>
          <w:tcPr>
            <w:tcW w:w="2505" w:type="dxa"/>
          </w:tcPr>
          <w:p>
            <w:pPr>
              <w:numPr>
                <w:ilvl w:val="0"/>
                <w:numId w:val="0"/>
              </w:numPr>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18"/>
                <w:szCs w:val="18"/>
                <w:vertAlign w:val="baseline"/>
                <w:lang w:val="en-US" w:eastAsia="zh-CN"/>
              </w:rPr>
              <w:t>被告人非法占有、处置被害人财产的应当依法予以追缴或者责令退赔。被害人提起附带民事诉讼的，人民法院不予受理。追缴、退赔的情况可以作为量刑情节予以考虑。</w:t>
            </w:r>
          </w:p>
        </w:tc>
        <w:tc>
          <w:tcPr>
            <w:tcW w:w="2004" w:type="dxa"/>
          </w:tcPr>
          <w:p>
            <w:pPr>
              <w:numPr>
                <w:ilvl w:val="0"/>
                <w:numId w:val="0"/>
              </w:numPr>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18"/>
                <w:szCs w:val="18"/>
                <w:vertAlign w:val="baseline"/>
                <w:lang w:val="en-US" w:eastAsia="zh-CN"/>
              </w:rPr>
              <w:t>被告人非法占有、处置被害人财产的应当依法予以追缴或者责令退赔。被害人提起民事诉讼的除外。追缴、退赔的情况可以作为量刑情节予以考虑。</w:t>
            </w:r>
          </w:p>
        </w:tc>
        <w:tc>
          <w:tcPr>
            <w:tcW w:w="1775" w:type="dxa"/>
          </w:tcPr>
          <w:p>
            <w:pPr>
              <w:numPr>
                <w:ilvl w:val="0"/>
                <w:numId w:val="0"/>
              </w:numPr>
              <w:rPr>
                <w:rFonts w:hint="eastAsia"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该条司法解释将大量的刑事犯罪行为造成被害人财产损失排除在民事诉讼门槛之外，不利于救济被害人。</w:t>
            </w:r>
          </w:p>
        </w:tc>
        <w:tc>
          <w:tcPr>
            <w:tcW w:w="735" w:type="dxa"/>
          </w:tcPr>
          <w:p>
            <w:pPr>
              <w:numPr>
                <w:ilvl w:val="0"/>
                <w:numId w:val="0"/>
              </w:numPr>
              <w:rPr>
                <w:rFonts w:hint="eastAsia" w:asciiTheme="minorEastAsia" w:hAnsiTheme="minorEastAsia" w:cstheme="minorEastAsia"/>
                <w:sz w:val="28"/>
                <w:szCs w:val="28"/>
                <w:vertAlign w:val="baseline"/>
                <w:lang w:val="en-US" w:eastAsia="zh-CN"/>
              </w:rPr>
            </w:pPr>
          </w:p>
        </w:tc>
      </w:tr>
    </w:tbl>
    <w:p>
      <w:pPr>
        <w:numPr>
          <w:ilvl w:val="0"/>
          <w:numId w:val="0"/>
        </w:numPr>
        <w:ind w:left="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大量的犯罪行为一般来说都造成了被害人损失，这种损失最后体现在财产性权益损失和精神损害两个方面，被告人承担了刑事责任，不能替代其民事赔偿责任，但是大量的刑事案件被害人都未能获得民事救济，其根本原因就在于民事赔偿部分因为刑事诉讼法第99条限制在“物质”，刑事诉讼法司法解释限制在“财物被犯罪分子毁坏”的特定狭窄的范围之内，阻却其他诈骗罪、合同诈骗罪、侵犯知识产权犯罪等犯罪案件当事人通过民事诉讼程序获得损失填补。然而涉及国家财产、集体财产损失的犯罪案件，刑事诉讼法第99条却区别对待，规定均可以因财产损失附带提起民事诉讼。这不仅违背宪法、刑法、物权法、民法通则、民法总则规定的国家、集体、个人财产同等保护、法律面前人人平等原则，而且滋长了犯罪，因为“惩罚之值小于罪过收益之值，罪过肯定会犯下”，“整个惩罚将付之东流，全然无效”</w:t>
      </w:r>
      <w:r>
        <w:rPr>
          <w:rStyle w:val="4"/>
          <w:rFonts w:hint="eastAsia" w:asciiTheme="minorEastAsia" w:hAnsiTheme="minorEastAsia" w:cstheme="minorEastAsia"/>
          <w:sz w:val="28"/>
          <w:szCs w:val="28"/>
          <w:lang w:val="en-US" w:eastAsia="zh-CN"/>
        </w:rPr>
        <w:footnoteReference w:id="19"/>
      </w:r>
      <w:r>
        <w:rPr>
          <w:rFonts w:hint="eastAsia" w:asciiTheme="minorEastAsia" w:hAnsiTheme="minorEastAsia" w:cstheme="minorEastAsia"/>
          <w:sz w:val="28"/>
          <w:szCs w:val="28"/>
          <w:lang w:val="en-US" w:eastAsia="zh-CN"/>
        </w:rPr>
        <w:t>，如合同诈骗罪的犯罪分子，虽然因诈骗几十万甚至上百万、千万被判有期徒刑等，但因为转移、隐匿的财产而受到损害的被害人不能进行民事诉讼获得赔偿，犯罪分子获得的罪过收益大于时间的合法收益，为自己后半辈子和全家创造了“幸福”，导致诈骗犯罪的刑罚预防功能基本失效，诈骗犯罪愈演愈烈。</w:t>
      </w:r>
    </w:p>
    <w:p>
      <w:pPr>
        <w:numPr>
          <w:ilvl w:val="0"/>
          <w:numId w:val="0"/>
        </w:numPr>
        <w:ind w:left="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修改现行法律是一种根本解决的路径模式，但其不足也显而易见，因修改的程序复杂，所以缓慢，并且还取决于立法者的认识，态度，思想统一，为此还有必要考量之外的模式。</w:t>
      </w:r>
    </w:p>
    <w:p>
      <w:pPr>
        <w:numPr>
          <w:ilvl w:val="0"/>
          <w:numId w:val="2"/>
        </w:numPr>
        <w:ind w:left="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利用教义学方法构建典型案例突破当下困境。法律本身就是针对过去行为事件而制定的规范，其预测预判虽然也包含了对未来事实的预判，但规范的法律效果如何，有待司法实践证明。由于法律规范的有限性，未来发展的无限性，因此规范的完善与更新有一个渐渐发展漫长的过程，但是解决现实中没有遇见，或者法律效果不好的问题不能等待法律修改的那天，解决这个问题首选的是判例这种快捷的方法，通过法官的司法能动性进行典型案例创新来满足新形势的需要，为此好的判例其指导效果是非常明显的，</w:t>
      </w:r>
      <w:r>
        <w:rPr>
          <w:rStyle w:val="4"/>
          <w:rFonts w:hint="eastAsia" w:asciiTheme="minorEastAsia" w:hAnsiTheme="minorEastAsia" w:cstheme="minorEastAsia"/>
          <w:sz w:val="28"/>
          <w:szCs w:val="28"/>
          <w:lang w:val="en-US" w:eastAsia="zh-CN"/>
        </w:rPr>
        <w:footnoteReference w:id="20"/>
      </w:r>
      <w:r>
        <w:rPr>
          <w:rFonts w:hint="eastAsia" w:asciiTheme="minorEastAsia" w:hAnsiTheme="minorEastAsia" w:cstheme="minorEastAsia"/>
          <w:sz w:val="28"/>
          <w:szCs w:val="28"/>
          <w:lang w:val="en-US" w:eastAsia="zh-CN"/>
        </w:rPr>
        <w:t>也是世界各国普遍被采用的司法方法。就我国目前刑民交叉案件的创设应围绕现有的法律规定，进行解释，并利用法律适用原则进行创设。具体的路径如下：</w:t>
      </w:r>
    </w:p>
    <w:p>
      <w:pPr>
        <w:numPr>
          <w:ilvl w:val="0"/>
          <w:numId w:val="0"/>
        </w:numPr>
        <w:ind w:leftChars="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 从刑法与刑诉法及民法总则与民诉法的总则出发扩张解释相关分则内容构建指导案例。我国刑法总则第1、2条规定刑法的立法宗旨和任务是“……保护公民私人所有的财产……其他权利……”，刑诉法也大同小异规定了这个根本任务，民诉法立法目的是“……确认民事权利义务关系，制裁民事违法行为，保护当事人合法权益……”，民法通则和总则也有类似的内容规定，由此可见，刑民在实体法与程序法立法的宗旨上对国家、集体、公民个人的合法权益的保护是广泛一致的，虽然刑诉法在民事合法权益的保护上，附带民事诉讼缩小在“物质”权利上，但没有将不属于“物质”的权利排除在外，因此刑事中的民事赔偿问题，完全可以由被害人提起独立的民事诉讼，遇到这样的刑民交叉案件，法院独立成民事诉讼案件符合法律规定，体现法律的精神，只是缺乏这方面创设的典型案例，最高法院可以进行试点有意识指导下级法院创制部分典型案例，进行发布，给刑民交叉案件进行具体指引。</w:t>
      </w:r>
    </w:p>
    <w:p>
      <w:pPr>
        <w:numPr>
          <w:ilvl w:val="0"/>
          <w:numId w:val="0"/>
        </w:numPr>
        <w:ind w:firstLine="56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2.按以下刑民交叉程序处理规则构建指导案例。第一对于已经纳入刑诉法内容的刑事附带民事案件尽量通知被害人提起附带民事诉讼，防止刑事案件认定事实与民事部分事实产生冲突；第二对于不愿意在刑事案件中提起民事诉讼被害人坚持独立进行民事诉讼的，民事合议庭或者独人审判法官，可引导当事人调取侦查机关收集的证据，或依申请调取刑事案件的证据作为民事案件证据，全面查清民事案件的事实，防止两种判决在事实认定上的冲突发生；第三对于在刑事案件侦查终结前已经进行的民事诉讼已调解、裁判的，根据执行兑现或者调解兑现的情况，在刑事案件量刑上予以犯罪金额减除或者作为减轻从轻情节考虑，对于未结案的，必须以刑事案件为事实基础的，裁定中止诉讼，待刑事侦查终结后调取证据，继续进行审理，不需要等待刑事案件结案的继续民事审理，如合同诈骗罪，在刑事案件立案之前，被害人作为原告可能提起的是以合同有效，承担继续履行，违约责任为诉讼请求，法院是否支持要民法相关的《民法通则》、《民法总则》、《合同法》等相关规定进行判断，不能以刑事诉讼法及相关司法解释进行判断，判断的标准可以参考2018年7月出版的《人民司法》第20期《以单位名义签订合同构成犯罪后的民事责任承担》案例提炼的裁判要旨：“民刑交叉案件，当事人之间存在民事法律关系，具备民事诉讼法规定起诉条件，对于当事人的起诉，人民法院应予受理。刑事责任和民事责任在保护法益、证明标准、归责原则、责任形式等方面均存在不同。刑事判决认定的事实在民事领域应民事规定进行认定。刑事上构成合同诈骗罪，在民事上一般而言属于欺诈，在不存在无效情形下，属于可撤销合同，被欺诈方不行使撤销权的，合同有效。追赃是否影响民事案件受理，应根据一事不再理原则进行判定。刑事被害人对被告人之外的民事主体提起民事诉讼，人民法院受理不受追赃的影响，但应民事权利双重受偿。”。第四对于刑诉法没有纳入附带民事诉讼的，存在侵权责任法规定的损失的，由被害人提起独立的民事诉讼，依民事诉讼法和侵权责任法等规定依法作出判决。</w:t>
      </w:r>
    </w:p>
    <w:p>
      <w:pPr>
        <w:numPr>
          <w:ilvl w:val="0"/>
          <w:numId w:val="0"/>
        </w:numPr>
        <w:ind w:firstLine="56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3.统一裁判模式构建执行指导案例。刑诉法解释第139条规定“被告人非法占有、处置被害人财产的，应当依法予以追缴或者责令退还……”，抽样中的案例，之所以出现不同的判决样态，其原因就在这个司法解释条款的理解上，“被告人非法占有”针对的是指被害人的财物还由被告人掌控着，这种情况应当是追缴，“被告人处置被害人财产的”包括已经消费、变卖、转移、转让等情形，这种情形应当是退还或退赔，因此判决时不能随意选择进行判决。只是对于追缴或者责令退还的财物如何处理，该条未明确导致判决不统一，有的判决仅有追缴二字或责令退还等字样，具体给付谁，给付数量的多少不明确，这样的判决是难以执行的，况且这种刑事判决的财产判项，在判决执行中，笔者访问A法院的执行情况，基本都没有得到执行。</w:t>
      </w:r>
      <w:bookmarkStart w:id="0" w:name="_GoBack"/>
      <w:bookmarkEnd w:id="0"/>
      <w:r>
        <w:rPr>
          <w:rStyle w:val="4"/>
          <w:rFonts w:hint="eastAsia" w:asciiTheme="minorEastAsia" w:hAnsiTheme="minorEastAsia" w:cstheme="minorEastAsia"/>
          <w:sz w:val="28"/>
          <w:szCs w:val="28"/>
          <w:lang w:val="en-US" w:eastAsia="zh-CN"/>
        </w:rPr>
        <w:footnoteReference w:id="21"/>
      </w:r>
      <w:r>
        <w:rPr>
          <w:rFonts w:hint="eastAsia" w:asciiTheme="minorEastAsia" w:hAnsiTheme="minorEastAsia" w:cstheme="minorEastAsia"/>
          <w:sz w:val="28"/>
          <w:szCs w:val="28"/>
          <w:lang w:val="en-US" w:eastAsia="zh-CN"/>
        </w:rPr>
        <w:t>笔者认为判决追缴或责令退还应当有具体的给付对象——被害人，财产名称数量应当明确，特定物或种类物也应当载明，因为这些财产不是无主财产，属于被害人，并且有了具体明确的名称数量，才能执行，否则就是一项供人“观赏”的空文。这个判项法院可直接移送执行机构执行，也可由被害人申请执行，防止“判决空转”。这个问题最高法院可以通过执行指导案例的形式发布。</w:t>
      </w:r>
    </w:p>
    <w:p>
      <w:pPr>
        <w:numPr>
          <w:ilvl w:val="0"/>
          <w:numId w:val="0"/>
        </w:numPr>
        <w:ind w:firstLine="56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结语</w:t>
      </w:r>
    </w:p>
    <w:p>
      <w:pPr>
        <w:numPr>
          <w:ilvl w:val="0"/>
          <w:numId w:val="0"/>
        </w:numPr>
        <w:ind w:firstLine="56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刑民交叉案件的核心问题是大量的刑事案件涉及刑事与民事赔偿双重责任的问题，以合同诈骗罪为点分析，辐射整个刑事案件全部，厘清问题产生的立法与司法根源，再从比较借鉴与中国现实的解决方法为突破口，寻找程序和实体解决路径，解决模式不外乎有二，一是立法修正现有的法律，集中解决的是刑事诉讼法第99条及司法解释138、139条附带民事诉讼范围过窄的问题；二是在法律尚未修改之前，通过教义学方法，司法实践仍可大有作为，避开附带诉讼，“法不禁止即自由”，独立打开民事诉讼之通道，让两种诉讼并行，实现刑法的一般预防与民法的损失填补修复功能，完成法律救济权利的全方位，多角度。让“任何人均不得因其不法行为而获益”变成中国景象。(作者单位：重庆市丰都县人民法院)</w:t>
      </w:r>
    </w:p>
    <w:p>
      <w:pPr>
        <w:ind w:left="0" w:firstLine="0" w:firstLineChars="0"/>
        <w:rPr>
          <w:rFonts w:hint="eastAsia" w:asciiTheme="minorEastAsia" w:hAnsiTheme="minorEastAsia" w:cstheme="minorEastAsia"/>
          <w:sz w:val="28"/>
          <w:szCs w:val="28"/>
          <w:lang w:val="en-US" w:eastAsia="zh-CN"/>
        </w:rPr>
      </w:pPr>
    </w:p>
    <w:p>
      <w:pPr>
        <w:numPr>
          <w:ilvl w:val="0"/>
          <w:numId w:val="0"/>
        </w:num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ind w:firstLine="880" w:firstLineChars="200"/>
        <w:rPr>
          <w:rFonts w:hint="eastAsia" w:ascii="黑体" w:hAnsi="黑体" w:eastAsia="黑体" w:cs="黑体"/>
          <w:sz w:val="44"/>
          <w:szCs w:val="44"/>
          <w:lang w:val="en-US" w:eastAsia="zh-CN"/>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jc w:val="center"/>
        <w:rPr>
          <w:rFonts w:ascii="宋体"/>
          <w:sz w:val="28"/>
          <w:szCs w:val="28"/>
        </w:rPr>
      </w:pPr>
    </w:p>
    <w:p>
      <w:pPr>
        <w:jc w:val="center"/>
        <w:rPr>
          <w:rFonts w:ascii="宋体"/>
          <w:sz w:val="28"/>
          <w:szCs w:val="28"/>
        </w:rPr>
      </w:pPr>
    </w:p>
    <w:p>
      <w:pPr>
        <w:jc w:val="center"/>
        <w:rPr>
          <w:rFonts w:ascii="宋体"/>
          <w:sz w:val="28"/>
          <w:szCs w:val="28"/>
        </w:rPr>
      </w:pPr>
    </w:p>
    <w:p>
      <w:pPr>
        <w:jc w:val="center"/>
        <w:rPr>
          <w:rFonts w:ascii="宋体"/>
          <w:sz w:val="28"/>
          <w:szCs w:val="28"/>
        </w:rPr>
      </w:pPr>
    </w:p>
    <w:p>
      <w:pPr>
        <w:jc w:val="center"/>
        <w:rPr>
          <w:rFonts w:ascii="宋体"/>
          <w:sz w:val="28"/>
          <w:szCs w:val="28"/>
        </w:rPr>
      </w:pPr>
    </w:p>
    <w:p/>
    <w:p>
      <w:pPr>
        <w:rPr>
          <w:rFonts w:hint="eastAsia" w:eastAsiaTheme="minorEastAsia"/>
          <w:lang w:eastAsia="zh-CN"/>
        </w:rPr>
      </w:pPr>
    </w:p>
    <w:sectPr>
      <w:footnotePr>
        <w:numFmt w:val="decimalEnclosedCircleChinese"/>
        <w:numRestart w:val="eachPage"/>
      </w:footnote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
        <w:snapToGrid w:val="0"/>
      </w:pPr>
      <w:r>
        <w:rPr>
          <w:rStyle w:val="4"/>
        </w:rPr>
        <w:footnoteRef/>
      </w:r>
      <w:r>
        <w:t xml:space="preserve"> </w:t>
      </w:r>
      <w:r>
        <w:rPr>
          <w:rFonts w:hint="eastAsia"/>
          <w:lang w:eastAsia="zh-CN"/>
        </w:rPr>
        <w:t>详见（</w:t>
      </w:r>
      <w:r>
        <w:rPr>
          <w:rFonts w:hint="eastAsia"/>
          <w:lang w:val="en-US" w:eastAsia="zh-CN"/>
        </w:rPr>
        <w:t>2014</w:t>
      </w:r>
      <w:r>
        <w:rPr>
          <w:rFonts w:hint="eastAsia"/>
          <w:lang w:eastAsia="zh-CN"/>
        </w:rPr>
        <w:t>）一中刑终字第</w:t>
      </w:r>
      <w:r>
        <w:rPr>
          <w:rFonts w:hint="eastAsia"/>
          <w:lang w:val="en-US" w:eastAsia="zh-CN"/>
        </w:rPr>
        <w:t>3871号判决书</w:t>
      </w:r>
    </w:p>
  </w:footnote>
  <w:footnote w:id="1">
    <w:p>
      <w:pPr>
        <w:pStyle w:val="2"/>
        <w:snapToGrid w:val="0"/>
        <w:rPr>
          <w:rFonts w:hint="eastAsia" w:eastAsiaTheme="minorEastAsia"/>
          <w:lang w:val="en-US" w:eastAsia="zh-CN"/>
        </w:rPr>
      </w:pPr>
      <w:r>
        <w:rPr>
          <w:rStyle w:val="4"/>
        </w:rPr>
        <w:t>②</w:t>
      </w:r>
      <w:r>
        <w:t xml:space="preserve"> </w:t>
      </w:r>
      <w:r>
        <w:rPr>
          <w:rFonts w:hint="eastAsia"/>
          <w:lang w:eastAsia="zh-CN"/>
        </w:rPr>
        <w:t>详见（</w:t>
      </w:r>
      <w:r>
        <w:rPr>
          <w:rFonts w:hint="eastAsia"/>
          <w:lang w:val="en-US" w:eastAsia="zh-CN"/>
        </w:rPr>
        <w:t>2014</w:t>
      </w:r>
      <w:r>
        <w:rPr>
          <w:rFonts w:hint="eastAsia"/>
          <w:lang w:eastAsia="zh-CN"/>
        </w:rPr>
        <w:t>）承刑终字第</w:t>
      </w:r>
      <w:r>
        <w:rPr>
          <w:rFonts w:hint="eastAsia"/>
          <w:lang w:val="en-US" w:eastAsia="zh-CN"/>
        </w:rPr>
        <w:t>00195号判决书、（2014）余刑二终字第34号。（2015）一中刑终字第623号。</w:t>
      </w:r>
    </w:p>
    <w:p>
      <w:pPr>
        <w:pStyle w:val="2"/>
        <w:snapToGrid w:val="0"/>
      </w:pPr>
    </w:p>
    <w:p>
      <w:pPr>
        <w:pStyle w:val="2"/>
        <w:snapToGrid w:val="0"/>
      </w:pPr>
    </w:p>
  </w:footnote>
  <w:footnote w:id="2">
    <w:p>
      <w:pPr>
        <w:pStyle w:val="2"/>
        <w:snapToGrid w:val="0"/>
      </w:pPr>
      <w:r>
        <w:rPr>
          <w:rStyle w:val="4"/>
        </w:rPr>
        <w:t>①</w:t>
      </w:r>
      <w:r>
        <w:t xml:space="preserve"> </w:t>
      </w:r>
      <w:r>
        <w:rPr>
          <w:rFonts w:hint="eastAsia"/>
          <w:lang w:eastAsia="zh-CN"/>
        </w:rPr>
        <w:t>陈瑞华著：《刑事诉讼的前沿问题》，中国人民大学出版社，</w:t>
      </w:r>
      <w:r>
        <w:rPr>
          <w:rFonts w:hint="eastAsia"/>
          <w:lang w:val="en-US" w:eastAsia="zh-CN"/>
        </w:rPr>
        <w:t>2016年3月第5版。</w:t>
      </w:r>
    </w:p>
    <w:p>
      <w:pPr>
        <w:pStyle w:val="2"/>
        <w:snapToGrid w:val="0"/>
      </w:pPr>
    </w:p>
    <w:p>
      <w:pPr>
        <w:pStyle w:val="2"/>
        <w:snapToGrid w:val="0"/>
      </w:pPr>
    </w:p>
  </w:footnote>
  <w:footnote w:id="3">
    <w:p>
      <w:pPr>
        <w:pStyle w:val="2"/>
        <w:snapToGrid w:val="0"/>
      </w:pPr>
      <w:r>
        <w:rPr>
          <w:rStyle w:val="4"/>
        </w:rPr>
        <w:footnoteRef/>
      </w:r>
      <w:r>
        <w:t xml:space="preserve"> </w:t>
      </w:r>
      <w:r>
        <w:rPr>
          <w:rFonts w:hint="eastAsia"/>
          <w:lang w:eastAsia="zh-CN"/>
        </w:rPr>
        <w:t>陈瑞华著：《刑事诉讼法中的问题与主义》，中国人民大学出版社，</w:t>
      </w:r>
      <w:r>
        <w:rPr>
          <w:rFonts w:hint="eastAsia"/>
          <w:lang w:val="en-US" w:eastAsia="zh-CN"/>
        </w:rPr>
        <w:t>2013年11月第2版，第220页</w:t>
      </w:r>
    </w:p>
  </w:footnote>
  <w:footnote w:id="4">
    <w:p>
      <w:pPr>
        <w:pStyle w:val="2"/>
        <w:snapToGrid w:val="0"/>
      </w:pPr>
      <w:r>
        <w:rPr>
          <w:rStyle w:val="4"/>
        </w:rPr>
        <w:t>（5）</w:t>
      </w:r>
      <w:r>
        <w:t xml:space="preserve"> </w:t>
      </w:r>
      <w:r>
        <w:rPr>
          <w:rFonts w:hint="eastAsia"/>
          <w:lang w:eastAsia="zh-CN"/>
        </w:rPr>
        <w:t>见最高人民法院网，</w:t>
      </w:r>
      <w:r>
        <w:rPr>
          <w:rFonts w:hint="eastAsia"/>
          <w:lang w:val="en-US" w:eastAsia="zh-CN"/>
        </w:rPr>
        <w:t>2018年6月9日访问。</w:t>
      </w:r>
    </w:p>
  </w:footnote>
  <w:footnote w:id="5">
    <w:p>
      <w:pPr>
        <w:pStyle w:val="2"/>
        <w:snapToGrid w:val="0"/>
      </w:pPr>
      <w:r>
        <w:rPr>
          <w:rStyle w:val="4"/>
        </w:rPr>
        <w:footnoteRef/>
      </w:r>
      <w:r>
        <w:t xml:space="preserve">  </w:t>
      </w:r>
      <w:r>
        <w:rPr>
          <w:rFonts w:hint="eastAsia"/>
          <w:lang w:eastAsia="zh-CN"/>
        </w:rPr>
        <w:t>同上</w:t>
      </w:r>
      <w:r>
        <w:rPr>
          <w:rFonts w:hint="eastAsia"/>
          <w:lang w:val="en-US" w:eastAsia="zh-CN"/>
        </w:rPr>
        <w:t>注</w:t>
      </w:r>
      <w:r>
        <w:rPr>
          <w:rFonts w:hint="eastAsia"/>
          <w:lang w:eastAsia="zh-CN"/>
        </w:rPr>
        <w:t>。</w:t>
      </w:r>
    </w:p>
  </w:footnote>
  <w:footnote w:id="6">
    <w:p>
      <w:pPr>
        <w:pStyle w:val="2"/>
        <w:snapToGrid w:val="0"/>
      </w:pPr>
      <w:r>
        <w:rPr>
          <w:rStyle w:val="4"/>
        </w:rPr>
        <w:footnoteRef/>
      </w:r>
      <w:r>
        <w:t xml:space="preserve"> </w:t>
      </w:r>
      <w:r>
        <w:rPr>
          <w:rFonts w:hint="eastAsia"/>
          <w:lang w:eastAsia="zh-CN"/>
        </w:rPr>
        <w:t>杨鸿烈著：《中国法律发达史》，中国政法大学出版社，</w:t>
      </w:r>
      <w:r>
        <w:rPr>
          <w:rFonts w:hint="eastAsia"/>
          <w:lang w:val="en-US" w:eastAsia="zh-CN"/>
        </w:rPr>
        <w:t>2009年11月第一版，第3页</w:t>
      </w:r>
    </w:p>
  </w:footnote>
  <w:footnote w:id="7">
    <w:p>
      <w:pPr>
        <w:pStyle w:val="2"/>
        <w:snapToGrid w:val="0"/>
      </w:pPr>
      <w:r>
        <w:rPr>
          <w:rStyle w:val="4"/>
        </w:rPr>
        <w:footnoteRef/>
      </w:r>
      <w:r>
        <w:t xml:space="preserve"> </w:t>
      </w:r>
      <w:r>
        <w:rPr>
          <w:rFonts w:hint="eastAsia"/>
          <w:lang w:eastAsia="zh-CN"/>
        </w:rPr>
        <w:t>《商君书</w:t>
      </w:r>
      <w:r>
        <w:rPr>
          <w:rFonts w:hint="eastAsia" w:ascii="宋体" w:hAnsi="宋体" w:eastAsia="宋体" w:cs="宋体"/>
          <w:lang w:eastAsia="zh-CN"/>
        </w:rPr>
        <w:t>.</w:t>
      </w:r>
      <w:r>
        <w:rPr>
          <w:rFonts w:hint="eastAsia"/>
          <w:lang w:eastAsia="zh-CN"/>
        </w:rPr>
        <w:t>君臣》</w:t>
      </w:r>
    </w:p>
    <w:p>
      <w:pPr>
        <w:pStyle w:val="2"/>
        <w:snapToGrid w:val="0"/>
      </w:pPr>
    </w:p>
  </w:footnote>
  <w:footnote w:id="8">
    <w:p>
      <w:pPr>
        <w:pStyle w:val="2"/>
        <w:snapToGrid w:val="0"/>
      </w:pPr>
      <w:r>
        <w:rPr>
          <w:rStyle w:val="4"/>
        </w:rPr>
        <w:footnoteRef/>
      </w:r>
      <w:r>
        <w:t xml:space="preserve"> </w:t>
      </w:r>
      <w:r>
        <w:rPr>
          <w:rFonts w:hint="eastAsia"/>
          <w:lang w:eastAsia="zh-CN"/>
        </w:rPr>
        <w:t>《韩非子</w:t>
      </w:r>
      <w:r>
        <w:rPr>
          <w:rFonts w:hint="eastAsia" w:ascii="宋体" w:hAnsi="宋体" w:eastAsia="宋体" w:cs="宋体"/>
          <w:lang w:eastAsia="zh-CN"/>
        </w:rPr>
        <w:t>.有度</w:t>
      </w:r>
      <w:r>
        <w:rPr>
          <w:rFonts w:hint="eastAsia"/>
          <w:lang w:eastAsia="zh-CN"/>
        </w:rPr>
        <w:t>》，转引朱勇主编：《中国法制史》，法律出版社，</w:t>
      </w:r>
      <w:r>
        <w:rPr>
          <w:rFonts w:hint="eastAsia"/>
          <w:lang w:val="en-US" w:eastAsia="zh-CN"/>
        </w:rPr>
        <w:t>1999年9月第一版，第10页</w:t>
      </w:r>
    </w:p>
  </w:footnote>
  <w:footnote w:id="9">
    <w:p>
      <w:pPr>
        <w:pStyle w:val="2"/>
        <w:snapToGrid w:val="0"/>
      </w:pPr>
      <w:r>
        <w:rPr>
          <w:rStyle w:val="4"/>
        </w:rPr>
        <w:footnoteRef/>
      </w:r>
      <w:r>
        <w:t xml:space="preserve"> </w:t>
      </w:r>
      <w:r>
        <w:rPr>
          <w:rFonts w:hint="eastAsia"/>
          <w:lang w:eastAsia="zh-CN"/>
        </w:rPr>
        <w:t>见最高人民法院</w:t>
      </w:r>
      <w:r>
        <w:rPr>
          <w:rFonts w:hint="eastAsia"/>
          <w:lang w:val="en-US" w:eastAsia="zh-CN"/>
        </w:rPr>
        <w:t>2018年人民法院工作报告</w:t>
      </w:r>
    </w:p>
  </w:footnote>
  <w:footnote w:id="10">
    <w:p>
      <w:pPr>
        <w:pStyle w:val="2"/>
        <w:snapToGrid w:val="0"/>
      </w:pPr>
      <w:r>
        <w:rPr>
          <w:rStyle w:val="4"/>
        </w:rPr>
        <w:footnoteRef/>
      </w:r>
      <w:r>
        <w:t xml:space="preserve"> </w:t>
      </w:r>
      <w:r>
        <w:rPr>
          <w:rFonts w:hint="eastAsia"/>
          <w:lang w:eastAsia="zh-CN"/>
        </w:rPr>
        <w:t>杨鸿烈著：《中国法律发达史》，中国政法大学出版社，</w:t>
      </w:r>
      <w:r>
        <w:rPr>
          <w:rFonts w:hint="eastAsia"/>
          <w:lang w:val="en-US" w:eastAsia="zh-CN"/>
        </w:rPr>
        <w:t>2009年11月第一版，第27页</w:t>
      </w:r>
    </w:p>
    <w:p>
      <w:pPr>
        <w:pStyle w:val="2"/>
        <w:snapToGrid w:val="0"/>
      </w:pPr>
    </w:p>
    <w:p>
      <w:pPr>
        <w:pStyle w:val="2"/>
        <w:snapToGrid w:val="0"/>
      </w:pPr>
    </w:p>
  </w:footnote>
  <w:footnote w:id="11">
    <w:p>
      <w:pPr>
        <w:pStyle w:val="2"/>
        <w:snapToGrid w:val="0"/>
        <w:rPr>
          <w:rFonts w:hint="eastAsia" w:eastAsiaTheme="minorEastAsia"/>
          <w:lang w:val="en-US" w:eastAsia="zh-CN"/>
        </w:rPr>
      </w:pPr>
      <w:r>
        <w:rPr>
          <w:rStyle w:val="4"/>
        </w:rPr>
        <w:footnoteRef/>
      </w:r>
      <w:r>
        <w:t xml:space="preserve"> </w:t>
      </w:r>
      <w:r>
        <w:rPr>
          <w:rFonts w:hint="eastAsia"/>
          <w:lang w:eastAsia="zh-CN"/>
        </w:rPr>
        <w:t>杨鸿烈著：《中国法律发达史》，中国政法大学出版社，</w:t>
      </w:r>
      <w:r>
        <w:rPr>
          <w:rFonts w:hint="eastAsia"/>
          <w:lang w:val="en-US" w:eastAsia="zh-CN"/>
        </w:rPr>
        <w:t>2009年11月第1版，第294页。</w:t>
      </w:r>
    </w:p>
    <w:p>
      <w:pPr>
        <w:pStyle w:val="2"/>
        <w:snapToGrid w:val="0"/>
      </w:pPr>
    </w:p>
  </w:footnote>
  <w:footnote w:id="12">
    <w:p>
      <w:pPr>
        <w:pStyle w:val="2"/>
        <w:snapToGrid w:val="0"/>
      </w:pPr>
      <w:r>
        <w:rPr>
          <w:rStyle w:val="4"/>
        </w:rPr>
        <w:footnoteRef/>
      </w:r>
      <w:r>
        <w:t xml:space="preserve"> </w:t>
      </w:r>
      <w:r>
        <w:rPr>
          <w:rFonts w:hint="eastAsia"/>
          <w:lang w:eastAsia="zh-CN"/>
        </w:rPr>
        <w:t>王兆鹏著：《美国刑事诉讼法》，北京大学出版社，</w:t>
      </w:r>
      <w:r>
        <w:rPr>
          <w:rFonts w:hint="eastAsia"/>
          <w:lang w:val="en-US" w:eastAsia="zh-CN"/>
        </w:rPr>
        <w:t>2014年10月第2版，第499页。</w:t>
      </w:r>
    </w:p>
    <w:p>
      <w:pPr>
        <w:pStyle w:val="2"/>
        <w:snapToGrid w:val="0"/>
      </w:pPr>
    </w:p>
    <w:p>
      <w:pPr>
        <w:pStyle w:val="2"/>
        <w:snapToGrid w:val="0"/>
      </w:pPr>
    </w:p>
  </w:footnote>
  <w:footnote w:id="13">
    <w:p>
      <w:pPr>
        <w:pStyle w:val="2"/>
        <w:snapToGrid w:val="0"/>
        <w:rPr>
          <w:rFonts w:hint="eastAsia" w:eastAsiaTheme="minorEastAsia"/>
          <w:lang w:val="en-US" w:eastAsia="zh-CN"/>
        </w:rPr>
      </w:pPr>
      <w:r>
        <w:rPr>
          <w:rStyle w:val="4"/>
        </w:rPr>
        <w:footnoteRef/>
      </w:r>
      <w:r>
        <w:t xml:space="preserve"> </w:t>
      </w:r>
      <w:r>
        <w:rPr>
          <w:rFonts w:hint="eastAsia"/>
          <w:lang w:eastAsia="zh-CN"/>
        </w:rPr>
        <w:t>参见宗玉琨译：《德国刑事诉讼法典》，知识产权出版社，</w:t>
      </w:r>
      <w:r>
        <w:rPr>
          <w:rFonts w:hint="eastAsia"/>
          <w:lang w:val="en-US" w:eastAsia="zh-CN"/>
        </w:rPr>
        <w:t>2013年12月第1版，第266-269页。</w:t>
      </w:r>
    </w:p>
    <w:p>
      <w:pPr>
        <w:pStyle w:val="2"/>
        <w:snapToGrid w:val="0"/>
      </w:pPr>
    </w:p>
  </w:footnote>
  <w:footnote w:id="14">
    <w:p>
      <w:pPr>
        <w:pStyle w:val="2"/>
        <w:snapToGrid w:val="0"/>
        <w:rPr>
          <w:rFonts w:hint="eastAsia" w:asciiTheme="minorEastAsia" w:hAnsiTheme="minorEastAsia" w:eastAsiaTheme="minorEastAsia" w:cstheme="minorEastAsia"/>
          <w:lang w:val="en-US" w:eastAsia="zh-CN"/>
        </w:rPr>
      </w:pPr>
      <w:r>
        <w:rPr>
          <w:rStyle w:val="4"/>
        </w:rPr>
        <w:footnoteRef/>
      </w:r>
      <w:r>
        <w:t xml:space="preserve"> </w:t>
      </w:r>
      <w:r>
        <w:rPr>
          <w:rFonts w:hint="default" w:ascii="Times New Roman" w:hAnsi="Times New Roman" w:cs="Times New Roman"/>
        </w:rPr>
        <w:t>[</w:t>
      </w:r>
      <w:r>
        <w:rPr>
          <w:rFonts w:hint="eastAsia" w:ascii="Times New Roman" w:hAnsi="Times New Roman" w:cs="Times New Roman"/>
          <w:lang w:eastAsia="zh-CN"/>
        </w:rPr>
        <w:t>法</w:t>
      </w:r>
      <w:r>
        <w:rPr>
          <w:rFonts w:hint="default" w:ascii="Times New Roman" w:hAnsi="Times New Roman" w:cs="Times New Roman"/>
        </w:rPr>
        <w:t>]</w:t>
      </w:r>
      <w:r>
        <w:rPr>
          <w:rFonts w:hint="eastAsia" w:ascii="Times New Roman" w:hAnsi="Times New Roman" w:cs="Times New Roman"/>
          <w:lang w:eastAsia="zh-CN"/>
        </w:rPr>
        <w:t>贝尔纳</w:t>
      </w:r>
      <w:r>
        <w:rPr>
          <w:rFonts w:hint="eastAsia" w:ascii="宋体" w:hAnsi="宋体" w:eastAsia="宋体" w:cs="宋体"/>
          <w:lang w:eastAsia="zh-CN"/>
        </w:rPr>
        <w:t>.•</w:t>
      </w:r>
      <w:r>
        <w:rPr>
          <w:rFonts w:hint="eastAsia" w:asciiTheme="minorEastAsia" w:hAnsiTheme="minorEastAsia" w:cstheme="minorEastAsia"/>
          <w:lang w:eastAsia="zh-CN"/>
        </w:rPr>
        <w:t>布洛克著：《法国刑事诉讼法》，罗结珍译，中国政法大学出版社</w:t>
      </w:r>
      <w:r>
        <w:rPr>
          <w:rFonts w:hint="eastAsia" w:asciiTheme="minorEastAsia" w:hAnsiTheme="minorEastAsia" w:cstheme="minorEastAsia"/>
          <w:lang w:val="en-US" w:eastAsia="zh-CN"/>
        </w:rPr>
        <w:t>2009年第1版，第125页。</w:t>
      </w:r>
    </w:p>
    <w:p>
      <w:pPr>
        <w:pStyle w:val="2"/>
        <w:snapToGrid w:val="0"/>
      </w:pPr>
    </w:p>
  </w:footnote>
  <w:footnote w:id="15">
    <w:p>
      <w:pPr>
        <w:pStyle w:val="2"/>
        <w:snapToGrid w:val="0"/>
      </w:pPr>
      <w:r>
        <w:rPr>
          <w:rStyle w:val="4"/>
        </w:rPr>
        <w:footnoteRef/>
      </w:r>
      <w:r>
        <w:t xml:space="preserve"> </w:t>
      </w:r>
      <w:r>
        <w:rPr>
          <w:rFonts w:hint="eastAsia"/>
          <w:lang w:eastAsia="zh-CN"/>
        </w:rPr>
        <w:t>同上注</w:t>
      </w:r>
    </w:p>
  </w:footnote>
  <w:footnote w:id="16">
    <w:p>
      <w:pPr>
        <w:pStyle w:val="2"/>
        <w:snapToGrid w:val="0"/>
        <w:rPr>
          <w:rFonts w:hint="eastAsia" w:eastAsiaTheme="minorEastAsia"/>
          <w:lang w:val="en-US" w:eastAsia="zh-CN"/>
        </w:rPr>
      </w:pPr>
      <w:r>
        <w:rPr>
          <w:rStyle w:val="4"/>
        </w:rPr>
        <w:footnoteRef/>
      </w:r>
      <w:r>
        <w:t xml:space="preserve">  </w:t>
      </w:r>
      <w:r>
        <w:rPr>
          <w:rFonts w:hint="eastAsia" w:ascii="Times New Roman" w:hAnsi="Times New Roman" w:cs="Times New Roman"/>
          <w:lang w:eastAsia="zh-CN"/>
        </w:rPr>
        <w:t>法</w:t>
      </w:r>
      <w:r>
        <w:rPr>
          <w:rFonts w:hint="default" w:ascii="Times New Roman" w:hAnsi="Times New Roman" w:cs="Times New Roman"/>
        </w:rPr>
        <w:t>]</w:t>
      </w:r>
      <w:r>
        <w:rPr>
          <w:rFonts w:hint="eastAsia" w:ascii="Times New Roman" w:hAnsi="Times New Roman" w:cs="Times New Roman"/>
          <w:lang w:eastAsia="zh-CN"/>
        </w:rPr>
        <w:t>贝尔纳</w:t>
      </w:r>
      <w:r>
        <w:rPr>
          <w:rFonts w:hint="eastAsia" w:ascii="宋体" w:hAnsi="宋体" w:eastAsia="宋体" w:cs="宋体"/>
          <w:lang w:eastAsia="zh-CN"/>
        </w:rPr>
        <w:t>.•</w:t>
      </w:r>
      <w:r>
        <w:rPr>
          <w:rFonts w:hint="eastAsia" w:asciiTheme="minorEastAsia" w:hAnsiTheme="minorEastAsia" w:cstheme="minorEastAsia"/>
          <w:lang w:eastAsia="zh-CN"/>
        </w:rPr>
        <w:t>布洛克著：《法国刑事诉讼法》，罗结珍译，中国政法大学出版社</w:t>
      </w:r>
      <w:r>
        <w:rPr>
          <w:rFonts w:hint="eastAsia" w:asciiTheme="minorEastAsia" w:hAnsiTheme="minorEastAsia" w:cstheme="minorEastAsia"/>
          <w:lang w:val="en-US" w:eastAsia="zh-CN"/>
        </w:rPr>
        <w:t>2009年第1版，</w:t>
      </w:r>
      <w:r>
        <w:rPr>
          <w:rFonts w:hint="eastAsia"/>
          <w:lang w:val="en-US" w:eastAsia="zh-CN"/>
        </w:rPr>
        <w:t>第133页。</w:t>
      </w:r>
    </w:p>
    <w:p>
      <w:pPr>
        <w:pStyle w:val="2"/>
        <w:snapToGrid w:val="0"/>
      </w:pPr>
    </w:p>
  </w:footnote>
  <w:footnote w:id="17">
    <w:p>
      <w:pPr>
        <w:pStyle w:val="2"/>
        <w:snapToGrid w:val="0"/>
        <w:rPr>
          <w:rFonts w:hint="eastAsia" w:eastAsiaTheme="minorEastAsia"/>
          <w:lang w:val="en-US" w:eastAsia="zh-CN"/>
        </w:rPr>
      </w:pPr>
      <w:r>
        <w:rPr>
          <w:rStyle w:val="4"/>
        </w:rPr>
        <w:footnoteRef/>
      </w:r>
      <w:r>
        <w:t xml:space="preserve"> </w:t>
      </w:r>
      <w:r>
        <w:rPr>
          <w:rFonts w:hint="eastAsia"/>
          <w:lang w:eastAsia="zh-CN"/>
        </w:rPr>
        <w:t>杨立新著：《侵权法论》，人民法院出版社，</w:t>
      </w:r>
      <w:r>
        <w:rPr>
          <w:rFonts w:hint="eastAsia"/>
          <w:lang w:val="en-US" w:eastAsia="zh-CN"/>
        </w:rPr>
        <w:t>2005年10月第3版，第28页。</w:t>
      </w:r>
    </w:p>
    <w:p>
      <w:pPr>
        <w:pStyle w:val="2"/>
        <w:snapToGrid w:val="0"/>
      </w:pPr>
    </w:p>
    <w:p>
      <w:pPr>
        <w:pStyle w:val="2"/>
        <w:snapToGrid w:val="0"/>
      </w:pPr>
    </w:p>
  </w:footnote>
  <w:footnote w:id="18">
    <w:p>
      <w:pPr>
        <w:pStyle w:val="2"/>
        <w:snapToGrid w:val="0"/>
      </w:pPr>
      <w:r>
        <w:rPr>
          <w:rStyle w:val="4"/>
        </w:rPr>
        <w:footnoteRef/>
      </w:r>
      <w:r>
        <w:t xml:space="preserve"> </w:t>
      </w:r>
      <w:r>
        <w:rPr>
          <w:rFonts w:hint="eastAsia"/>
          <w:lang w:eastAsia="zh-CN"/>
        </w:rPr>
        <w:t>省略部分与原条款内容后半部分一致</w:t>
      </w:r>
    </w:p>
  </w:footnote>
  <w:footnote w:id="19">
    <w:p>
      <w:pPr>
        <w:pStyle w:val="2"/>
        <w:snapToGrid w:val="0"/>
        <w:rPr>
          <w:rFonts w:hint="eastAsia" w:eastAsiaTheme="minorEastAsia"/>
          <w:lang w:val="en-US" w:eastAsia="zh-CN"/>
        </w:rPr>
      </w:pPr>
      <w:r>
        <w:rPr>
          <w:rStyle w:val="4"/>
        </w:rPr>
        <w:footnoteRef/>
      </w:r>
      <w:r>
        <w:t xml:space="preserve"> </w:t>
      </w:r>
      <w:r>
        <w:rPr>
          <w:rFonts w:hint="default" w:ascii="Times New Roman" w:hAnsi="Times New Roman" w:cs="Times New Roman"/>
        </w:rPr>
        <w:t>[</w:t>
      </w:r>
      <w:r>
        <w:rPr>
          <w:rFonts w:hint="eastAsia" w:ascii="Times New Roman" w:hAnsi="Times New Roman" w:cs="Times New Roman"/>
          <w:lang w:eastAsia="zh-CN"/>
        </w:rPr>
        <w:t>英</w:t>
      </w:r>
      <w:r>
        <w:rPr>
          <w:rFonts w:hint="default" w:ascii="Times New Roman" w:hAnsi="Times New Roman" w:cs="Times New Roman"/>
        </w:rPr>
        <w:t>]</w:t>
      </w:r>
      <w:r>
        <w:rPr>
          <w:rFonts w:hint="eastAsia" w:ascii="Times New Roman" w:hAnsi="Times New Roman" w:cs="Times New Roman"/>
          <w:lang w:eastAsia="zh-CN"/>
        </w:rPr>
        <w:t>边沁著：《道德与立法原理》，时殷弘译，商务印书馆，</w:t>
      </w:r>
      <w:r>
        <w:rPr>
          <w:rFonts w:hint="eastAsia" w:ascii="Times New Roman" w:hAnsi="Times New Roman" w:cs="Times New Roman"/>
          <w:lang w:val="en-US" w:eastAsia="zh-CN"/>
        </w:rPr>
        <w:t>2000年第1版第225-226页。“惩罚之值在任何情况下，皆须不小于罪过收益之值”。</w:t>
      </w:r>
    </w:p>
    <w:p>
      <w:pPr>
        <w:pStyle w:val="2"/>
        <w:snapToGrid w:val="0"/>
      </w:pPr>
    </w:p>
  </w:footnote>
  <w:footnote w:id="20">
    <w:p>
      <w:pPr>
        <w:pStyle w:val="2"/>
        <w:snapToGrid w:val="0"/>
      </w:pPr>
      <w:r>
        <w:rPr>
          <w:rStyle w:val="4"/>
        </w:rPr>
        <w:footnoteRef/>
      </w:r>
      <w:r>
        <w:t xml:space="preserve"> </w:t>
      </w:r>
      <w:r>
        <w:rPr>
          <w:rFonts w:hint="eastAsia"/>
          <w:lang w:eastAsia="zh-CN"/>
        </w:rPr>
        <w:t>英美法系称为判例，我国定义为指导案例。</w:t>
      </w:r>
    </w:p>
  </w:footnote>
  <w:footnote w:id="21">
    <w:p>
      <w:pPr>
        <w:pStyle w:val="2"/>
        <w:snapToGrid w:val="0"/>
      </w:pPr>
      <w:r>
        <w:rPr>
          <w:rStyle w:val="4"/>
        </w:rPr>
        <w:footnoteRef/>
      </w:r>
      <w:r>
        <w:t xml:space="preserve"> </w:t>
      </w:r>
      <w:r>
        <w:rPr>
          <w:rFonts w:hint="eastAsia"/>
          <w:lang w:eastAsia="zh-CN"/>
        </w:rPr>
        <w:t>见</w:t>
      </w:r>
      <w:r>
        <w:rPr>
          <w:rFonts w:hint="eastAsia"/>
          <w:lang w:val="en-US" w:eastAsia="zh-CN"/>
        </w:rPr>
        <w:t>C市A县法院2016-2017执行工作报告。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A44F53"/>
    <w:multiLevelType w:val="singleLevel"/>
    <w:tmpl w:val="8DA44F53"/>
    <w:lvl w:ilvl="0" w:tentative="0">
      <w:start w:val="1"/>
      <w:numFmt w:val="chineseCounting"/>
      <w:suff w:val="nothing"/>
      <w:lvlText w:val="%1、"/>
      <w:lvlJc w:val="left"/>
      <w:rPr>
        <w:rFonts w:hint="eastAsia"/>
      </w:rPr>
    </w:lvl>
  </w:abstractNum>
  <w:abstractNum w:abstractNumId="1">
    <w:nsid w:val="2A1590AC"/>
    <w:multiLevelType w:val="singleLevel"/>
    <w:tmpl w:val="2A1590AC"/>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1C1A2F"/>
    <w:rsid w:val="120D667A"/>
    <w:rsid w:val="13E1134F"/>
    <w:rsid w:val="171C1A2F"/>
    <w:rsid w:val="21416768"/>
    <w:rsid w:val="2B520DEE"/>
    <w:rsid w:val="30CF1A42"/>
    <w:rsid w:val="49C148A7"/>
    <w:rsid w:val="4A18790A"/>
    <w:rsid w:val="57872BE8"/>
    <w:rsid w:val="62D641A1"/>
    <w:rsid w:val="67976121"/>
    <w:rsid w:val="7890314D"/>
    <w:rsid w:val="7C8B5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character" w:styleId="4">
    <w:name w:val="footnote reference"/>
    <w:basedOn w:val="3"/>
    <w:qFormat/>
    <w:uiPriority w:val="0"/>
    <w:rPr>
      <w:vertAlign w:val="superscript"/>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2019-05-08T14:28:00Z</dcterms:created>
  <dc:creator>Administrator</dc:creator>
  <cp:lastModifiedBy>余孝安</cp:lastModifiedBy>
  <dcterms:modified xsi:type="dcterms:W3CDTF">2019-05-20T07:49:34Z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