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2"/>
          <w:szCs w:val="32"/>
        </w:rPr>
      </w:pPr>
      <w:r>
        <w:rPr>
          <w:rFonts w:hint="eastAsia"/>
          <w:sz w:val="32"/>
          <w:szCs w:val="32"/>
          <w:lang w:val="en-US" w:eastAsia="zh-CN"/>
        </w:rPr>
        <w:t>酒店对顾客抛弃物品造成他人损害应承担赔偿责任——范</w:t>
      </w:r>
      <w:bookmarkStart w:id="0" w:name="_GoBack"/>
      <w:bookmarkEnd w:id="0"/>
      <w:r>
        <w:rPr>
          <w:rFonts w:hint="eastAsia" w:asciiTheme="minorEastAsia" w:hAnsiTheme="minorEastAsia"/>
          <w:sz w:val="32"/>
          <w:szCs w:val="32"/>
        </w:rPr>
        <w:t>××与丰都县尚都酒店健康权案</w:t>
      </w:r>
    </w:p>
    <w:p>
      <w:pPr>
        <w:rPr>
          <w:rFonts w:ascii="Times New Roman" w:hAnsi="仿宋" w:eastAsia="仿宋" w:cs="Times New Roman"/>
          <w:sz w:val="32"/>
          <w:szCs w:val="32"/>
        </w:rPr>
      </w:pPr>
      <w:r>
        <w:rPr>
          <w:rFonts w:hint="eastAsia" w:asciiTheme="minorEastAsia" w:hAnsiTheme="minorEastAsia"/>
          <w:sz w:val="44"/>
          <w:szCs w:val="44"/>
        </w:rPr>
        <w:t xml:space="preserve">  </w:t>
      </w:r>
      <w:r>
        <w:rPr>
          <w:rFonts w:hint="eastAsia" w:asciiTheme="minorEastAsia" w:hAnsiTheme="minorEastAsia"/>
          <w:sz w:val="28"/>
          <w:szCs w:val="28"/>
        </w:rPr>
        <w:t xml:space="preserve"> </w:t>
      </w:r>
      <w:r>
        <w:rPr>
          <w:rFonts w:hint="default" w:ascii="Times New Roman" w:hAnsi="Times New Roman" w:cs="Times New Roman"/>
          <w:sz w:val="28"/>
          <w:szCs w:val="28"/>
        </w:rPr>
        <w:t>[</w:t>
      </w:r>
      <w:r>
        <w:rPr>
          <w:rFonts w:hint="eastAsia" w:ascii="Times New Roman" w:hAnsi="Times New Roman" w:cs="Times New Roman"/>
          <w:sz w:val="28"/>
          <w:szCs w:val="28"/>
          <w:lang w:eastAsia="zh-CN"/>
        </w:rPr>
        <w:t>案件基本信息</w:t>
      </w:r>
      <w:r>
        <w:rPr>
          <w:rFonts w:hint="default" w:ascii="Times New Roman" w:hAnsi="Times New Roman" w:cs="Times New Roman"/>
          <w:sz w:val="28"/>
          <w:szCs w:val="28"/>
        </w:rPr>
        <w:t>]</w:t>
      </w:r>
      <w:r>
        <w:rPr>
          <w:rFonts w:hint="eastAsia" w:asciiTheme="minorEastAsia" w:hAnsiTheme="minorEastAsia"/>
          <w:sz w:val="28"/>
          <w:szCs w:val="28"/>
        </w:rPr>
        <w:t xml:space="preserve">  </w:t>
      </w:r>
      <w:r>
        <w:rPr>
          <w:rFonts w:hint="eastAsia" w:asciiTheme="minorEastAsia" w:hAnsiTheme="minorEastAsia"/>
          <w:sz w:val="44"/>
          <w:szCs w:val="44"/>
        </w:rPr>
        <w:t xml:space="preserve">      </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ascii="Times New Roman" w:hAnsi="仿宋" w:eastAsia="仿宋" w:cs="Times New Roman"/>
          <w:sz w:val="28"/>
          <w:szCs w:val="28"/>
        </w:rPr>
        <w:t>、判决书字号</w:t>
      </w:r>
    </w:p>
    <w:p>
      <w:pPr>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重庆市第三中级人民法院（</w:t>
      </w:r>
      <w:r>
        <w:rPr>
          <w:rFonts w:ascii="Times New Roman" w:hAnsi="Times New Roman" w:eastAsia="仿宋" w:cs="Times New Roman"/>
          <w:sz w:val="28"/>
          <w:szCs w:val="28"/>
        </w:rPr>
        <w:t>2017</w:t>
      </w:r>
      <w:r>
        <w:rPr>
          <w:rFonts w:ascii="Times New Roman" w:hAnsi="仿宋" w:eastAsia="仿宋" w:cs="Times New Roman"/>
          <w:sz w:val="28"/>
          <w:szCs w:val="28"/>
        </w:rPr>
        <w:t>）渝</w:t>
      </w:r>
      <w:r>
        <w:rPr>
          <w:rFonts w:ascii="Times New Roman" w:hAnsi="Times New Roman" w:eastAsia="仿宋" w:cs="Times New Roman"/>
          <w:sz w:val="28"/>
          <w:szCs w:val="28"/>
        </w:rPr>
        <w:t>03</w:t>
      </w:r>
      <w:r>
        <w:rPr>
          <w:rFonts w:ascii="Times New Roman" w:hAnsi="仿宋" w:eastAsia="仿宋" w:cs="Times New Roman"/>
          <w:sz w:val="28"/>
          <w:szCs w:val="28"/>
        </w:rPr>
        <w:t>民终</w:t>
      </w:r>
      <w:r>
        <w:rPr>
          <w:rFonts w:ascii="Times New Roman" w:hAnsi="Times New Roman" w:eastAsia="仿宋" w:cs="Times New Roman"/>
          <w:sz w:val="28"/>
          <w:szCs w:val="28"/>
        </w:rPr>
        <w:t>1922</w:t>
      </w:r>
      <w:r>
        <w:rPr>
          <w:rFonts w:ascii="Times New Roman" w:hAnsi="仿宋" w:eastAsia="仿宋" w:cs="Times New Roman"/>
          <w:sz w:val="28"/>
          <w:szCs w:val="28"/>
        </w:rPr>
        <w:t>号。</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、案由：健康权纠纷</w:t>
      </w:r>
    </w:p>
    <w:p>
      <w:pPr>
        <w:ind w:firstLine="560" w:firstLineChars="200"/>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3</w:t>
      </w:r>
      <w:r>
        <w:rPr>
          <w:rFonts w:ascii="Times New Roman" w:hAnsi="仿宋" w:eastAsia="仿宋" w:cs="Times New Roman"/>
          <w:sz w:val="28"/>
          <w:szCs w:val="28"/>
        </w:rPr>
        <w:t>、</w:t>
      </w:r>
      <w:r>
        <w:rPr>
          <w:rFonts w:hint="eastAsia" w:ascii="Times New Roman" w:hAnsi="仿宋" w:eastAsia="仿宋" w:cs="Times New Roman"/>
          <w:sz w:val="28"/>
          <w:szCs w:val="28"/>
          <w:lang w:eastAsia="zh-CN"/>
        </w:rPr>
        <w:t>当事人</w:t>
      </w:r>
    </w:p>
    <w:p>
      <w:pPr>
        <w:spacing w:line="578" w:lineRule="exact"/>
        <w:ind w:firstLine="548" w:firstLineChars="196"/>
        <w:rPr>
          <w:rFonts w:ascii="Times New Roman" w:hAnsi="Times New Roman" w:eastAsia="仿宋" w:cs="Times New Roman"/>
          <w:color w:val="000000"/>
          <w:sz w:val="28"/>
          <w:szCs w:val="28"/>
        </w:rPr>
      </w:pPr>
      <w:r>
        <w:rPr>
          <w:rFonts w:ascii="Times New Roman" w:hAnsi="仿宋" w:eastAsia="仿宋" w:cs="Times New Roman"/>
          <w:sz w:val="28"/>
          <w:szCs w:val="28"/>
        </w:rPr>
        <w:t>上诉人（原审被告）：</w:t>
      </w:r>
      <w:r>
        <w:rPr>
          <w:rFonts w:ascii="Times New Roman" w:hAnsi="仿宋" w:eastAsia="仿宋" w:cs="Times New Roman"/>
          <w:color w:val="000000"/>
          <w:sz w:val="28"/>
          <w:szCs w:val="28"/>
        </w:rPr>
        <w:t>丰都县尚都商务酒店。</w:t>
      </w:r>
    </w:p>
    <w:p>
      <w:pPr>
        <w:spacing w:line="578" w:lineRule="exact"/>
        <w:ind w:firstLine="548" w:firstLineChars="196"/>
        <w:rPr>
          <w:rFonts w:ascii="Times New Roman" w:hAnsi="Times New Roman" w:eastAsia="仿宋" w:cs="Times New Roman"/>
          <w:color w:val="000000"/>
          <w:sz w:val="28"/>
          <w:szCs w:val="28"/>
        </w:rPr>
      </w:pPr>
      <w:r>
        <w:rPr>
          <w:rFonts w:ascii="Times New Roman" w:hAnsi="仿宋" w:eastAsia="仿宋" w:cs="Times New Roman"/>
          <w:sz w:val="28"/>
          <w:szCs w:val="28"/>
        </w:rPr>
        <w:t>被上诉人（原审原告）：</w:t>
      </w:r>
      <w:r>
        <w:rPr>
          <w:rFonts w:ascii="Times New Roman" w:hAnsi="仿宋" w:eastAsia="仿宋" w:cs="Times New Roman"/>
          <w:color w:val="000000"/>
          <w:sz w:val="28"/>
          <w:szCs w:val="28"/>
        </w:rPr>
        <w:t>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w:t>
      </w:r>
    </w:p>
    <w:p>
      <w:pPr>
        <w:spacing w:line="360" w:lineRule="auto"/>
        <w:ind w:firstLine="420" w:firstLineChars="150"/>
        <w:rPr>
          <w:rFonts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基本案情</w:t>
      </w:r>
      <w:r>
        <w:rPr>
          <w:rFonts w:hint="default" w:ascii="Times New Roman" w:hAnsi="Times New Roman" w:eastAsia="仿宋" w:cs="Times New Roman"/>
          <w:sz w:val="28"/>
          <w:szCs w:val="28"/>
        </w:rPr>
        <w:t>]</w:t>
      </w:r>
    </w:p>
    <w:p>
      <w:pPr>
        <w:spacing w:line="578" w:lineRule="exact"/>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14</w:t>
      </w:r>
      <w:r>
        <w:rPr>
          <w:rFonts w:ascii="Times New Roman" w:hAnsi="仿宋" w:eastAsia="仿宋" w:cs="Times New Roman"/>
          <w:color w:val="000000"/>
          <w:sz w:val="28"/>
          <w:szCs w:val="28"/>
        </w:rPr>
        <w:t>日，范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跟随其奶奶田小花入住丰都县尚都商务酒店</w:t>
      </w:r>
      <w:r>
        <w:rPr>
          <w:rFonts w:ascii="Times New Roman" w:hAnsi="Times New Roman" w:eastAsia="仿宋" w:cs="Times New Roman"/>
          <w:color w:val="000000"/>
          <w:sz w:val="28"/>
          <w:szCs w:val="28"/>
        </w:rPr>
        <w:t>8010</w:t>
      </w:r>
      <w:r>
        <w:rPr>
          <w:rFonts w:ascii="Times New Roman" w:hAnsi="仿宋" w:eastAsia="仿宋" w:cs="Times New Roman"/>
          <w:color w:val="000000"/>
          <w:sz w:val="28"/>
          <w:szCs w:val="28"/>
        </w:rPr>
        <w:t>号房间，范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在玩耍时，将他人弃置（具体系何人何时弃置尚缺乏证据予以确定。）在柜子里的吸食毒品的用具翻出来玩耍，后误吸用具中的毒品残留物，导致中毒。</w:t>
      </w: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15</w:t>
      </w:r>
      <w:r>
        <w:rPr>
          <w:rFonts w:ascii="Times New Roman" w:hAnsi="仿宋" w:eastAsia="仿宋" w:cs="Times New Roman"/>
          <w:color w:val="000000"/>
          <w:sz w:val="28"/>
          <w:szCs w:val="28"/>
        </w:rPr>
        <w:t>日在丰都县人民医院住院治疗，</w:t>
      </w: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21</w:t>
      </w:r>
      <w:r>
        <w:rPr>
          <w:rFonts w:ascii="Times New Roman" w:hAnsi="仿宋" w:eastAsia="仿宋" w:cs="Times New Roman"/>
          <w:color w:val="000000"/>
          <w:sz w:val="28"/>
          <w:szCs w:val="28"/>
        </w:rPr>
        <w:t>日出院，诊断为甲基苯丙胺中毒、中毒性心肌炎、上呼吸道感染、吗啡中毒？</w:t>
      </w:r>
      <w:r>
        <w:rPr>
          <w:rFonts w:ascii="Times New Roman" w:hAnsi="Times New Roman" w:eastAsia="仿宋" w:cs="Times New Roman"/>
          <w:color w:val="000000"/>
          <w:sz w:val="28"/>
          <w:szCs w:val="28"/>
        </w:rPr>
        <w:t>2016</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7</w:t>
      </w:r>
      <w:r>
        <w:rPr>
          <w:rFonts w:ascii="Times New Roman" w:hAnsi="仿宋" w:eastAsia="仿宋" w:cs="Times New Roman"/>
          <w:color w:val="000000"/>
          <w:sz w:val="28"/>
          <w:szCs w:val="28"/>
        </w:rPr>
        <w:t>月至</w:t>
      </w:r>
      <w:r>
        <w:rPr>
          <w:rFonts w:ascii="Times New Roman" w:hAnsi="Times New Roman" w:eastAsia="仿宋" w:cs="Times New Roman"/>
          <w:color w:val="000000"/>
          <w:sz w:val="28"/>
          <w:szCs w:val="28"/>
        </w:rPr>
        <w:t>2017</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6</w:t>
      </w:r>
      <w:r>
        <w:rPr>
          <w:rFonts w:ascii="Times New Roman" w:hAnsi="仿宋" w:eastAsia="仿宋" w:cs="Times New Roman"/>
          <w:color w:val="000000"/>
          <w:sz w:val="28"/>
          <w:szCs w:val="28"/>
        </w:rPr>
        <w:t>月期间多次到重庆医科大学儿童医院门诊治疗。在治疗过程中，范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支付治疗费共计</w:t>
      </w:r>
      <w:r>
        <w:rPr>
          <w:rFonts w:ascii="Times New Roman" w:hAnsi="Times New Roman" w:eastAsia="仿宋" w:cs="Times New Roman"/>
          <w:color w:val="000000"/>
          <w:sz w:val="28"/>
          <w:szCs w:val="28"/>
        </w:rPr>
        <w:t>4088.58</w:t>
      </w:r>
      <w:r>
        <w:rPr>
          <w:rFonts w:ascii="Times New Roman" w:hAnsi="仿宋" w:eastAsia="仿宋" w:cs="Times New Roman"/>
          <w:color w:val="000000"/>
          <w:sz w:val="28"/>
          <w:szCs w:val="28"/>
        </w:rPr>
        <w:t>元，举示的交通费发票金额为</w:t>
      </w:r>
      <w:r>
        <w:rPr>
          <w:rFonts w:ascii="Times New Roman" w:hAnsi="Times New Roman" w:eastAsia="仿宋" w:cs="Times New Roman"/>
          <w:color w:val="000000"/>
          <w:sz w:val="28"/>
          <w:szCs w:val="28"/>
        </w:rPr>
        <w:t>1045</w:t>
      </w:r>
      <w:r>
        <w:rPr>
          <w:rFonts w:ascii="Times New Roman" w:hAnsi="仿宋" w:eastAsia="仿宋" w:cs="Times New Roman"/>
          <w:color w:val="000000"/>
          <w:sz w:val="28"/>
          <w:szCs w:val="28"/>
        </w:rPr>
        <w:t>元，住宿费发票金额为</w:t>
      </w:r>
      <w:r>
        <w:rPr>
          <w:rFonts w:ascii="Times New Roman" w:hAnsi="Times New Roman" w:eastAsia="仿宋" w:cs="Times New Roman"/>
          <w:color w:val="000000"/>
          <w:sz w:val="28"/>
          <w:szCs w:val="28"/>
        </w:rPr>
        <w:t>2320</w:t>
      </w:r>
      <w:r>
        <w:rPr>
          <w:rFonts w:ascii="Times New Roman" w:hAnsi="仿宋" w:eastAsia="仿宋" w:cs="Times New Roman"/>
          <w:color w:val="000000"/>
          <w:sz w:val="28"/>
          <w:szCs w:val="28"/>
        </w:rPr>
        <w:t>元。</w:t>
      </w:r>
      <w:r>
        <w:rPr>
          <w:rFonts w:ascii="Times New Roman" w:hAnsi="Times New Roman" w:eastAsia="仿宋" w:cs="Times New Roman"/>
          <w:color w:val="000000"/>
          <w:sz w:val="28"/>
          <w:szCs w:val="28"/>
        </w:rPr>
        <w:t>2017</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8</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23</w:t>
      </w:r>
      <w:r>
        <w:rPr>
          <w:rFonts w:ascii="Times New Roman" w:hAnsi="仿宋" w:eastAsia="仿宋" w:cs="Times New Roman"/>
          <w:color w:val="000000"/>
          <w:sz w:val="28"/>
          <w:szCs w:val="28"/>
        </w:rPr>
        <w:t>日，经重庆市南岸司法鉴定所鉴定，结论为，范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目前未构成伤残，后续治疗费约需</w:t>
      </w:r>
      <w:r>
        <w:rPr>
          <w:rFonts w:ascii="Times New Roman" w:hAnsi="Times New Roman" w:eastAsia="仿宋" w:cs="Times New Roman"/>
          <w:color w:val="000000"/>
          <w:sz w:val="28"/>
          <w:szCs w:val="28"/>
        </w:rPr>
        <w:t>12000</w:t>
      </w:r>
      <w:r>
        <w:rPr>
          <w:rFonts w:ascii="Times New Roman" w:hAnsi="仿宋" w:eastAsia="仿宋" w:cs="Times New Roman"/>
          <w:color w:val="000000"/>
          <w:sz w:val="28"/>
          <w:szCs w:val="28"/>
        </w:rPr>
        <w:t>元，范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支付鉴定费</w:t>
      </w:r>
      <w:r>
        <w:rPr>
          <w:rFonts w:ascii="Times New Roman" w:hAnsi="Times New Roman" w:eastAsia="仿宋" w:cs="Times New Roman"/>
          <w:color w:val="000000"/>
          <w:sz w:val="28"/>
          <w:szCs w:val="28"/>
        </w:rPr>
        <w:t>1550</w:t>
      </w:r>
      <w:r>
        <w:rPr>
          <w:rFonts w:ascii="Times New Roman" w:hAnsi="仿宋" w:eastAsia="仿宋" w:cs="Times New Roman"/>
          <w:color w:val="000000"/>
          <w:sz w:val="28"/>
          <w:szCs w:val="28"/>
        </w:rPr>
        <w:t>元。</w:t>
      </w:r>
    </w:p>
    <w:p>
      <w:pPr>
        <w:ind w:firstLine="64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w:t>
      </w:r>
      <w:r>
        <w:rPr>
          <w:rFonts w:hint="eastAsia" w:ascii="Times New Roman" w:hAnsi="Times New Roman" w:eastAsia="仿宋" w:cs="Times New Roman"/>
          <w:color w:val="000000"/>
          <w:sz w:val="28"/>
          <w:szCs w:val="28"/>
          <w:lang w:eastAsia="zh-CN"/>
        </w:rPr>
        <w:t>案件焦点</w:t>
      </w:r>
      <w:r>
        <w:rPr>
          <w:rFonts w:hint="default" w:ascii="Times New Roman" w:hAnsi="Times New Roman" w:eastAsia="仿宋" w:cs="Times New Roman"/>
          <w:color w:val="000000"/>
          <w:sz w:val="28"/>
          <w:szCs w:val="28"/>
        </w:rPr>
        <w:t>]</w:t>
      </w:r>
    </w:p>
    <w:p>
      <w:pPr>
        <w:ind w:firstLine="64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t>在酒店抛弃毒品残留物的顾客是否与酒店共同承担赔偿责任</w:t>
      </w:r>
    </w:p>
    <w:p>
      <w:pPr>
        <w:spacing w:line="578"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重庆市丰都县人民法院审理认为，原、被告争议的焦点是：（</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）责任主体与责任划分问题；（</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）赔偿金额等问题。</w:t>
      </w:r>
    </w:p>
    <w:p>
      <w:pPr>
        <w:spacing w:line="578"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）责任主体与责任划分问题。根据《中华人民共和国侵权责任法》第三十七条</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宾馆</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未尽到安全保障义务，造成他人损害的，应当承担侵权责任</w:t>
      </w:r>
      <w:r>
        <w:rPr>
          <w:rFonts w:ascii="Times New Roman" w:hAnsi="Times New Roman" w:eastAsia="仿宋" w:cs="Times New Roman"/>
          <w:color w:val="000000"/>
          <w:sz w:val="28"/>
          <w:szCs w:val="28"/>
        </w:rPr>
        <w:t>……”</w:t>
      </w:r>
      <w:r>
        <w:rPr>
          <w:rFonts w:hint="eastAsia" w:ascii="Times New Roman" w:hAnsi="Times New Roman" w:eastAsia="仿宋" w:cs="Times New Roman"/>
          <w:color w:val="000000"/>
          <w:sz w:val="28"/>
          <w:szCs w:val="28"/>
          <w:lang w:eastAsia="zh-CN"/>
        </w:rPr>
        <w:t>，</w:t>
      </w:r>
      <w:r>
        <w:rPr>
          <w:rFonts w:ascii="Times New Roman" w:hAnsi="仿宋" w:eastAsia="仿宋" w:cs="Times New Roman"/>
          <w:color w:val="000000"/>
          <w:sz w:val="28"/>
          <w:szCs w:val="28"/>
        </w:rPr>
        <w:t>结合本案事实，原告误吸毒品残留物，其主要原因系被告对自己经营管理的宾馆未尽到管理义务</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全面清洁客房，清除有毒有害等垃圾导致，因此丰都县尚都商务酒店</w:t>
      </w:r>
      <w:r>
        <w:rPr>
          <w:rFonts w:hint="eastAsia" w:ascii="Times New Roman" w:hAnsi="仿宋" w:eastAsia="仿宋" w:cs="Times New Roman"/>
          <w:color w:val="000000"/>
          <w:sz w:val="28"/>
          <w:szCs w:val="28"/>
          <w:lang w:eastAsia="zh-CN"/>
        </w:rPr>
        <w:t>系</w:t>
      </w:r>
      <w:r>
        <w:rPr>
          <w:rFonts w:ascii="Times New Roman" w:hAnsi="仿宋" w:eastAsia="仿宋" w:cs="Times New Roman"/>
          <w:color w:val="000000"/>
          <w:sz w:val="28"/>
          <w:szCs w:val="28"/>
        </w:rPr>
        <w:t>责任主体。本案原告系无民事行为能力人，不能判断有毒有害垃圾，但是其监护人有监护管理的责任，防止其受到损害，由于其监护人未完全尽到监护责任，导致其在酒店房间玩耍时，误吸毒品残留物是导致原告损害发生的次要原因。为此应依法适当减轻被告的责任，减轻的部分责任由原告或者其监护人负担。综上，从该案发生的原因力及被告过错程度比较，以被告承担</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的赔偿责任为公平。</w:t>
      </w:r>
    </w:p>
    <w:p>
      <w:pPr>
        <w:spacing w:line="360" w:lineRule="auto"/>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）赔偿金额等问题。原告的交通费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住宿费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医疗费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护理费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伙食补助费营养费</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精神损害抚慰金</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鉴定费合计为</w:t>
      </w:r>
      <w:r>
        <w:rPr>
          <w:rFonts w:ascii="Times New Roman" w:hAnsi="Times New Roman" w:eastAsia="仿宋" w:cs="Times New Roman"/>
          <w:color w:val="000000"/>
          <w:sz w:val="28"/>
          <w:szCs w:val="28"/>
        </w:rPr>
        <w:t>28443.58</w:t>
      </w:r>
      <w:r>
        <w:rPr>
          <w:rFonts w:ascii="Times New Roman" w:hAnsi="仿宋" w:eastAsia="仿宋" w:cs="Times New Roman"/>
          <w:color w:val="000000"/>
          <w:sz w:val="28"/>
          <w:szCs w:val="28"/>
        </w:rPr>
        <w:t>元。按照被告负担</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的比例，被告实际赔偿的金额为</w:t>
      </w:r>
      <w:r>
        <w:rPr>
          <w:rFonts w:ascii="Times New Roman" w:hAnsi="Times New Roman" w:eastAsia="仿宋" w:cs="Times New Roman"/>
          <w:color w:val="000000"/>
          <w:sz w:val="28"/>
          <w:szCs w:val="28"/>
        </w:rPr>
        <w:t>22754.86</w:t>
      </w:r>
      <w:r>
        <w:rPr>
          <w:rFonts w:ascii="Times New Roman" w:hAnsi="仿宋" w:eastAsia="仿宋" w:cs="Times New Roman"/>
          <w:color w:val="000000"/>
          <w:sz w:val="28"/>
          <w:szCs w:val="28"/>
        </w:rPr>
        <w:t>元。</w:t>
      </w:r>
    </w:p>
    <w:p>
      <w:pPr>
        <w:spacing w:line="578" w:lineRule="exact"/>
        <w:ind w:firstLine="560" w:firstLineChars="200"/>
        <w:rPr>
          <w:rFonts w:hint="eastAsia" w:ascii="Times New Roman" w:hAnsi="Times New Roman" w:eastAsia="仿宋" w:cs="Times New Roman"/>
          <w:color w:val="000000"/>
          <w:sz w:val="28"/>
          <w:szCs w:val="28"/>
          <w:lang w:eastAsia="zh-CN"/>
        </w:rPr>
      </w:pPr>
      <w:r>
        <w:rPr>
          <w:rFonts w:hint="eastAsia" w:ascii="Times New Roman" w:hAnsi="仿宋" w:eastAsia="仿宋" w:cs="Times New Roman"/>
          <w:color w:val="000000"/>
          <w:sz w:val="28"/>
          <w:szCs w:val="28"/>
          <w:lang w:eastAsia="zh-CN"/>
        </w:rPr>
        <w:t>重庆市丰都县人民法院依照</w:t>
      </w:r>
      <w:r>
        <w:rPr>
          <w:rFonts w:ascii="Times New Roman" w:hAnsi="仿宋" w:eastAsia="仿宋" w:cs="Times New Roman"/>
          <w:color w:val="000000"/>
          <w:sz w:val="28"/>
          <w:szCs w:val="28"/>
        </w:rPr>
        <w:t>《中华人民共和国侵权责任法》第十二条、第十五条第一款第（六）项、十六条、第二十二条、第三十七条第一款、《最高法院关于审理人身损害赔偿案件适用法律若干问题的解释》第六条第二款、第十七条第一款、第二十一条、等二十二条、第二十三条、第二十四条、《最高人民法院关于确定民事侵权精神损害赔偿责任若干问题的解释》第十条、《最高人民法院关于适用〈中华人民共和国民事诉讼法〉的解释》第五十九条第一款之规定，判决</w:t>
      </w:r>
      <w:r>
        <w:rPr>
          <w:rFonts w:hint="eastAsia" w:ascii="Times New Roman" w:hAnsi="仿宋" w:eastAsia="仿宋" w:cs="Times New Roman"/>
          <w:color w:val="000000"/>
          <w:sz w:val="28"/>
          <w:szCs w:val="28"/>
          <w:lang w:eastAsia="zh-CN"/>
        </w:rPr>
        <w:t>：</w:t>
      </w:r>
    </w:p>
    <w:p>
      <w:pPr>
        <w:pStyle w:val="4"/>
        <w:spacing w:line="578" w:lineRule="exact"/>
        <w:ind w:firstLine="64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）被告丰都县尚都商务酒店在本判决发生法律效力后十日内赔偿原告范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医疗费、护理费等经济损失人民币</w:t>
      </w:r>
      <w:r>
        <w:rPr>
          <w:rFonts w:ascii="Times New Roman" w:hAnsi="Times New Roman" w:eastAsia="仿宋" w:cs="Times New Roman"/>
          <w:color w:val="000000"/>
          <w:sz w:val="28"/>
          <w:szCs w:val="28"/>
        </w:rPr>
        <w:t>22754.86</w:t>
      </w:r>
      <w:r>
        <w:rPr>
          <w:rFonts w:ascii="Times New Roman" w:hAnsi="仿宋" w:eastAsia="仿宋" w:cs="Times New Roman"/>
          <w:color w:val="000000"/>
          <w:sz w:val="28"/>
          <w:szCs w:val="28"/>
        </w:rPr>
        <w:t>元；</w:t>
      </w:r>
    </w:p>
    <w:p>
      <w:pPr>
        <w:pStyle w:val="4"/>
        <w:spacing w:line="578" w:lineRule="exact"/>
        <w:ind w:firstLine="64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）驳回原告范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的其余诉讼请求。</w:t>
      </w:r>
    </w:p>
    <w:p>
      <w:pPr>
        <w:spacing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lang w:eastAsia="zh-CN"/>
        </w:rPr>
        <w:t>重庆市第三中级人民法院审理</w:t>
      </w:r>
      <w:r>
        <w:rPr>
          <w:rFonts w:ascii="Times New Roman" w:hAnsi="仿宋" w:eastAsia="仿宋" w:cs="Times New Roman"/>
          <w:color w:val="000000"/>
          <w:sz w:val="28"/>
          <w:szCs w:val="28"/>
        </w:rPr>
        <w:t>认为，丰都县尚都商务酒店</w:t>
      </w:r>
      <w:r>
        <w:rPr>
          <w:rFonts w:ascii="Times New Roman" w:hAnsi="仿宋" w:eastAsia="仿宋" w:cs="Times New Roman"/>
          <w:sz w:val="28"/>
          <w:szCs w:val="28"/>
        </w:rPr>
        <w:t>违反《旅馆业治安管理办法》第六条第一款</w:t>
      </w:r>
      <w:r>
        <w:rPr>
          <w:rFonts w:hint="eastAsia" w:ascii="Times New Roman" w:hAnsi="仿宋" w:eastAsia="仿宋" w:cs="Times New Roman"/>
          <w:sz w:val="28"/>
          <w:szCs w:val="28"/>
          <w:lang w:eastAsia="zh-CN"/>
        </w:rPr>
        <w:t>、</w:t>
      </w:r>
      <w:r>
        <w:rPr>
          <w:rFonts w:ascii="Times New Roman" w:hAnsi="仿宋" w:eastAsia="仿宋" w:cs="Times New Roman"/>
          <w:sz w:val="28"/>
          <w:szCs w:val="28"/>
        </w:rPr>
        <w:t>第十二条规定，对入住的旅客未严格采取实名登记，致使他人冒用其他人的身份信息入住该宾馆且在该宾馆内吸食毒品，在吸毒人员离开后，又未按照行业管理规定，及时将吸毒人员用矿泉水瓶子自制的吸毒工具作为废弃物清理干净</w:t>
      </w:r>
      <w:r>
        <w:rPr>
          <w:rFonts w:hint="eastAsia" w:ascii="Times New Roman" w:hAnsi="仿宋" w:eastAsia="仿宋" w:cs="Times New Roman"/>
          <w:sz w:val="28"/>
          <w:szCs w:val="28"/>
          <w:lang w:eastAsia="zh-CN"/>
        </w:rPr>
        <w:t>，</w:t>
      </w:r>
      <w:r>
        <w:rPr>
          <w:rFonts w:ascii="Times New Roman" w:hAnsi="仿宋" w:eastAsia="仿宋" w:cs="Times New Roman"/>
          <w:sz w:val="28"/>
          <w:szCs w:val="28"/>
        </w:rPr>
        <w:t>致使</w:t>
      </w:r>
      <w:r>
        <w:rPr>
          <w:rFonts w:ascii="Times New Roman" w:hAnsi="仿宋" w:eastAsia="仿宋" w:cs="Times New Roman"/>
          <w:color w:val="000000"/>
          <w:sz w:val="28"/>
          <w:szCs w:val="28"/>
        </w:rPr>
        <w:t>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误食吸毒人员遗留在宾馆房间内的有矿泉水瓶子自制吸毒工具内含有冰毒的矿泉水，致身体遭受损害，依法应当承担主要责任，一审确定其责任比例</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并无不当；范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为未成年人，当范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饮用时</w:t>
      </w:r>
      <w:r>
        <w:rPr>
          <w:rFonts w:hint="eastAsia" w:ascii="Times New Roman" w:hAnsi="仿宋" w:eastAsia="仿宋" w:cs="Times New Roman"/>
          <w:color w:val="000000"/>
          <w:sz w:val="28"/>
          <w:szCs w:val="28"/>
          <w:lang w:eastAsia="zh-CN"/>
        </w:rPr>
        <w:t>监护人</w:t>
      </w:r>
      <w:r>
        <w:rPr>
          <w:rFonts w:ascii="Times New Roman" w:hAnsi="仿宋" w:eastAsia="仿宋" w:cs="Times New Roman"/>
          <w:color w:val="000000"/>
          <w:sz w:val="28"/>
          <w:szCs w:val="28"/>
        </w:rPr>
        <w:t>未能及时制止</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也有一定过错，一审确定其承担</w:t>
      </w:r>
      <w:r>
        <w:rPr>
          <w:rFonts w:ascii="Times New Roman" w:hAnsi="Times New Roman" w:eastAsia="仿宋" w:cs="Times New Roman"/>
          <w:color w:val="000000"/>
          <w:sz w:val="28"/>
          <w:szCs w:val="28"/>
        </w:rPr>
        <w:t>20%</w:t>
      </w:r>
      <w:r>
        <w:rPr>
          <w:rFonts w:ascii="Times New Roman" w:hAnsi="仿宋" w:eastAsia="仿宋" w:cs="Times New Roman"/>
          <w:color w:val="000000"/>
          <w:sz w:val="28"/>
          <w:szCs w:val="28"/>
        </w:rPr>
        <w:t>责任恰当。</w:t>
      </w:r>
      <w:r>
        <w:rPr>
          <w:rFonts w:ascii="Times New Roman" w:hAnsi="仿宋" w:eastAsia="仿宋" w:cs="Times New Roman"/>
          <w:sz w:val="28"/>
          <w:szCs w:val="28"/>
        </w:rPr>
        <w:t>本案中，虽然公安机关通过侦查确定了造成被上诉人范</w:t>
      </w:r>
      <w:r>
        <w:rPr>
          <w:rFonts w:ascii="Times New Roman" w:hAnsi="Times New Roman" w:eastAsia="仿宋" w:cs="Times New Roman"/>
          <w:sz w:val="28"/>
          <w:szCs w:val="28"/>
        </w:rPr>
        <w:t>××</w:t>
      </w:r>
      <w:r>
        <w:rPr>
          <w:rFonts w:ascii="Times New Roman" w:hAnsi="仿宋" w:eastAsia="仿宋" w:cs="Times New Roman"/>
          <w:sz w:val="28"/>
          <w:szCs w:val="28"/>
        </w:rPr>
        <w:t>误吸食毒品的吸毒工具遗留人员，但</w:t>
      </w:r>
      <w:r>
        <w:rPr>
          <w:rFonts w:ascii="Times New Roman" w:hAnsi="仿宋" w:eastAsia="仿宋" w:cs="Times New Roman"/>
          <w:color w:val="000000"/>
          <w:sz w:val="28"/>
          <w:szCs w:val="28"/>
        </w:rPr>
        <w:t>吸毒人员并非侵权行为人，其不应对范</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承担责任，一审未追加其作为本案当事人并无不当。</w:t>
      </w:r>
      <w:r>
        <w:rPr>
          <w:rFonts w:ascii="Times New Roman" w:hAnsi="仿宋" w:eastAsia="仿宋" w:cs="Times New Roman"/>
          <w:sz w:val="28"/>
          <w:szCs w:val="28"/>
        </w:rPr>
        <w:t>综上所述，</w:t>
      </w:r>
      <w:r>
        <w:rPr>
          <w:rFonts w:ascii="Times New Roman" w:hAnsi="仿宋" w:eastAsia="仿宋" w:cs="Times New Roman"/>
          <w:color w:val="000000"/>
          <w:sz w:val="28"/>
          <w:szCs w:val="28"/>
        </w:rPr>
        <w:t>依照《中华人民共和国民事诉讼法》第一百七十条第一款第一项之规定，判决：驳回上诉，维持原判。</w:t>
      </w:r>
    </w:p>
    <w:p>
      <w:pPr>
        <w:spacing w:line="360" w:lineRule="auto"/>
        <w:ind w:firstLine="560" w:firstLineChars="200"/>
        <w:rPr>
          <w:rFonts w:ascii="Times New Roman" w:hAnsi="仿宋" w:eastAsia="仿宋" w:cs="Times New Roman"/>
          <w:color w:val="000000"/>
          <w:sz w:val="28"/>
          <w:szCs w:val="28"/>
        </w:rPr>
      </w:pPr>
      <w:r>
        <w:rPr>
          <w:rFonts w:hint="default" w:ascii="Times New Roman" w:hAnsi="Times New Roman" w:eastAsia="仿宋" w:cs="Times New Roman"/>
          <w:color w:val="000000"/>
          <w:sz w:val="28"/>
          <w:szCs w:val="28"/>
        </w:rPr>
        <w:t>[</w:t>
      </w:r>
      <w:r>
        <w:rPr>
          <w:rFonts w:hint="eastAsia" w:ascii="Times New Roman" w:hAnsi="Times New Roman" w:eastAsia="仿宋" w:cs="Times New Roman"/>
          <w:color w:val="000000"/>
          <w:sz w:val="28"/>
          <w:szCs w:val="28"/>
          <w:lang w:eastAsia="zh-CN"/>
        </w:rPr>
        <w:t>法官后语</w:t>
      </w:r>
      <w:r>
        <w:rPr>
          <w:rFonts w:hint="default" w:ascii="Times New Roman" w:hAnsi="Times New Roman" w:eastAsia="仿宋" w:cs="Times New Roman"/>
          <w:color w:val="000000"/>
          <w:sz w:val="28"/>
          <w:szCs w:val="28"/>
        </w:rPr>
        <w:t>]</w:t>
      </w:r>
    </w:p>
    <w:p>
      <w:pPr>
        <w:spacing w:line="360" w:lineRule="auto"/>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休闲旅游，入住酒店在当今社会是一个比较普遍的现象，标志着我国公民生活质量水平有了新的提高，对于生活品质的追求也提升到了一个新的阶段，在这新的形势下，给我国的旅游服务业创造出新的发展机遇的同时，也对旅游、酒店、餐馆等服务行业提出了更高的服务质量，服务态度，服务方法，卫生安全的要求，行政部门也进行了相应的立法。《公共场所卫生管理条例》第二条规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本条例适用于下列公共场所：（一）宾馆、饭馆、旅店、招待所、车马店、咖啡馆、酒吧、茶座；（二）公共浴室、理发店、美容店；（三）影剧院、录像厅（室）、游艺厅（室）、舞厅、音乐厅；（四）体育场（馆）、游泳场（馆）、公园；（五）展览馆、博物馆、美术馆、图书馆；（六）商场（店）、书店；（七）候诊室、候车（机、船）室、公共交通工具。</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、第三条</w:t>
      </w:r>
      <w:r>
        <w:rPr>
          <w:rFonts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公共场所的下列项目应符合国家卫生标准和要求：（一）空气、微小气候（湿度、温度、风速）；（二）水质；（三）采光、照明；（四）噪音；（五）顾客用具和卫生设施。公共场所的卫生标准和要求，由卫生部负责制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、第十五条</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违反本条例的规定造成严重危害公民健康的事故或中毒事故的单位或者个人，应当对受害人赔偿损失。违反本条例致人残疾或者死亡，构成犯罪的，应由司法机关依法追究直接责任人员的刑事责任。</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、《公共场所卫生管理条例实施细则》第十四条</w:t>
      </w:r>
      <w:r>
        <w:rPr>
          <w:rFonts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公共场所经营者提供给顾客使用的用品用具应当保证卫生安全，可以反复使用的用品用具应当一客一换，按照有关卫生标准和要求清洗、消毒、保洁。禁止重复使用一次性用品用具。</w:t>
      </w:r>
    </w:p>
    <w:p>
      <w:pPr>
        <w:spacing w:line="360" w:lineRule="auto"/>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公共场所的法定代表人或者负责人是其经营场所卫生安全的第一责任人。公共场所经营者应当设立卫生管理部门或者配备专（兼）职卫生管理人员，具体负责本公共场所的卫生工作，建立健全卫生管理制度和卫生管理档案。</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，从以上法律规定可以得出对酒店等公共场所从事管理经营，由于用具不符合卫生标准所发生的中毒事故，公共场所经营者是民事赔偿的义务主体，并非流动客人</w:t>
      </w:r>
      <w:r>
        <w:rPr>
          <w:rFonts w:hint="eastAsia" w:ascii="Times New Roman" w:hAnsi="仿宋" w:eastAsia="仿宋" w:cs="Times New Roman"/>
          <w:color w:val="000000"/>
          <w:sz w:val="28"/>
          <w:szCs w:val="28"/>
          <w:lang w:eastAsia="zh-CN"/>
        </w:rPr>
        <w:t>。</w:t>
      </w:r>
      <w:r>
        <w:rPr>
          <w:rFonts w:ascii="Times New Roman" w:hAnsi="仿宋" w:eastAsia="仿宋" w:cs="Times New Roman"/>
          <w:color w:val="000000"/>
          <w:sz w:val="28"/>
          <w:szCs w:val="28"/>
        </w:rPr>
        <w:t>流动客人遗留的垃圾，清理义务在公共场所经营者或管理者，结合本案，原告在酒店入住期间，由于丰都县尚都商务酒店对毒品残留物未清理干净，卫生不达标，导致原告中毒，遭受损害，应当承担过错赔偿责任，法院判决被告承担</w:t>
      </w:r>
      <w:r>
        <w:rPr>
          <w:rFonts w:ascii="Times New Roman" w:hAnsi="Times New Roman" w:eastAsia="仿宋" w:cs="Times New Roman"/>
          <w:color w:val="000000"/>
          <w:sz w:val="28"/>
          <w:szCs w:val="28"/>
        </w:rPr>
        <w:t>80%</w:t>
      </w:r>
      <w:r>
        <w:rPr>
          <w:rFonts w:ascii="Times New Roman" w:hAnsi="仿宋" w:eastAsia="仿宋" w:cs="Times New Roman"/>
          <w:color w:val="000000"/>
          <w:sz w:val="28"/>
          <w:szCs w:val="28"/>
        </w:rPr>
        <w:t>的赔偿责任，公平合理。</w:t>
      </w:r>
    </w:p>
    <w:p>
      <w:pPr>
        <w:spacing w:line="360" w:lineRule="auto"/>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行政违法行为并不必然承担民事赔偿责任。吸毒是行政违法行为，应当承担行政责任，但是并非就必须承担民事赔偿责任，是否承担民事责任，要考量行政违法行为的行为是否是民事侵权行为；侵权行为与受害人的损害之间是否存在因果关系，如果答案是肯定的，承担民事赔偿责任，相反就不承担民事赔偿责任。结合本案，被告由于管理不严，或者疏忽大意导致未发现顾客入住酒店房间吸毒，留下毒品残留物，但是对于残留物的清理义务是酒店，并非吸毒客人，由于酒店该当的客房清洁义务的应作为行为中断了吸毒客人违法吸毒终了后的抛弃垃圾行为与损害事实之间的因果联系，由此吸毒人员遗留残留物的行为，与受害人之间的损害，不存在民事法律上的因果关系，由此吸毒客人不应当承担民事赔偿的法律责任，因此丰都县尚都商务酒店在实体与程序上均属于适格被告，由此本案也不存在遗漏被告或者追加被告的问题。</w:t>
      </w:r>
    </w:p>
    <w:p>
      <w:pPr>
        <w:spacing w:line="360" w:lineRule="auto"/>
        <w:ind w:firstLine="560" w:firstLineChars="200"/>
        <w:rPr>
          <w:rFonts w:ascii="Times New Roman" w:hAnsi="Times New Roman" w:eastAsia="仿宋" w:cs="Times New Roman"/>
          <w:color w:val="000000"/>
          <w:sz w:val="28"/>
          <w:szCs w:val="28"/>
        </w:rPr>
      </w:pPr>
    </w:p>
    <w:p>
      <w:pPr>
        <w:spacing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案例撰写人</w:t>
      </w:r>
      <w:r>
        <w:rPr>
          <w:rFonts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重庆市丰都县人民法院</w:t>
      </w:r>
      <w:r>
        <w:rPr>
          <w:rFonts w:hint="eastAsia" w:ascii="Times New Roman" w:hAnsi="仿宋" w:eastAsia="仿宋" w:cs="Times New Roman"/>
          <w:color w:val="000000"/>
          <w:sz w:val="28"/>
          <w:szCs w:val="28"/>
          <w:lang w:eastAsia="zh-CN"/>
        </w:rPr>
        <w:t>主审</w:t>
      </w:r>
      <w:r>
        <w:rPr>
          <w:rFonts w:ascii="Times New Roman" w:hAnsi="仿宋" w:eastAsia="仿宋" w:cs="Times New Roman"/>
          <w:color w:val="000000"/>
          <w:sz w:val="28"/>
          <w:szCs w:val="28"/>
        </w:rPr>
        <w:t>法官</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 xml:space="preserve"> </w:t>
      </w:r>
      <w:r>
        <w:rPr>
          <w:rFonts w:ascii="Times New Roman" w:hAnsi="仿宋" w:eastAsia="仿宋" w:cs="Times New Roman"/>
          <w:color w:val="000000"/>
          <w:sz w:val="28"/>
          <w:szCs w:val="28"/>
        </w:rPr>
        <w:t>余孝安</w:t>
      </w:r>
    </w:p>
    <w:p>
      <w:pPr>
        <w:spacing w:line="360" w:lineRule="auto"/>
        <w:ind w:firstLine="560" w:firstLineChars="200"/>
        <w:rPr>
          <w:rFonts w:hint="eastAsia" w:ascii="Times New Roman" w:hAnsi="仿宋" w:eastAsia="仿宋" w:cs="Times New Roman"/>
          <w:color w:val="000000"/>
          <w:sz w:val="28"/>
          <w:szCs w:val="28"/>
          <w:lang w:val="en-US" w:eastAsia="zh-CN"/>
        </w:rPr>
      </w:pPr>
      <w:r>
        <w:rPr>
          <w:rFonts w:hint="eastAsia" w:ascii="Times New Roman" w:hAnsi="仿宋" w:eastAsia="仿宋" w:cs="Times New Roman"/>
          <w:color w:val="000000"/>
          <w:sz w:val="28"/>
          <w:szCs w:val="28"/>
          <w:lang w:eastAsia="zh-CN"/>
        </w:rPr>
        <w:t>作者</w:t>
      </w:r>
      <w:r>
        <w:rPr>
          <w:rFonts w:hint="eastAsia" w:ascii="Times New Roman" w:hAnsi="仿宋" w:eastAsia="仿宋" w:cs="Times New Roman"/>
          <w:color w:val="000000"/>
          <w:sz w:val="28"/>
          <w:szCs w:val="28"/>
          <w:lang w:val="en-US" w:eastAsia="zh-CN"/>
        </w:rPr>
        <w:t xml:space="preserve"> </w:t>
      </w:r>
      <w:r>
        <w:rPr>
          <w:rFonts w:hint="eastAsia" w:ascii="Times New Roman" w:hAnsi="仿宋" w:eastAsia="仿宋" w:cs="Times New Roman"/>
          <w:color w:val="000000"/>
          <w:sz w:val="28"/>
          <w:szCs w:val="28"/>
          <w:lang w:eastAsia="zh-CN"/>
        </w:rPr>
        <w:t>余孝安</w:t>
      </w:r>
      <w:r>
        <w:rPr>
          <w:rFonts w:hint="eastAsia" w:ascii="Times New Roman" w:hAnsi="仿宋" w:eastAsia="仿宋" w:cs="Times New Roman"/>
          <w:color w:val="000000"/>
          <w:sz w:val="28"/>
          <w:szCs w:val="28"/>
          <w:lang w:val="en-US" w:eastAsia="zh-CN"/>
        </w:rPr>
        <w:t xml:space="preserve"> 丰都县法院，联系电话13372770237 邮政编码408200.</w:t>
      </w:r>
    </w:p>
    <w:p>
      <w:pPr>
        <w:rPr>
          <w:rFonts w:ascii="Times New Roman" w:hAnsi="Times New Roman" w:eastAsia="仿宋" w:cs="Times New Roman"/>
          <w:sz w:val="28"/>
          <w:szCs w:val="28"/>
        </w:rPr>
      </w:pPr>
    </w:p>
    <w:p>
      <w:pPr>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70F87"/>
    <w:rsid w:val="2FD70F87"/>
    <w:rsid w:val="571E1858"/>
    <w:rsid w:val="76B0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2018-06-08T14:12:00Z</dcterms:created>
  <dc:creator>Administrator</dc:creator>
  <cp:lastModifiedBy>Administrator</cp:lastModifiedBy>
  <dcterms:modified xsi:type="dcterms:W3CDTF">2019-12-19T06:27:20Z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