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(2020)渝0230民初3397号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原告：郎鸿，男，1984年4月17日出生，汉族，</w:t>
      </w:r>
      <w:r>
        <w:rPr>
          <w:rFonts w:hint="eastAsia" w:ascii="仿宋" w:hAnsi="仿宋" w:eastAsia="仿宋" w:cs="SSJ-PK74820000a3c-Identity-H"/>
          <w:kern w:val="0"/>
          <w:sz w:val="32"/>
          <w:szCs w:val="32"/>
          <w:lang w:eastAsia="zh-CN"/>
        </w:rPr>
        <w:t>居民，住重庆市</w:t>
      </w:r>
      <w:r>
        <w:rPr>
          <w:rFonts w:hint="eastAsia" w:ascii="仿宋" w:hAnsi="仿宋" w:eastAsia="仿宋" w:cs="SSJ-PK74820000a3c-Identity-H"/>
          <w:kern w:val="0"/>
          <w:sz w:val="32"/>
          <w:szCs w:val="32"/>
        </w:rPr>
        <w:t>丰都县龙河镇观音寺路108号附1号，公民身份号码500230198404172639。</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委托诉讼代理人：敖必鸿，重庆东龙律师事务所律师。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被告：中国移动通信集团重庆有限公司丰都分公司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移动</w:t>
      </w:r>
      <w:r>
        <w:rPr>
          <w:rFonts w:hint="eastAsia" w:ascii="仿宋" w:hAnsi="仿宋" w:eastAsia="仿宋" w:cs="SSJ-PK74820000a3c-Identity-H"/>
          <w:kern w:val="0"/>
          <w:sz w:val="32"/>
          <w:szCs w:val="32"/>
          <w:lang w:eastAsia="zh-CN"/>
        </w:rPr>
        <w:t>丰都分公司）</w:t>
      </w:r>
      <w:r>
        <w:rPr>
          <w:rFonts w:hint="eastAsia" w:ascii="仿宋" w:hAnsi="仿宋" w:eastAsia="仿宋" w:cs="SSJ-PK74820000a3c-Identity-H"/>
          <w:kern w:val="0"/>
          <w:sz w:val="32"/>
          <w:szCs w:val="32"/>
        </w:rPr>
        <w:t>，住所地重庆市丰都县三合街道平都大道西段285号，统一社会信用代码91500230711659055H。</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负责人：秦华伟，总经理。</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委托诉讼代理人：杨奉川，重庆依斯特律师事务所律师。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被告：丰都县交通行政执法</w:t>
      </w:r>
      <w:r>
        <w:rPr>
          <w:rFonts w:hint="eastAsia" w:ascii="仿宋" w:hAnsi="仿宋" w:eastAsia="仿宋" w:cs="SSJ-PK74820000a3c-Identity-H"/>
          <w:kern w:val="0"/>
          <w:sz w:val="32"/>
          <w:szCs w:val="32"/>
          <w:lang w:eastAsia="zh-CN"/>
        </w:rPr>
        <w:t>支</w:t>
      </w:r>
      <w:r>
        <w:rPr>
          <w:rFonts w:hint="eastAsia" w:ascii="仿宋" w:hAnsi="仿宋" w:eastAsia="仿宋" w:cs="SSJ-PK74820000a3c-Identity-H"/>
          <w:kern w:val="0"/>
          <w:sz w:val="32"/>
          <w:szCs w:val="32"/>
        </w:rPr>
        <w:t>队，住所地丰都县</w:t>
      </w:r>
      <w:r>
        <w:rPr>
          <w:rFonts w:hint="eastAsia" w:ascii="仿宋" w:hAnsi="仿宋" w:eastAsia="仿宋" w:cs="SSJ-PK74820000a3c-Identity-H"/>
          <w:kern w:val="0"/>
          <w:sz w:val="32"/>
          <w:szCs w:val="32"/>
          <w:lang w:eastAsia="zh-CN"/>
        </w:rPr>
        <w:t>名山街道白沙沱村一组</w:t>
      </w:r>
      <w:r>
        <w:rPr>
          <w:rFonts w:hint="eastAsia" w:ascii="仿宋" w:hAnsi="仿宋" w:eastAsia="仿宋" w:cs="SSJ-PK74820000a3c-Identity-H"/>
          <w:kern w:val="0"/>
          <w:sz w:val="32"/>
          <w:szCs w:val="32"/>
          <w:lang w:val="en-US" w:eastAsia="zh-CN"/>
        </w:rPr>
        <w:t>79号，统一社会信用代码12500230MBOW398281</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委托诉讼代理人：秦泽勇，男，法制科科长。</w:t>
      </w:r>
    </w:p>
    <w:p>
      <w:pPr>
        <w:autoSpaceDE w:val="0"/>
        <w:autoSpaceDN w:val="0"/>
        <w:adjustRightInd w:val="0"/>
        <w:ind w:firstLine="640" w:firstLineChars="200"/>
        <w:rPr>
          <w:rFonts w:hint="default"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val="en-US" w:eastAsia="zh-CN"/>
        </w:rPr>
        <w:t>委托诉讼代理人：刘川，重庆晨曲律师事务所律师。</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郎鸿</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丰都县交通行政执法大队</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中国移动通信集团重庆有限公司丰都分公司</w:t>
      </w:r>
      <w:r>
        <w:rPr>
          <w:rFonts w:hint="eastAsia" w:ascii="仿宋" w:hAnsi="仿宋" w:eastAsia="仿宋" w:cs="H-SS9-PK74820000a48-Identity-H"/>
          <w:kern w:val="0"/>
          <w:sz w:val="32"/>
          <w:szCs w:val="32"/>
        </w:rPr>
        <w:t>管理人责任纠纷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2020年7月31日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郎鸿</w:t>
      </w:r>
      <w:r>
        <w:rPr>
          <w:rFonts w:hint="eastAsia" w:ascii="仿宋" w:hAnsi="仿宋" w:eastAsia="仿宋" w:cs="E-BZ9-PK74888-Identity-H"/>
          <w:kern w:val="0"/>
          <w:sz w:val="32"/>
          <w:szCs w:val="32"/>
          <w:lang w:eastAsia="zh-CN"/>
        </w:rPr>
        <w:t>及其委托诉讼代理人</w:t>
      </w:r>
      <w:r>
        <w:rPr>
          <w:rFonts w:hint="eastAsia" w:ascii="仿宋" w:hAnsi="仿宋" w:eastAsia="仿宋" w:cs="SSJ-PK74820000a3c-Identity-H"/>
          <w:kern w:val="0"/>
          <w:sz w:val="32"/>
          <w:szCs w:val="32"/>
          <w:lang w:eastAsia="zh-CN"/>
        </w:rPr>
        <w:t>敖必鸿</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丰都县交通行政执法大队</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val="en-US" w:eastAsia="zh-CN"/>
        </w:rPr>
        <w:t>秦泽勇及刘川、被告</w:t>
      </w:r>
      <w:r>
        <w:rPr>
          <w:rFonts w:hint="eastAsia" w:ascii="仿宋" w:hAnsi="仿宋" w:eastAsia="仿宋" w:cs="E-BZ9-PK74888-Identity-H"/>
          <w:kern w:val="0"/>
          <w:sz w:val="32"/>
          <w:szCs w:val="32"/>
        </w:rPr>
        <w:t>中国移动通信集团重庆有限公司丰都分公司</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杨奉川</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rPr>
        <w:t>原告郎鸿向本院提出诉讼请求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判令二被告赔偿原告医疗费、残疾赔偿金、误工费、护理费、被扶养人生活费等共计</w:t>
      </w:r>
      <w:r>
        <w:rPr>
          <w:rFonts w:hint="eastAsia" w:ascii="仿宋" w:hAnsi="仿宋" w:eastAsia="仿宋" w:cs="H-SS9-PK74820000a48-Identity-H"/>
          <w:kern w:val="0"/>
          <w:sz w:val="32"/>
          <w:szCs w:val="32"/>
          <w:lang w:val="en-US" w:eastAsia="zh-CN"/>
        </w:rPr>
        <w:t>44008.07元，诉讼费的20%由二被告负担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2019年9月6日17时50分许，原告驾驶渝DU3020号摩托车从丰都县武平镇抓壁岩往丰都县武平镇石马河桥方向行驶，行驶至丰都县省道406线25km+300m处时与道路左侧路肩上的电线杆（离行驶安全线10cm）相撞，致原告受伤致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二被告有管理职责及安全注意义务，其失职行为共同构成对原告的侵权，为此，请求法院支持原告的诉讼请求。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中国移动通信集团重庆有限公司丰都分公司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移动丰都分公司</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事故发生处的电线杆是</w:t>
      </w:r>
      <w:r>
        <w:rPr>
          <w:rFonts w:hint="eastAsia" w:ascii="仿宋" w:hAnsi="仿宋" w:eastAsia="仿宋" w:cs="H-SS9-PK74820000a48-Identity-H"/>
          <w:kern w:val="0"/>
          <w:sz w:val="32"/>
          <w:szCs w:val="32"/>
          <w:lang w:val="en-US" w:eastAsia="zh-CN"/>
        </w:rPr>
        <w:t>2007年左右建立，省道是2013年左右才扩建，本被告未接到任何部门搬迁通知，发生此次事故本被告没有过错，道路交通事故责任认定书已认定系原告自己的过错造成，为此应由原告承担全部责任</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被告</w:t>
      </w:r>
      <w:r>
        <w:rPr>
          <w:rFonts w:hint="eastAsia" w:ascii="仿宋" w:hAnsi="仿宋" w:eastAsia="仿宋" w:cs="SSJ-PK74820000a3c-Identity-H"/>
          <w:kern w:val="0"/>
          <w:sz w:val="32"/>
          <w:szCs w:val="32"/>
        </w:rPr>
        <w:t>丰都县交通行政执法</w:t>
      </w:r>
      <w:r>
        <w:rPr>
          <w:rFonts w:hint="eastAsia" w:ascii="仿宋" w:hAnsi="仿宋" w:eastAsia="仿宋" w:cs="SSJ-PK74820000a3c-Identity-H"/>
          <w:kern w:val="0"/>
          <w:sz w:val="32"/>
          <w:szCs w:val="32"/>
          <w:lang w:eastAsia="zh-CN"/>
        </w:rPr>
        <w:t>支</w:t>
      </w:r>
      <w:r>
        <w:rPr>
          <w:rFonts w:hint="eastAsia" w:ascii="仿宋" w:hAnsi="仿宋" w:eastAsia="仿宋" w:cs="SSJ-PK74820000a3c-Identity-H"/>
          <w:kern w:val="0"/>
          <w:sz w:val="32"/>
          <w:szCs w:val="32"/>
        </w:rPr>
        <w:t>队</w:t>
      </w:r>
      <w:r>
        <w:rPr>
          <w:rFonts w:hint="eastAsia" w:ascii="仿宋" w:hAnsi="仿宋" w:eastAsia="仿宋" w:cs="SSJ-PK74820000a3c-Identity-H"/>
          <w:kern w:val="0"/>
          <w:sz w:val="32"/>
          <w:szCs w:val="32"/>
          <w:lang w:eastAsia="zh-CN"/>
        </w:rPr>
        <w:t>（以下简称交行支队）辩称，本被告对公路无管理义务并非适格被告，同时事故发生系原告自己的过错造成，为此请求驳回原告对本被告的诉讼请求。</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2019年9月6日17时50分许，</w:t>
      </w:r>
      <w:r>
        <w:rPr>
          <w:rFonts w:hint="eastAsia" w:ascii="仿宋" w:hAnsi="仿宋" w:eastAsia="仿宋" w:cs="SSJ-PK74820000a3c-Identity-H"/>
          <w:kern w:val="0"/>
          <w:sz w:val="32"/>
          <w:szCs w:val="32"/>
        </w:rPr>
        <w:t>郎鸿</w:t>
      </w:r>
      <w:r>
        <w:rPr>
          <w:rFonts w:hint="eastAsia" w:ascii="仿宋" w:hAnsi="仿宋" w:eastAsia="仿宋" w:cs="H-SS9-PK74820000a48-Identity-H"/>
          <w:kern w:val="0"/>
          <w:sz w:val="32"/>
          <w:szCs w:val="32"/>
          <w:lang w:val="en-US" w:eastAsia="zh-CN"/>
        </w:rPr>
        <w:t>驾驶自己所有的渝DU3020号摩托车从丰都县武平镇抓壁岩往丰都县武平镇石马河桥方向行驶，当车行驶至丰都县省道406线25km+300m处（小地名，石马河）超车时，因操作不当致渝DU3020号摩托车与道路外左侧边上的电线杆相撞后摔倒滑行至道路右侧车道，造成</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受伤</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受伤后于</w:t>
      </w:r>
      <w:r>
        <w:rPr>
          <w:rFonts w:hint="eastAsia" w:ascii="仿宋" w:hAnsi="仿宋" w:eastAsia="仿宋" w:cs="H-SS9-PK74820000a48-Identity-H"/>
          <w:kern w:val="0"/>
          <w:sz w:val="32"/>
          <w:szCs w:val="32"/>
          <w:lang w:val="en-US" w:eastAsia="zh-CN"/>
        </w:rPr>
        <w:t>2019年9月6日入住重庆长城医院治疗，同年同月27日出院，出院诊断为，左膝关节囊破裂、左髌骨粉碎性骨折等，出院医嘱为，术后1-2天换药1次，21天行伤口折线等，同日再次入住重庆长城医院治疗，2019年10月16日出院，出院医嘱为休息1月，加强营养，门诊随访。后在丰都县中医院等门诊治疗，</w:t>
      </w:r>
      <w:r>
        <w:rPr>
          <w:rFonts w:hint="eastAsia" w:ascii="仿宋" w:hAnsi="仿宋" w:eastAsia="仿宋" w:cs="SSJ-PK74820000a3c-Identity-H"/>
          <w:kern w:val="0"/>
          <w:sz w:val="32"/>
          <w:szCs w:val="32"/>
        </w:rPr>
        <w:t>郎鸿</w:t>
      </w:r>
      <w:r>
        <w:rPr>
          <w:rFonts w:hint="eastAsia" w:ascii="仿宋" w:hAnsi="仿宋" w:eastAsia="仿宋" w:cs="H-SS9-PK74820000a48-Identity-H"/>
          <w:kern w:val="0"/>
          <w:sz w:val="32"/>
          <w:szCs w:val="32"/>
          <w:lang w:val="en-US" w:eastAsia="zh-CN"/>
        </w:rPr>
        <w:t>共计支付治疗费53001.48元，交通费166元。事故经重庆市丰都县公安局交通巡逻警察大队认定，系“弯道……”超车所致，</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在此次事故中为全部过错，应负事故的全部责任。</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SSJ-PK74820000a3c-Identity-H"/>
          <w:kern w:val="0"/>
          <w:sz w:val="32"/>
          <w:szCs w:val="32"/>
          <w:lang w:eastAsia="zh-CN"/>
        </w:rPr>
        <w:t>另查明</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系城镇居民，其长子</w:t>
      </w:r>
      <w:r>
        <w:rPr>
          <w:rFonts w:hint="eastAsia" w:ascii="仿宋" w:hAnsi="仿宋" w:eastAsia="仿宋" w:cs="SSJ-PK74820000a3c-Identity-H"/>
          <w:kern w:val="0"/>
          <w:sz w:val="32"/>
          <w:szCs w:val="32"/>
          <w:lang w:val="en-US" w:eastAsia="zh-CN"/>
        </w:rPr>
        <w:t>郎荣浩</w:t>
      </w:r>
      <w:r>
        <w:rPr>
          <w:rFonts w:hint="eastAsia" w:ascii="仿宋" w:hAnsi="仿宋" w:eastAsia="仿宋" w:cs="SSJ-PK74820000a3c-Identity-H"/>
          <w:kern w:val="0"/>
          <w:sz w:val="32"/>
          <w:szCs w:val="32"/>
          <w:lang w:eastAsia="zh-CN"/>
        </w:rPr>
        <w:t>生于</w:t>
      </w:r>
      <w:r>
        <w:rPr>
          <w:rFonts w:hint="eastAsia" w:ascii="仿宋" w:hAnsi="仿宋" w:eastAsia="仿宋" w:cs="SSJ-PK74820000a3c-Identity-H"/>
          <w:kern w:val="0"/>
          <w:sz w:val="32"/>
          <w:szCs w:val="32"/>
          <w:lang w:val="en-US" w:eastAsia="zh-CN"/>
        </w:rPr>
        <w:t>2008年8月13日，次女</w:t>
      </w:r>
      <w:r>
        <w:rPr>
          <w:rFonts w:hint="eastAsia" w:ascii="仿宋" w:hAnsi="仿宋" w:eastAsia="仿宋" w:cs="SSJ-PK74820000a3c-Identity-H"/>
          <w:kern w:val="0"/>
          <w:sz w:val="32"/>
          <w:szCs w:val="32"/>
          <w:lang w:eastAsia="zh-CN"/>
        </w:rPr>
        <w:t>郎荣欣</w:t>
      </w:r>
      <w:r>
        <w:rPr>
          <w:rFonts w:hint="eastAsia" w:ascii="仿宋" w:hAnsi="仿宋" w:eastAsia="仿宋" w:cs="SSJ-PK74820000a3c-Identity-H"/>
          <w:kern w:val="0"/>
          <w:sz w:val="32"/>
          <w:szCs w:val="32"/>
          <w:lang w:val="en-US" w:eastAsia="zh-CN"/>
        </w:rPr>
        <w:t>生于2015年1月19日，郎</w:t>
      </w:r>
      <w:r>
        <w:rPr>
          <w:rFonts w:hint="eastAsia" w:ascii="仿宋" w:hAnsi="仿宋" w:eastAsia="仿宋" w:cs="SSJ-PK74820000a3c-Identity-H"/>
          <w:kern w:val="0"/>
          <w:sz w:val="32"/>
          <w:szCs w:val="32"/>
        </w:rPr>
        <w:t>鸿</w:t>
      </w:r>
      <w:r>
        <w:rPr>
          <w:rFonts w:hint="eastAsia" w:ascii="仿宋" w:hAnsi="仿宋" w:eastAsia="仿宋" w:cs="SSJ-PK74820000a3c-Identity-H"/>
          <w:kern w:val="0"/>
          <w:sz w:val="32"/>
          <w:szCs w:val="32"/>
          <w:lang w:eastAsia="zh-CN"/>
        </w:rPr>
        <w:t>所有的</w:t>
      </w:r>
      <w:r>
        <w:rPr>
          <w:rFonts w:hint="eastAsia" w:ascii="仿宋" w:hAnsi="仿宋" w:eastAsia="仿宋" w:cs="H-SS9-PK74820000a48-Identity-H"/>
          <w:kern w:val="0"/>
          <w:sz w:val="32"/>
          <w:szCs w:val="32"/>
          <w:lang w:val="en-US" w:eastAsia="zh-CN"/>
        </w:rPr>
        <w:t>渝DU3020号摩托车于2018年12月购买，价格为7155.17元。渝DU3020号摩托车在事故发生时撞击的丰都县省道406线25km+300m处电线杆为</w:t>
      </w:r>
      <w:r>
        <w:rPr>
          <w:rFonts w:hint="eastAsia" w:ascii="仿宋" w:hAnsi="仿宋" w:eastAsia="仿宋" w:cs="SSJ-PK74820000a3c-Identity-H"/>
          <w:kern w:val="0"/>
          <w:sz w:val="32"/>
          <w:szCs w:val="32"/>
        </w:rPr>
        <w:t>移动</w:t>
      </w:r>
      <w:r>
        <w:rPr>
          <w:rFonts w:hint="eastAsia" w:ascii="仿宋" w:hAnsi="仿宋" w:eastAsia="仿宋" w:cs="SSJ-PK74820000a3c-Identity-H"/>
          <w:kern w:val="0"/>
          <w:sz w:val="32"/>
          <w:szCs w:val="32"/>
          <w:lang w:eastAsia="zh-CN"/>
        </w:rPr>
        <w:t>丰都分公司所有。</w:t>
      </w:r>
    </w:p>
    <w:p>
      <w:pPr>
        <w:autoSpaceDE w:val="0"/>
        <w:autoSpaceDN w:val="0"/>
        <w:adjustRightInd w:val="0"/>
        <w:ind w:firstLine="640" w:firstLineChars="200"/>
        <w:rPr>
          <w:rFonts w:hint="default"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上述事实有原被告的陈述、第500230120190000142号《道路交通事故责任认定书》、现场勘查笔录、住院病历、医疗费发票等证据，并经庭审举证、质证、认证予以确认。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原被告争议的焦点是：一、责任主体问题；二、原告损失金额的确定等问题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责任主体问题。</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rPr>
        <w:t>郎鸿</w:t>
      </w:r>
      <w:r>
        <w:rPr>
          <w:rFonts w:hint="eastAsia" w:ascii="仿宋" w:hAnsi="仿宋" w:eastAsia="仿宋" w:cs="E-BZ9-PK74888-Identity-H"/>
          <w:kern w:val="0"/>
          <w:sz w:val="32"/>
          <w:szCs w:val="32"/>
          <w:lang w:eastAsia="zh-CN"/>
        </w:rPr>
        <w:t>以被告</w:t>
      </w:r>
      <w:r>
        <w:rPr>
          <w:rFonts w:hint="eastAsia" w:ascii="仿宋" w:hAnsi="仿宋" w:eastAsia="仿宋" w:cs="SSJ-PK74820000a3c-Identity-H"/>
          <w:kern w:val="0"/>
          <w:sz w:val="32"/>
          <w:szCs w:val="32"/>
        </w:rPr>
        <w:t>丰都县交通行政执法</w:t>
      </w:r>
      <w:r>
        <w:rPr>
          <w:rFonts w:hint="eastAsia" w:ascii="仿宋" w:hAnsi="仿宋" w:eastAsia="仿宋" w:cs="SSJ-PK74820000a3c-Identity-H"/>
          <w:kern w:val="0"/>
          <w:sz w:val="32"/>
          <w:szCs w:val="32"/>
          <w:lang w:eastAsia="zh-CN"/>
        </w:rPr>
        <w:t>支</w:t>
      </w:r>
      <w:r>
        <w:rPr>
          <w:rFonts w:hint="eastAsia" w:ascii="仿宋" w:hAnsi="仿宋" w:eastAsia="仿宋" w:cs="SSJ-PK74820000a3c-Identity-H"/>
          <w:kern w:val="0"/>
          <w:sz w:val="32"/>
          <w:szCs w:val="32"/>
        </w:rPr>
        <w:t>队</w:t>
      </w:r>
      <w:r>
        <w:rPr>
          <w:rFonts w:hint="eastAsia" w:ascii="仿宋" w:hAnsi="仿宋" w:eastAsia="仿宋" w:cs="SSJ-PK74820000a3c-Identity-H"/>
          <w:kern w:val="0"/>
          <w:sz w:val="32"/>
          <w:szCs w:val="32"/>
          <w:lang w:eastAsia="zh-CN"/>
        </w:rPr>
        <w:t>对事故发生时</w:t>
      </w:r>
      <w:r>
        <w:rPr>
          <w:rFonts w:hint="eastAsia" w:ascii="仿宋" w:hAnsi="仿宋" w:eastAsia="仿宋" w:cs="H-SS9-PK74820000a48-Identity-H"/>
          <w:kern w:val="0"/>
          <w:sz w:val="32"/>
          <w:szCs w:val="32"/>
          <w:lang w:val="en-US" w:eastAsia="zh-CN"/>
        </w:rPr>
        <w:t>撞击的电线杆有民事上管理义务为由，提出赔偿请求，从原告举示的证据看，该被告对事故发生路段的电线杆无民事上的权利义务，并非民事上的管理义务人，相应无民事责任，为此不应承担民事赔偿责任，该被告辩称不应承担民事责任的理由成立，本院予以采纳。如原告认为存在行政上的管理责任，不属于本案审理范围，可另案向有管辖权的人民法院提起行政诉讼，由此原告对该被告提出的诉讼请求依法不能成立。就原告</w:t>
      </w:r>
      <w:r>
        <w:rPr>
          <w:rFonts w:hint="eastAsia" w:ascii="仿宋" w:hAnsi="仿宋" w:eastAsia="仿宋" w:cs="E-BZ9-PK74888-Identity-H"/>
          <w:kern w:val="0"/>
          <w:sz w:val="32"/>
          <w:szCs w:val="32"/>
        </w:rPr>
        <w:t>郎鸿</w:t>
      </w:r>
      <w:r>
        <w:rPr>
          <w:rFonts w:hint="eastAsia" w:ascii="仿宋" w:hAnsi="仿宋" w:eastAsia="仿宋" w:cs="E-BZ9-PK74888-Identity-H"/>
          <w:kern w:val="0"/>
          <w:sz w:val="32"/>
          <w:szCs w:val="32"/>
          <w:lang w:eastAsia="zh-CN"/>
        </w:rPr>
        <w:t>对被告</w:t>
      </w:r>
      <w:r>
        <w:rPr>
          <w:rFonts w:hint="eastAsia" w:ascii="仿宋" w:hAnsi="仿宋" w:eastAsia="仿宋" w:cs="SSJ-PK74820000a3c-Identity-H"/>
          <w:kern w:val="0"/>
          <w:sz w:val="32"/>
          <w:szCs w:val="32"/>
        </w:rPr>
        <w:t>移动</w:t>
      </w:r>
      <w:r>
        <w:rPr>
          <w:rFonts w:hint="eastAsia" w:ascii="仿宋" w:hAnsi="仿宋" w:eastAsia="仿宋" w:cs="SSJ-PK74820000a3c-Identity-H"/>
          <w:kern w:val="0"/>
          <w:sz w:val="32"/>
          <w:szCs w:val="32"/>
          <w:lang w:eastAsia="zh-CN"/>
        </w:rPr>
        <w:t>丰都分公司提出的请求看，该被告虽系事故发生时</w:t>
      </w:r>
      <w:r>
        <w:rPr>
          <w:rFonts w:hint="eastAsia" w:ascii="仿宋" w:hAnsi="仿宋" w:eastAsia="仿宋" w:cs="H-SS9-PK74820000a48-Identity-H"/>
          <w:kern w:val="0"/>
          <w:sz w:val="32"/>
          <w:szCs w:val="32"/>
          <w:lang w:val="en-US" w:eastAsia="zh-CN"/>
        </w:rPr>
        <w:t>撞击的电线杆的管理义务人，但该被告安设的电线杆并不在行车道上，而是在道路边上，也没有脱落、倒塌等情况造成行车障碍，影响车辆通行，同时从事故发生的因果关系看，系原告</w:t>
      </w:r>
      <w:r>
        <w:rPr>
          <w:rFonts w:hint="eastAsia" w:ascii="仿宋" w:hAnsi="仿宋" w:eastAsia="仿宋" w:cs="E-BZ9-PK74888-Identity-H"/>
          <w:kern w:val="0"/>
          <w:sz w:val="32"/>
          <w:szCs w:val="32"/>
        </w:rPr>
        <w:t>郎鸿</w:t>
      </w:r>
      <w:r>
        <w:rPr>
          <w:rFonts w:hint="eastAsia" w:ascii="仿宋" w:hAnsi="仿宋" w:eastAsia="仿宋" w:cs="E-BZ9-PK74888-Identity-H"/>
          <w:kern w:val="0"/>
          <w:sz w:val="32"/>
          <w:szCs w:val="32"/>
          <w:lang w:eastAsia="zh-CN"/>
        </w:rPr>
        <w:t>违规操作，造成</w:t>
      </w:r>
      <w:r>
        <w:rPr>
          <w:rFonts w:hint="eastAsia" w:ascii="仿宋" w:hAnsi="仿宋" w:eastAsia="仿宋" w:cs="H-SS9-PK74820000a48-Identity-H"/>
          <w:kern w:val="0"/>
          <w:sz w:val="32"/>
          <w:szCs w:val="32"/>
          <w:lang w:val="en-US" w:eastAsia="zh-CN"/>
        </w:rPr>
        <w:t>渝DU3020号摩托车在无法控制的情况下，加速撞击在电线杆上造成的损害，即使没有电线杆的存在，此时的渝DU3020号摩托车仍然会撞击在该路段边沟的其他物体上造成损害，甚至可能导致更为严重的损害，因此原告的损害系自己操作不当引起，与被告</w:t>
      </w:r>
      <w:r>
        <w:rPr>
          <w:rFonts w:hint="eastAsia" w:ascii="仿宋" w:hAnsi="仿宋" w:eastAsia="仿宋" w:cs="SSJ-PK74820000a3c-Identity-H"/>
          <w:kern w:val="0"/>
          <w:sz w:val="32"/>
          <w:szCs w:val="32"/>
        </w:rPr>
        <w:t>移动丰都分公司</w:t>
      </w:r>
      <w:r>
        <w:rPr>
          <w:rFonts w:hint="eastAsia" w:ascii="仿宋" w:hAnsi="仿宋" w:eastAsia="仿宋" w:cs="SSJ-PK74820000a3c-Identity-H"/>
          <w:kern w:val="0"/>
          <w:sz w:val="32"/>
          <w:szCs w:val="32"/>
          <w:lang w:eastAsia="zh-CN"/>
        </w:rPr>
        <w:t>对该电线杆的管理行为之间不存在因果关系，由此，</w:t>
      </w:r>
      <w:r>
        <w:rPr>
          <w:rFonts w:hint="eastAsia" w:ascii="仿宋" w:hAnsi="仿宋" w:eastAsia="仿宋" w:cs="H-SS9-PK74820000a48-Identity-H"/>
          <w:kern w:val="0"/>
          <w:sz w:val="32"/>
          <w:szCs w:val="32"/>
          <w:lang w:val="en-US" w:eastAsia="zh-CN"/>
        </w:rPr>
        <w:t>重庆市丰都县公安局交通巡逻警察大队认定，“弯道……超车所致，</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在此次事故中为全部过错，应负事故的全部责任”的分析认定正确。综上分析，被告</w:t>
      </w:r>
      <w:r>
        <w:rPr>
          <w:rFonts w:hint="eastAsia" w:ascii="仿宋" w:hAnsi="仿宋" w:eastAsia="仿宋" w:cs="SSJ-PK74820000a3c-Identity-H"/>
          <w:kern w:val="0"/>
          <w:sz w:val="32"/>
          <w:szCs w:val="32"/>
        </w:rPr>
        <w:t>移动丰都分公司</w:t>
      </w:r>
      <w:r>
        <w:rPr>
          <w:rFonts w:hint="eastAsia" w:ascii="仿宋" w:hAnsi="仿宋" w:eastAsia="仿宋" w:cs="SSJ-PK74820000a3c-Identity-H"/>
          <w:kern w:val="0"/>
          <w:sz w:val="32"/>
          <w:szCs w:val="32"/>
          <w:lang w:eastAsia="zh-CN"/>
        </w:rPr>
        <w:t>在该次道路交通事故中无过错，管理行为也非造成原告损害发生的原因，依法不应承担对原告的损害赔偿责任。原告的损害应由原告自己承担民事责任。另原告主张行车道属于公共场所的理由，根据《</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侵权责任法》第四十八规定，行车道并非公共场所，不适用该法第三十七条规定，其主张理由不能成立。</w:t>
      </w:r>
    </w:p>
    <w:p>
      <w:pPr>
        <w:numPr>
          <w:ilvl w:val="0"/>
          <w:numId w:val="1"/>
        </w:num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H-SS9-PK74820000a48-Identity-H"/>
          <w:kern w:val="0"/>
          <w:sz w:val="32"/>
          <w:szCs w:val="32"/>
          <w:lang w:eastAsia="zh-CN"/>
        </w:rPr>
        <w:t>原告损失金额的确定等问题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1.医疗费据实计算为53001.48元；2.护理费计算为，120元/天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40</w:t>
      </w:r>
      <w:r>
        <w:rPr>
          <w:rFonts w:hint="eastAsia" w:ascii="仿宋" w:hAnsi="仿宋" w:eastAsia="仿宋" w:cs="H-SS9-PK74820000a48-Identity-H"/>
          <w:kern w:val="0"/>
          <w:sz w:val="32"/>
          <w:szCs w:val="32"/>
          <w:lang w:val="en-US" w:eastAsia="zh-CN"/>
        </w:rPr>
        <w:t>天（住院天数）=4800元；3.误工费计算为，100元/天</w:t>
      </w:r>
      <w:r>
        <w:rPr>
          <w:rFonts w:hint="default" w:ascii="Arial" w:hAnsi="Arial" w:eastAsia="仿宋" w:cs="Arial"/>
          <w:kern w:val="0"/>
          <w:sz w:val="32"/>
          <w:szCs w:val="32"/>
          <w:lang w:val="en-US" w:eastAsia="zh-CN"/>
        </w:rPr>
        <w:t>×</w:t>
      </w:r>
      <w:r>
        <w:rPr>
          <w:rFonts w:hint="eastAsia" w:ascii="Arial" w:hAnsi="Arial" w:eastAsia="仿宋" w:cs="Arial"/>
          <w:kern w:val="0"/>
          <w:sz w:val="32"/>
          <w:szCs w:val="32"/>
          <w:lang w:val="en-US" w:eastAsia="zh-CN"/>
        </w:rPr>
        <w:t>70</w:t>
      </w:r>
      <w:r>
        <w:rPr>
          <w:rFonts w:hint="eastAsia" w:ascii="仿宋" w:hAnsi="仿宋" w:eastAsia="仿宋" w:cs="H-SS9-PK74820000a48-Identity-H"/>
          <w:kern w:val="0"/>
          <w:sz w:val="32"/>
          <w:szCs w:val="32"/>
          <w:lang w:val="en-US" w:eastAsia="zh-CN"/>
        </w:rPr>
        <w:t>天=7000元；4.营养费酌定为500元；5.交通费酌定为300元；6.残疾辅助器具费，原告未举示相关证据不予计算；7.后继治疗费，原告未举示相关证据不予计算；8.残疾赔偿金，原告未举示相关证据不予计算；9.被扶养人生活费，原告未举示相关伤残的证据不予计算；10.精神损害</w:t>
      </w:r>
      <w:bookmarkStart w:id="0" w:name="_GoBack"/>
      <w:bookmarkEnd w:id="0"/>
      <w:r>
        <w:rPr>
          <w:rFonts w:hint="eastAsia" w:ascii="仿宋" w:hAnsi="仿宋" w:eastAsia="仿宋" w:cs="H-SS9-PK74820000a48-Identity-H"/>
          <w:kern w:val="0"/>
          <w:sz w:val="32"/>
          <w:szCs w:val="32"/>
          <w:lang w:val="en-US" w:eastAsia="zh-CN"/>
        </w:rPr>
        <w:t>抚慰金，系原告自己过错造成损害，不予支持；11.车辆损失费，原告未举示实际损失的证据不予计算，12.住院伙食补助费原告未请求不予计算，以上共计损失65601.48元。</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六</w:t>
      </w:r>
      <w:r>
        <w:rPr>
          <w:rFonts w:hint="eastAsia" w:ascii="仿宋" w:hAnsi="仿宋" w:eastAsia="仿宋" w:cs="SSJ-PK74820000a3c-Identity-H"/>
          <w:kern w:val="0"/>
          <w:sz w:val="32"/>
          <w:szCs w:val="32"/>
        </w:rPr>
        <w:t>条</w:t>
      </w:r>
      <w:r>
        <w:rPr>
          <w:rFonts w:hint="eastAsia" w:ascii="仿宋" w:hAnsi="仿宋" w:eastAsia="仿宋" w:cs="SSJ-PK74820000a3c-Identity-H"/>
          <w:kern w:val="0"/>
          <w:sz w:val="32"/>
          <w:szCs w:val="32"/>
          <w:lang w:eastAsia="zh-CN"/>
        </w:rPr>
        <w:t>第一款</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第八十五条、《最高人民法院关于审理人身损害赔偿案件适用法律若干问题的解释》第十七条、第十九条、第二十条、第二十一条、第二十二条、第二十四条、第二十八条、</w:t>
      </w:r>
      <w:r>
        <w:rPr>
          <w:rFonts w:hint="eastAsia" w:ascii="仿宋" w:hAnsi="仿宋" w:eastAsia="仿宋" w:cs="H-SS9-PK74820000a48-Identity-H"/>
          <w:kern w:val="0"/>
          <w:sz w:val="32"/>
          <w:szCs w:val="32"/>
        </w:rPr>
        <w:t>《最高人民法院关于适用〈中华人民共和国民事诉讼法〉的解释》第九十条第二款、第九十一条</w:t>
      </w:r>
      <w:r>
        <w:rPr>
          <w:rFonts w:hint="eastAsia" w:ascii="仿宋" w:hAnsi="仿宋" w:eastAsia="仿宋" w:cs="H-SS9-PK74820000a48-Identity-H"/>
          <w:kern w:val="0"/>
          <w:sz w:val="32"/>
          <w:szCs w:val="32"/>
          <w:lang w:eastAsia="zh-CN"/>
        </w:rPr>
        <w:t>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SSJ-PK74820000a3c-Identity-H"/>
          <w:kern w:val="0"/>
          <w:sz w:val="32"/>
          <w:szCs w:val="32"/>
        </w:rPr>
        <w:t>郎鸿</w:t>
      </w:r>
      <w:r>
        <w:rPr>
          <w:rFonts w:hint="eastAsia" w:ascii="仿宋" w:hAnsi="仿宋" w:eastAsia="仿宋" w:cs="SSJ-PK74820000a3c-Identity-H"/>
          <w:kern w:val="0"/>
          <w:sz w:val="32"/>
          <w:szCs w:val="32"/>
          <w:lang w:eastAsia="zh-CN"/>
        </w:rPr>
        <w:t>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900</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450元，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SSJ-PK74820000a3c-Identity-H"/>
          <w:kern w:val="0"/>
          <w:sz w:val="32"/>
          <w:szCs w:val="32"/>
        </w:rPr>
        <w:t>郎鸿负担</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二〇二〇年九月十六日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陈姝旭</w:t>
      </w:r>
    </w:p>
    <w:p/>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6A86A2"/>
    <w:multiLevelType w:val="singleLevel"/>
    <w:tmpl w:val="B36A86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42C9B"/>
    <w:rsid w:val="1E6D2AAB"/>
    <w:rsid w:val="23D40B4B"/>
    <w:rsid w:val="28F07FB3"/>
    <w:rsid w:val="353D43F3"/>
    <w:rsid w:val="3C8F5887"/>
    <w:rsid w:val="43A230A4"/>
    <w:rsid w:val="4C0A69A0"/>
    <w:rsid w:val="67E82A2A"/>
    <w:rsid w:val="7EF51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余孝安</cp:lastModifiedBy>
  <dcterms:modified xsi:type="dcterms:W3CDTF">2020-09-21T03:54:58Z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