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宋体" w:hAnsi="宋体" w:eastAsia="仿宋"/>
          <w:sz w:val="32"/>
          <w:szCs w:val="32"/>
          <w:lang w:val="en-US" w:eastAsia="zh-CN"/>
        </w:rPr>
      </w:pPr>
      <w:r>
        <w:rPr>
          <w:rFonts w:hint="eastAsia" w:ascii="仿宋" w:hAnsi="仿宋" w:eastAsia="仿宋" w:cs="SSJ-PK74820000a3c-Identity-H"/>
          <w:kern w:val="0"/>
          <w:sz w:val="32"/>
          <w:szCs w:val="32"/>
        </w:rPr>
        <w:t>郎鸿</w:t>
      </w:r>
      <w:r>
        <w:rPr>
          <w:rFonts w:hint="eastAsia" w:ascii="仿宋" w:hAnsi="仿宋" w:eastAsia="仿宋"/>
          <w:color w:val="000000"/>
          <w:sz w:val="32"/>
          <w:szCs w:val="32"/>
          <w:lang w:eastAsia="zh-CN"/>
        </w:rPr>
        <w:t>诉</w:t>
      </w:r>
      <w:r>
        <w:rPr>
          <w:rFonts w:hint="eastAsia" w:ascii="仿宋" w:hAnsi="仿宋" w:eastAsia="仿宋" w:cs="SSJ-PK74820000a3c-Identity-H"/>
          <w:kern w:val="0"/>
          <w:sz w:val="32"/>
          <w:szCs w:val="32"/>
        </w:rPr>
        <w:t>中国移动通信集团重庆有限公司丰都分公司</w:t>
      </w:r>
      <w:r>
        <w:rPr>
          <w:rFonts w:hint="eastAsia" w:ascii="仿宋" w:hAnsi="仿宋" w:eastAsia="仿宋" w:cs="SSJ-PK74820000a3c-Identity-H"/>
          <w:kern w:val="0"/>
          <w:sz w:val="32"/>
          <w:szCs w:val="32"/>
          <w:lang w:eastAsia="zh-CN"/>
        </w:rPr>
        <w:t>等管理人责任案</w:t>
      </w:r>
    </w:p>
    <w:p>
      <w:pPr>
        <w:ind w:firstLine="880" w:firstLineChars="200"/>
        <w:rPr>
          <w:rFonts w:hint="eastAsia" w:ascii="宋体" w:hAnsi="宋体" w:eastAsia="宋体"/>
          <w:sz w:val="32"/>
          <w:szCs w:val="32"/>
          <w:lang w:val="en-US" w:eastAsia="zh-CN"/>
        </w:rPr>
      </w:pPr>
      <w:r>
        <w:rPr>
          <w:rFonts w:hint="eastAsia" w:ascii="宋体" w:hAnsi="宋体" w:eastAsia="宋体"/>
          <w:sz w:val="44"/>
          <w:szCs w:val="44"/>
          <w:lang w:val="en-US" w:eastAsia="zh-CN"/>
        </w:rPr>
        <w:t xml:space="preserve">         </w:t>
      </w:r>
    </w:p>
    <w:p>
      <w:pPr>
        <w:spacing w:line="360" w:lineRule="auto"/>
        <w:ind w:firstLine="640" w:firstLineChars="200"/>
        <w:rPr>
          <w:rFonts w:hint="eastAsia" w:ascii="Times New Roman" w:hAnsi="Times New Roman" w:eastAsia="黑体" w:cs="Times New Roman"/>
          <w:sz w:val="28"/>
          <w:szCs w:val="28"/>
          <w:lang w:eastAsia="zh-CN"/>
        </w:rPr>
      </w:pPr>
      <w:r>
        <w:rPr>
          <w:rFonts w:hint="eastAsia" w:ascii="宋体" w:hAnsi="宋体" w:eastAsia="宋体"/>
          <w:sz w:val="32"/>
          <w:szCs w:val="32"/>
          <w:lang w:val="en-US" w:eastAsia="zh-CN"/>
        </w:rPr>
        <w:t xml:space="preserve">   裁判要旨：机动车驶出道路与路旁构筑物发生碰撞，构筑物的管理人不承担赔偿责任</w:t>
      </w:r>
      <w:bookmarkStart w:id="0" w:name="_GoBack"/>
      <w:bookmarkEnd w:id="0"/>
      <w:r>
        <w:rPr>
          <w:rFonts w:hint="eastAsia" w:ascii="Times New Roman" w:hAnsi="Times New Roman" w:eastAsia="黑体" w:cs="Times New Roman"/>
          <w:sz w:val="28"/>
          <w:szCs w:val="28"/>
          <w:lang w:eastAsia="zh-CN"/>
        </w:rPr>
        <w:t>。</w:t>
      </w:r>
    </w:p>
    <w:p>
      <w:pPr>
        <w:ind w:firstLine="640" w:firstLineChars="200"/>
        <w:rPr>
          <w:rFonts w:hint="default" w:ascii="宋体" w:hAnsi="宋体" w:eastAsia="宋体"/>
          <w:sz w:val="32"/>
          <w:szCs w:val="32"/>
          <w:lang w:val="en-US" w:eastAsia="zh-CN"/>
        </w:rPr>
      </w:pPr>
    </w:p>
    <w:p>
      <w:p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 xml:space="preserve">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首部</w:t>
      </w:r>
      <w:r>
        <w:rPr>
          <w:rFonts w:hint="default" w:ascii="Times New Roman" w:hAnsi="Times New Roman" w:eastAsia="黑体" w:cs="Times New Roman"/>
          <w:sz w:val="28"/>
          <w:szCs w:val="28"/>
        </w:rPr>
        <w:t>]</w:t>
      </w:r>
    </w:p>
    <w:p>
      <w:pPr>
        <w:numPr>
          <w:numId w:val="0"/>
        </w:numPr>
        <w:ind w:right="420" w:rightChars="200" w:firstLine="1400" w:firstLineChars="500"/>
        <w:jc w:val="both"/>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判决书字号</w:t>
      </w:r>
    </w:p>
    <w:p>
      <w:pPr>
        <w:numPr>
          <w:numId w:val="0"/>
        </w:numPr>
        <w:ind w:right="420" w:rightChars="200" w:firstLine="1400" w:firstLineChars="500"/>
        <w:jc w:val="both"/>
        <w:rPr>
          <w:rFonts w:hint="eastAsia" w:ascii="仿宋" w:hAnsi="仿宋" w:eastAsia="仿宋"/>
          <w:sz w:val="32"/>
          <w:szCs w:val="32"/>
          <w:lang w:val="en-US" w:eastAsia="zh-CN"/>
        </w:rPr>
      </w:pPr>
      <w:r>
        <w:rPr>
          <w:rFonts w:hint="eastAsia" w:ascii="黑体" w:hAnsi="黑体" w:eastAsia="黑体" w:cs="黑体"/>
          <w:sz w:val="28"/>
          <w:szCs w:val="28"/>
          <w:lang w:eastAsia="zh-CN"/>
        </w:rPr>
        <w:t>一审判决书：</w:t>
      </w:r>
      <w:r>
        <w:rPr>
          <w:rFonts w:hint="eastAsia" w:ascii="黑体" w:hAnsi="黑体" w:eastAsia="黑体" w:cs="黑体"/>
          <w:sz w:val="28"/>
          <w:szCs w:val="28"/>
        </w:rPr>
        <w:t>重庆市</w:t>
      </w:r>
      <w:r>
        <w:rPr>
          <w:rFonts w:hint="eastAsia" w:ascii="黑体" w:hAnsi="黑体" w:eastAsia="黑体" w:cs="黑体"/>
          <w:sz w:val="28"/>
          <w:szCs w:val="28"/>
          <w:lang w:eastAsia="zh-CN"/>
        </w:rPr>
        <w:t>丰都县</w:t>
      </w:r>
      <w:r>
        <w:rPr>
          <w:rFonts w:hint="eastAsia" w:ascii="黑体" w:hAnsi="黑体" w:eastAsia="黑体" w:cs="黑体"/>
          <w:sz w:val="28"/>
          <w:szCs w:val="28"/>
        </w:rPr>
        <w:t>人民法院</w:t>
      </w:r>
      <w:r>
        <w:rPr>
          <w:rFonts w:hint="eastAsia" w:ascii="仿宋" w:hAnsi="仿宋" w:eastAsia="仿宋"/>
          <w:sz w:val="32"/>
          <w:szCs w:val="32"/>
        </w:rPr>
        <w:t>(2020)渝023初3397号</w:t>
      </w:r>
      <w:r>
        <w:rPr>
          <w:rFonts w:hint="eastAsia" w:ascii="仿宋" w:hAnsi="仿宋" w:eastAsia="仿宋"/>
          <w:sz w:val="32"/>
          <w:szCs w:val="32"/>
          <w:lang w:eastAsia="zh-CN"/>
        </w:rPr>
        <w:t>。</w:t>
      </w:r>
    </w:p>
    <w:p>
      <w:pPr>
        <w:numPr>
          <w:numId w:val="0"/>
        </w:numPr>
        <w:ind w:firstLine="1280" w:firstLineChars="400"/>
        <w:rPr>
          <w:rFonts w:ascii="宋体" w:hAnsi="宋体" w:eastAsia="宋体" w:cs="宋体"/>
          <w:sz w:val="24"/>
          <w:szCs w:val="24"/>
        </w:rPr>
      </w:pPr>
      <w:r>
        <w:rPr>
          <w:rFonts w:hint="eastAsia" w:ascii="仿宋" w:hAnsi="仿宋" w:eastAsia="仿宋"/>
          <w:sz w:val="32"/>
          <w:szCs w:val="32"/>
          <w:lang w:eastAsia="zh-CN"/>
        </w:rPr>
        <w:t>二审判决书：重庆市第三中级人民法院（</w:t>
      </w:r>
      <w:r>
        <w:rPr>
          <w:rFonts w:hint="eastAsia" w:ascii="仿宋" w:hAnsi="仿宋" w:eastAsia="仿宋"/>
          <w:sz w:val="32"/>
          <w:szCs w:val="32"/>
          <w:lang w:val="en-US" w:eastAsia="zh-CN"/>
        </w:rPr>
        <w:t>2020</w:t>
      </w:r>
      <w:r>
        <w:rPr>
          <w:rFonts w:hint="eastAsia" w:ascii="仿宋" w:hAnsi="仿宋" w:eastAsia="仿宋"/>
          <w:sz w:val="32"/>
          <w:szCs w:val="32"/>
          <w:lang w:eastAsia="zh-CN"/>
        </w:rPr>
        <w:t>）渝 03 民终 1593 号 。</w:t>
      </w:r>
    </w:p>
    <w:p>
      <w:pPr>
        <w:numPr>
          <w:ilvl w:val="0"/>
          <w:numId w:val="0"/>
        </w:numPr>
        <w:ind w:firstLine="1120" w:firstLineChars="400"/>
        <w:rPr>
          <w:rFonts w:hint="eastAsia" w:ascii="黑体" w:hAnsi="黑体" w:eastAsia="黑体" w:cs="黑体"/>
          <w:sz w:val="28"/>
          <w:szCs w:val="28"/>
        </w:rPr>
      </w:pPr>
      <w:r>
        <w:rPr>
          <w:rFonts w:hint="eastAsia" w:ascii="黑体" w:hAnsi="黑体" w:eastAsia="黑体" w:cs="黑体"/>
          <w:sz w:val="28"/>
          <w:szCs w:val="28"/>
          <w:lang w:val="en-US" w:eastAsia="zh-CN"/>
        </w:rPr>
        <w:t>2.</w:t>
      </w:r>
      <w:r>
        <w:rPr>
          <w:rFonts w:hint="eastAsia" w:ascii="黑体" w:hAnsi="黑体" w:eastAsia="黑体" w:cs="黑体"/>
          <w:sz w:val="28"/>
          <w:szCs w:val="28"/>
        </w:rPr>
        <w:t>案由：</w:t>
      </w:r>
      <w:r>
        <w:rPr>
          <w:rFonts w:hint="eastAsia" w:ascii="仿宋" w:hAnsi="仿宋" w:eastAsia="仿宋" w:cs="H-SS9-PK74820000a48-Identity-H"/>
          <w:kern w:val="0"/>
          <w:sz w:val="32"/>
          <w:szCs w:val="32"/>
        </w:rPr>
        <w:t>管理人责任纠纷</w:t>
      </w:r>
    </w:p>
    <w:p>
      <w:pPr>
        <w:numPr>
          <w:ilvl w:val="0"/>
          <w:numId w:val="0"/>
        </w:numPr>
        <w:ind w:firstLine="1120" w:firstLineChars="400"/>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诉讼双方：</w:t>
      </w:r>
    </w:p>
    <w:p>
      <w:pPr>
        <w:spacing w:line="540" w:lineRule="exact"/>
        <w:ind w:firstLine="560" w:firstLineChars="200"/>
        <w:rPr>
          <w:rFonts w:hint="eastAsia" w:ascii="仿宋" w:hAnsi="仿宋" w:eastAsia="仿宋" w:cs="SSJ-PK74820000a3c-Identity-H"/>
          <w:kern w:val="0"/>
          <w:sz w:val="32"/>
          <w:szCs w:val="32"/>
        </w:rPr>
      </w:pPr>
      <w:r>
        <w:rPr>
          <w:rFonts w:hint="eastAsia" w:ascii="黑体" w:hAnsi="黑体" w:eastAsia="黑体" w:cs="黑体"/>
          <w:sz w:val="28"/>
          <w:szCs w:val="28"/>
          <w:lang w:eastAsia="zh-CN"/>
        </w:rPr>
        <w:t>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原告</w:t>
      </w:r>
      <w:r>
        <w:rPr>
          <w:rFonts w:hint="eastAsia" w:ascii="黑体" w:hAnsi="黑体" w:eastAsia="黑体" w:cs="黑体"/>
          <w:sz w:val="28"/>
          <w:szCs w:val="28"/>
          <w:lang w:eastAsia="zh-CN"/>
        </w:rPr>
        <w:t>（上诉人）</w:t>
      </w:r>
      <w:r>
        <w:rPr>
          <w:rFonts w:hint="eastAsia" w:ascii="黑体" w:hAnsi="黑体" w:eastAsia="黑体" w:cs="黑体"/>
          <w:sz w:val="28"/>
          <w:szCs w:val="28"/>
        </w:rPr>
        <w:t>：</w:t>
      </w:r>
      <w:r>
        <w:rPr>
          <w:rFonts w:hint="eastAsia" w:ascii="仿宋" w:hAnsi="仿宋" w:eastAsia="仿宋" w:cs="SSJ-PK74820000a3c-Identity-H"/>
          <w:kern w:val="0"/>
          <w:sz w:val="32"/>
          <w:szCs w:val="32"/>
        </w:rPr>
        <w:t>郎鸿</w:t>
      </w:r>
    </w:p>
    <w:p>
      <w:pPr>
        <w:spacing w:line="540" w:lineRule="exact"/>
        <w:ind w:firstLine="640" w:firstLineChars="200"/>
        <w:rPr>
          <w:rFonts w:hint="default"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 xml:space="preserve">   委托诉讼代理人：</w:t>
      </w:r>
      <w:r>
        <w:rPr>
          <w:rFonts w:hint="eastAsia" w:ascii="仿宋" w:hAnsi="仿宋" w:eastAsia="仿宋" w:cs="SSJ-PK74820000a3c-Identity-H"/>
          <w:kern w:val="0"/>
          <w:sz w:val="32"/>
          <w:szCs w:val="32"/>
          <w:lang w:eastAsia="zh-CN"/>
        </w:rPr>
        <w:t>敖必鸿，重庆东龙律师事务所律师。</w:t>
      </w:r>
    </w:p>
    <w:p>
      <w:pPr>
        <w:spacing w:line="540" w:lineRule="exact"/>
        <w:ind w:firstLine="1280" w:firstLineChars="400"/>
        <w:rPr>
          <w:rFonts w:hint="eastAsia" w:ascii="仿宋" w:hAnsi="仿宋" w:eastAsia="仿宋" w:cs="SSJ-PK74820000a3c-Identity-H"/>
          <w:kern w:val="0"/>
          <w:sz w:val="32"/>
          <w:szCs w:val="32"/>
          <w:lang w:eastAsia="zh-CN"/>
        </w:rPr>
      </w:pPr>
      <w:r>
        <w:rPr>
          <w:rFonts w:hint="eastAsia" w:ascii="仿宋" w:hAnsi="仿宋" w:eastAsia="仿宋"/>
          <w:color w:val="000000"/>
          <w:kern w:val="0"/>
          <w:sz w:val="32"/>
          <w:szCs w:val="32"/>
          <w:lang w:eastAsia="zh-CN"/>
        </w:rPr>
        <w:t>被告（被上诉人）：</w:t>
      </w:r>
      <w:r>
        <w:rPr>
          <w:rFonts w:hint="eastAsia" w:ascii="仿宋" w:hAnsi="仿宋" w:eastAsia="仿宋" w:cs="SSJ-PK74820000a3c-Identity-H"/>
          <w:kern w:val="0"/>
          <w:sz w:val="32"/>
          <w:szCs w:val="32"/>
        </w:rPr>
        <w:t>中国移动通信集团重庆有限公司丰都分公司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移动</w:t>
      </w:r>
      <w:r>
        <w:rPr>
          <w:rFonts w:hint="eastAsia" w:ascii="仿宋" w:hAnsi="仿宋" w:eastAsia="仿宋" w:cs="SSJ-PK74820000a3c-Identity-H"/>
          <w:kern w:val="0"/>
          <w:sz w:val="32"/>
          <w:szCs w:val="32"/>
          <w:lang w:eastAsia="zh-CN"/>
        </w:rPr>
        <w:t>丰都分公司）。</w:t>
      </w:r>
    </w:p>
    <w:p>
      <w:pPr>
        <w:spacing w:line="540" w:lineRule="exact"/>
        <w:ind w:firstLine="1280" w:firstLineChars="400"/>
        <w:rPr>
          <w:rFonts w:hint="eastAsia" w:ascii="仿宋" w:hAnsi="仿宋" w:eastAsia="仿宋" w:cs="SSJ-PK74820000a3c-Identity-H"/>
          <w:kern w:val="0"/>
          <w:sz w:val="32"/>
          <w:szCs w:val="32"/>
          <w:lang w:eastAsia="zh-CN"/>
        </w:rPr>
      </w:pPr>
      <w:r>
        <w:rPr>
          <w:rFonts w:hint="eastAsia" w:ascii="仿宋" w:hAnsi="仿宋" w:eastAsia="仿宋"/>
          <w:color w:val="000000"/>
          <w:kern w:val="0"/>
          <w:sz w:val="32"/>
          <w:szCs w:val="32"/>
        </w:rPr>
        <w:t>委托诉讼代理人：</w:t>
      </w:r>
      <w:r>
        <w:rPr>
          <w:rFonts w:hint="eastAsia" w:ascii="仿宋" w:hAnsi="仿宋" w:eastAsia="仿宋" w:cs="SSJ-PK74820000a3c-Identity-H"/>
          <w:kern w:val="0"/>
          <w:sz w:val="32"/>
          <w:szCs w:val="32"/>
          <w:lang w:eastAsia="zh-CN"/>
        </w:rPr>
        <w:t>杨奉川，重庆依斯特律师事务所律师。</w:t>
      </w:r>
    </w:p>
    <w:p>
      <w:pPr>
        <w:spacing w:line="540" w:lineRule="exact"/>
        <w:ind w:firstLine="1280" w:firstLineChars="4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被告（被上诉人）：</w:t>
      </w:r>
      <w:r>
        <w:rPr>
          <w:rFonts w:hint="eastAsia" w:ascii="仿宋" w:hAnsi="仿宋" w:eastAsia="仿宋" w:cs="SSJ-PK74820000a3c-Identity-H"/>
          <w:kern w:val="0"/>
          <w:sz w:val="32"/>
          <w:szCs w:val="32"/>
        </w:rPr>
        <w:t>丰都县交通行政执法</w:t>
      </w:r>
      <w:r>
        <w:rPr>
          <w:rFonts w:hint="eastAsia" w:ascii="仿宋" w:hAnsi="仿宋" w:eastAsia="仿宋" w:cs="SSJ-PK74820000a3c-Identity-H"/>
          <w:kern w:val="0"/>
          <w:sz w:val="32"/>
          <w:szCs w:val="32"/>
          <w:lang w:eastAsia="zh-CN"/>
        </w:rPr>
        <w:t>支</w:t>
      </w:r>
      <w:r>
        <w:rPr>
          <w:rFonts w:hint="eastAsia" w:ascii="仿宋" w:hAnsi="仿宋" w:eastAsia="仿宋" w:cs="SSJ-PK74820000a3c-Identity-H"/>
          <w:kern w:val="0"/>
          <w:sz w:val="32"/>
          <w:szCs w:val="32"/>
        </w:rPr>
        <w:t>队</w:t>
      </w:r>
      <w:r>
        <w:rPr>
          <w:rFonts w:hint="eastAsia" w:ascii="仿宋" w:hAnsi="仿宋" w:eastAsia="仿宋" w:cs="SSJ-PK74820000a3c-Identity-H"/>
          <w:kern w:val="0"/>
          <w:sz w:val="32"/>
          <w:szCs w:val="32"/>
          <w:lang w:eastAsia="zh-CN"/>
        </w:rPr>
        <w:t>。</w:t>
      </w:r>
    </w:p>
    <w:p>
      <w:pPr>
        <w:autoSpaceDE w:val="0"/>
        <w:autoSpaceDN w:val="0"/>
        <w:adjustRightInd w:val="0"/>
        <w:ind w:firstLine="1280" w:firstLineChars="400"/>
        <w:rPr>
          <w:rFonts w:hint="default"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委托诉讼代理人：刘川，重庆晨曲律师事务所律师。</w:t>
      </w:r>
    </w:p>
    <w:p>
      <w:pPr>
        <w:spacing w:line="540" w:lineRule="exact"/>
        <w:ind w:firstLine="1280" w:firstLineChars="400"/>
        <w:rPr>
          <w:rFonts w:hint="eastAsia" w:ascii="仿宋" w:hAnsi="仿宋" w:eastAsia="仿宋" w:cs="SSJ-PK74820000a3c-Identity-H"/>
          <w:kern w:val="0"/>
          <w:sz w:val="32"/>
          <w:szCs w:val="32"/>
          <w:lang w:eastAsia="zh-CN"/>
        </w:rPr>
      </w:pPr>
    </w:p>
    <w:p>
      <w:pPr>
        <w:numPr>
          <w:ilvl w:val="0"/>
          <w:numId w:val="1"/>
        </w:numPr>
        <w:spacing w:line="540" w:lineRule="exact"/>
        <w:ind w:firstLine="1280" w:firstLineChars="4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审级：二审</w:t>
      </w:r>
    </w:p>
    <w:p>
      <w:pPr>
        <w:numPr>
          <w:ilvl w:val="0"/>
          <w:numId w:val="1"/>
        </w:numPr>
        <w:spacing w:line="540" w:lineRule="exact"/>
        <w:ind w:firstLine="1280" w:firstLineChars="4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审判机关和审判组织</w:t>
      </w:r>
    </w:p>
    <w:p>
      <w:pPr>
        <w:numPr>
          <w:ilvl w:val="0"/>
          <w:numId w:val="0"/>
        </w:numPr>
        <w:spacing w:line="540" w:lineRule="exac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一审法院：重庆市丰都县人民法院。</w:t>
      </w:r>
    </w:p>
    <w:p>
      <w:pPr>
        <w:numPr>
          <w:ilvl w:val="0"/>
          <w:numId w:val="0"/>
        </w:numPr>
        <w:spacing w:line="540" w:lineRule="exac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独任审判员：余孝安   </w:t>
      </w:r>
    </w:p>
    <w:p>
      <w:pPr>
        <w:numPr>
          <w:ilvl w:val="0"/>
          <w:numId w:val="0"/>
        </w:numPr>
        <w:spacing w:line="540" w:lineRule="exac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二审法院：重庆市第三中级人民法院。</w:t>
      </w:r>
    </w:p>
    <w:p>
      <w:pPr>
        <w:numPr>
          <w:ilvl w:val="0"/>
          <w:numId w:val="0"/>
        </w:numPr>
        <w:spacing w:line="540" w:lineRule="exac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合议庭成员：审判长：余云中 审判员：陈胜泉 吴 聪 。    </w:t>
      </w:r>
    </w:p>
    <w:p>
      <w:pPr>
        <w:numPr>
          <w:ilvl w:val="0"/>
          <w:numId w:val="1"/>
        </w:numPr>
        <w:spacing w:line="540" w:lineRule="exact"/>
        <w:ind w:left="0" w:leftChars="0" w:firstLine="1280" w:firstLineChars="4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审结时间</w:t>
      </w:r>
    </w:p>
    <w:p>
      <w:pPr>
        <w:numPr>
          <w:numId w:val="0"/>
        </w:numPr>
        <w:spacing w:line="540" w:lineRule="exact"/>
        <w:ind w:firstLine="1280" w:firstLineChars="4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一审审结时间：2020年9月16日</w:t>
      </w:r>
    </w:p>
    <w:p>
      <w:pPr>
        <w:numPr>
          <w:numId w:val="0"/>
        </w:numPr>
        <w:spacing w:line="540" w:lineRule="exact"/>
        <w:ind w:firstLine="1280" w:firstLineChars="4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二审审结时间：2020年11月9日</w:t>
      </w:r>
    </w:p>
    <w:p>
      <w:pPr>
        <w:numPr>
          <w:ilvl w:val="0"/>
          <w:numId w:val="2"/>
        </w:numPr>
        <w:spacing w:line="360" w:lineRule="auto"/>
        <w:ind w:left="1120" w:leftChars="0" w:firstLine="0" w:firstLineChars="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一审情况</w:t>
      </w:r>
    </w:p>
    <w:p>
      <w:pPr>
        <w:numPr>
          <w:numId w:val="0"/>
        </w:numPr>
        <w:spacing w:line="360" w:lineRule="auto"/>
        <w:ind w:left="1120" w:leftChars="0"/>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1.一审诉辩主张</w:t>
      </w:r>
    </w:p>
    <w:p>
      <w:pPr>
        <w:snapToGrid w:val="0"/>
        <w:spacing w:line="560" w:lineRule="exact"/>
        <w:ind w:firstLine="560" w:firstLineChars="200"/>
        <w:rPr>
          <w:rFonts w:hint="eastAsia" w:ascii="仿宋" w:hAnsi="仿宋" w:eastAsia="仿宋" w:cs="H-SS9-PK74820000a48-Identity-H"/>
          <w:kern w:val="0"/>
          <w:sz w:val="32"/>
          <w:szCs w:val="32"/>
        </w:rPr>
      </w:pPr>
      <w:r>
        <w:rPr>
          <w:rFonts w:hint="eastAsia" w:ascii="Times New Roman" w:hAnsi="Times New Roman" w:eastAsia="黑体" w:cs="Times New Roman"/>
          <w:sz w:val="28"/>
          <w:szCs w:val="28"/>
          <w:lang w:val="en-US" w:eastAsia="zh-CN"/>
        </w:rPr>
        <w:t xml:space="preserve"> 原告</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诉</w:t>
      </w:r>
      <w:r>
        <w:rPr>
          <w:rFonts w:hint="eastAsia" w:ascii="仿宋" w:hAnsi="仿宋" w:eastAsia="仿宋"/>
          <w:color w:val="000000"/>
          <w:sz w:val="32"/>
          <w:szCs w:val="32"/>
          <w:lang w:eastAsia="zh-CN"/>
        </w:rPr>
        <w:t>称</w:t>
      </w:r>
      <w:r>
        <w:rPr>
          <w:rFonts w:hint="eastAsia" w:ascii="仿宋" w:hAnsi="仿宋" w:eastAsia="仿宋"/>
          <w:color w:val="000000"/>
          <w:sz w:val="32"/>
          <w:szCs w:val="32"/>
        </w:rPr>
        <w:t>：</w:t>
      </w:r>
      <w:r>
        <w:rPr>
          <w:rFonts w:hint="eastAsia" w:ascii="仿宋" w:hAnsi="仿宋" w:eastAsia="仿宋" w:cs="H-SS9-PK74820000a48-Identity-H"/>
          <w:kern w:val="0"/>
          <w:sz w:val="32"/>
          <w:szCs w:val="32"/>
          <w:lang w:val="en-US" w:eastAsia="zh-CN"/>
        </w:rPr>
        <w:t>2019年9月6日17时50分许，原告驾驶渝DU3020号摩托车从丰都县武平镇抓壁岩往丰都县武平镇石马河桥方向行驶，行驶至丰都县省道406线25km+300m处时与道路左侧路肩上的电线杆（离行驶安全线10cm）相撞，致原告受伤致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二被告有管理职责及安全注意义务，其失职行为共同构成对原告的侵权，为此，请求法院判令被告赔偿原告医疗费、残疾赔偿金、误工费、护理费、被扶养人生活费等共计</w:t>
      </w:r>
      <w:r>
        <w:rPr>
          <w:rFonts w:hint="eastAsia" w:ascii="仿宋" w:hAnsi="仿宋" w:eastAsia="仿宋" w:cs="H-SS9-PK74820000a48-Identity-H"/>
          <w:kern w:val="0"/>
          <w:sz w:val="32"/>
          <w:szCs w:val="32"/>
          <w:lang w:val="en-US" w:eastAsia="zh-CN"/>
        </w:rPr>
        <w:t>44008.07元，诉讼费的20%由二被告负担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移动丰都分公司辩称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事故发生处的电线杆是</w:t>
      </w:r>
      <w:r>
        <w:rPr>
          <w:rFonts w:hint="eastAsia" w:ascii="仿宋" w:hAnsi="仿宋" w:eastAsia="仿宋" w:cs="H-SS9-PK74820000a48-Identity-H"/>
          <w:kern w:val="0"/>
          <w:sz w:val="32"/>
          <w:szCs w:val="32"/>
          <w:lang w:val="en-US" w:eastAsia="zh-CN"/>
        </w:rPr>
        <w:t>2007年左右建立，省道是2013年左右才扩建，本被告未接到任何部门搬迁通知，发生此次事故本被告没有过错，道路交通事故责任认定书已认定系原告自己的过错造成，为此应由原告承担全部责任</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default"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丰都县交通行政执法</w:t>
      </w:r>
      <w:r>
        <w:rPr>
          <w:rFonts w:hint="eastAsia" w:ascii="仿宋" w:hAnsi="仿宋" w:eastAsia="仿宋" w:cs="SSJ-PK74820000a3c-Identity-H"/>
          <w:kern w:val="0"/>
          <w:sz w:val="32"/>
          <w:szCs w:val="32"/>
          <w:lang w:eastAsia="zh-CN"/>
        </w:rPr>
        <w:t>支</w:t>
      </w:r>
      <w:r>
        <w:rPr>
          <w:rFonts w:hint="eastAsia" w:ascii="仿宋" w:hAnsi="仿宋" w:eastAsia="仿宋" w:cs="SSJ-PK74820000a3c-Identity-H"/>
          <w:kern w:val="0"/>
          <w:sz w:val="32"/>
          <w:szCs w:val="32"/>
        </w:rPr>
        <w:t>队</w:t>
      </w:r>
      <w:r>
        <w:rPr>
          <w:rFonts w:hint="eastAsia" w:ascii="仿宋" w:hAnsi="仿宋" w:eastAsia="仿宋" w:cs="SSJ-PK74820000a3c-Identity-H"/>
          <w:kern w:val="0"/>
          <w:sz w:val="32"/>
          <w:szCs w:val="32"/>
          <w:lang w:eastAsia="zh-CN"/>
        </w:rPr>
        <w:t>（以下简称交行支队）辩称，本被告对公路无管理义务并非适格被告，同时事故发生系原告自己的过错造成，为此请求驳回原告对本被告的诉讼请求。</w:t>
      </w:r>
    </w:p>
    <w:p>
      <w:pPr>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2.一审事实与证据</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olor w:val="000000"/>
          <w:sz w:val="32"/>
          <w:szCs w:val="32"/>
          <w:lang w:eastAsia="zh-CN"/>
        </w:rPr>
        <w:t>重庆市丰都县人民法院公开审理查明</w:t>
      </w:r>
      <w:r>
        <w:rPr>
          <w:rFonts w:hint="eastAsia" w:ascii="仿宋" w:hAnsi="仿宋" w:eastAsia="仿宋" w:cs="H-SS9-PK74820000a48-Identity-H"/>
          <w:kern w:val="0"/>
          <w:sz w:val="32"/>
          <w:szCs w:val="32"/>
          <w:lang w:val="en-US" w:eastAsia="zh-CN"/>
        </w:rPr>
        <w:t>2019年9月6日17时50分许，</w:t>
      </w:r>
      <w:r>
        <w:rPr>
          <w:rFonts w:hint="eastAsia" w:ascii="仿宋" w:hAnsi="仿宋" w:eastAsia="仿宋" w:cs="SSJ-PK74820000a3c-Identity-H"/>
          <w:kern w:val="0"/>
          <w:sz w:val="32"/>
          <w:szCs w:val="32"/>
        </w:rPr>
        <w:t>郎鸿</w:t>
      </w:r>
      <w:r>
        <w:rPr>
          <w:rFonts w:hint="eastAsia" w:ascii="仿宋" w:hAnsi="仿宋" w:eastAsia="仿宋" w:cs="H-SS9-PK74820000a48-Identity-H"/>
          <w:kern w:val="0"/>
          <w:sz w:val="32"/>
          <w:szCs w:val="32"/>
          <w:lang w:val="en-US" w:eastAsia="zh-CN"/>
        </w:rPr>
        <w:t>驾驶自己所有的渝DU3020号摩托车从丰都县武平镇抓壁岩往丰都县武平镇石马河桥方向行驶，当车行驶至丰都县省道406线25km+300m处（小地名，石马河）超车时，因操作不当致渝DU3020号摩托车与道路外左侧边上的电线杆相撞后摔倒滑行至道路右侧车道，造成</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受伤</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受伤后于</w:t>
      </w:r>
      <w:r>
        <w:rPr>
          <w:rFonts w:hint="eastAsia" w:ascii="仿宋" w:hAnsi="仿宋" w:eastAsia="仿宋" w:cs="H-SS9-PK74820000a48-Identity-H"/>
          <w:kern w:val="0"/>
          <w:sz w:val="32"/>
          <w:szCs w:val="32"/>
          <w:lang w:val="en-US" w:eastAsia="zh-CN"/>
        </w:rPr>
        <w:t>2019年9月6日入住重庆长城医院治疗，同年同月27日出院，出院诊断为，左膝关节囊破裂、左髌骨粉碎性骨折等，出院医嘱为，术后1-2天换药1次，21天行伤口折线等，同日再次入住重庆长城医院治疗，2019年10月16日出院，出院医嘱为休息1月，加强营养，门诊随访。后在丰都县中医院等门诊治疗，</w:t>
      </w:r>
      <w:r>
        <w:rPr>
          <w:rFonts w:hint="eastAsia" w:ascii="仿宋" w:hAnsi="仿宋" w:eastAsia="仿宋" w:cs="SSJ-PK74820000a3c-Identity-H"/>
          <w:kern w:val="0"/>
          <w:sz w:val="32"/>
          <w:szCs w:val="32"/>
        </w:rPr>
        <w:t>郎鸿</w:t>
      </w:r>
      <w:r>
        <w:rPr>
          <w:rFonts w:hint="eastAsia" w:ascii="仿宋" w:hAnsi="仿宋" w:eastAsia="仿宋" w:cs="H-SS9-PK74820000a48-Identity-H"/>
          <w:kern w:val="0"/>
          <w:sz w:val="32"/>
          <w:szCs w:val="32"/>
          <w:lang w:val="en-US" w:eastAsia="zh-CN"/>
        </w:rPr>
        <w:t>共计支付治疗费53001.48元，交通费166元。事故经重庆市丰都县公安局交通巡逻警察大队认定，系“弯道……”超车所致，</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在此次事故中为全部过错，应负事故的全部责任。</w:t>
      </w:r>
    </w:p>
    <w:p>
      <w:pPr>
        <w:autoSpaceDE w:val="0"/>
        <w:autoSpaceDN w:val="0"/>
        <w:adjustRightInd w:val="0"/>
        <w:ind w:firstLine="640" w:firstLineChars="200"/>
        <w:rPr>
          <w:rFonts w:hint="eastAsia" w:ascii="仿宋" w:hAnsi="仿宋" w:eastAsia="仿宋"/>
          <w:color w:val="000000"/>
          <w:sz w:val="32"/>
          <w:szCs w:val="32"/>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系城镇居民，其长子</w:t>
      </w:r>
      <w:r>
        <w:rPr>
          <w:rFonts w:hint="eastAsia" w:ascii="仿宋" w:hAnsi="仿宋" w:eastAsia="仿宋" w:cs="SSJ-PK74820000a3c-Identity-H"/>
          <w:kern w:val="0"/>
          <w:sz w:val="32"/>
          <w:szCs w:val="32"/>
          <w:lang w:val="en-US" w:eastAsia="zh-CN"/>
        </w:rPr>
        <w:t>郎荣浩</w:t>
      </w:r>
      <w:r>
        <w:rPr>
          <w:rFonts w:hint="eastAsia" w:ascii="仿宋" w:hAnsi="仿宋" w:eastAsia="仿宋" w:cs="SSJ-PK74820000a3c-Identity-H"/>
          <w:kern w:val="0"/>
          <w:sz w:val="32"/>
          <w:szCs w:val="32"/>
          <w:lang w:eastAsia="zh-CN"/>
        </w:rPr>
        <w:t>生于</w:t>
      </w:r>
      <w:r>
        <w:rPr>
          <w:rFonts w:hint="eastAsia" w:ascii="仿宋" w:hAnsi="仿宋" w:eastAsia="仿宋" w:cs="SSJ-PK74820000a3c-Identity-H"/>
          <w:kern w:val="0"/>
          <w:sz w:val="32"/>
          <w:szCs w:val="32"/>
          <w:lang w:val="en-US" w:eastAsia="zh-CN"/>
        </w:rPr>
        <w:t>2008年8月13日，次女</w:t>
      </w:r>
      <w:r>
        <w:rPr>
          <w:rFonts w:hint="eastAsia" w:ascii="仿宋" w:hAnsi="仿宋" w:eastAsia="仿宋" w:cs="SSJ-PK74820000a3c-Identity-H"/>
          <w:kern w:val="0"/>
          <w:sz w:val="32"/>
          <w:szCs w:val="32"/>
          <w:lang w:eastAsia="zh-CN"/>
        </w:rPr>
        <w:t>郎荣欣</w:t>
      </w:r>
      <w:r>
        <w:rPr>
          <w:rFonts w:hint="eastAsia" w:ascii="仿宋" w:hAnsi="仿宋" w:eastAsia="仿宋" w:cs="SSJ-PK74820000a3c-Identity-H"/>
          <w:kern w:val="0"/>
          <w:sz w:val="32"/>
          <w:szCs w:val="32"/>
          <w:lang w:val="en-US" w:eastAsia="zh-CN"/>
        </w:rPr>
        <w:t>生于2015年1月19日，郎</w:t>
      </w:r>
      <w:r>
        <w:rPr>
          <w:rFonts w:hint="eastAsia" w:ascii="仿宋" w:hAnsi="仿宋" w:eastAsia="仿宋" w:cs="SSJ-PK74820000a3c-Identity-H"/>
          <w:kern w:val="0"/>
          <w:sz w:val="32"/>
          <w:szCs w:val="32"/>
        </w:rPr>
        <w:t>鸿</w:t>
      </w:r>
      <w:r>
        <w:rPr>
          <w:rFonts w:hint="eastAsia" w:ascii="仿宋" w:hAnsi="仿宋" w:eastAsia="仿宋" w:cs="SSJ-PK74820000a3c-Identity-H"/>
          <w:kern w:val="0"/>
          <w:sz w:val="32"/>
          <w:szCs w:val="32"/>
          <w:lang w:eastAsia="zh-CN"/>
        </w:rPr>
        <w:t>所有的</w:t>
      </w:r>
      <w:r>
        <w:rPr>
          <w:rFonts w:hint="eastAsia" w:ascii="仿宋" w:hAnsi="仿宋" w:eastAsia="仿宋" w:cs="H-SS9-PK74820000a48-Identity-H"/>
          <w:kern w:val="0"/>
          <w:sz w:val="32"/>
          <w:szCs w:val="32"/>
          <w:lang w:val="en-US" w:eastAsia="zh-CN"/>
        </w:rPr>
        <w:t>渝DU3020号摩托车于2018年12月购买，价格为7155.17元。渝DU3020号摩托车在事故发生时撞击的丰都县省道406线25km+300m处电线杆为</w:t>
      </w:r>
      <w:r>
        <w:rPr>
          <w:rFonts w:hint="eastAsia" w:ascii="仿宋" w:hAnsi="仿宋" w:eastAsia="仿宋" w:cs="SSJ-PK74820000a3c-Identity-H"/>
          <w:kern w:val="0"/>
          <w:sz w:val="32"/>
          <w:szCs w:val="32"/>
        </w:rPr>
        <w:t>移动</w:t>
      </w:r>
      <w:r>
        <w:rPr>
          <w:rFonts w:hint="eastAsia" w:ascii="仿宋" w:hAnsi="仿宋" w:eastAsia="仿宋" w:cs="SSJ-PK74820000a3c-Identity-H"/>
          <w:kern w:val="0"/>
          <w:sz w:val="32"/>
          <w:szCs w:val="32"/>
          <w:lang w:eastAsia="zh-CN"/>
        </w:rPr>
        <w:t>丰都分公司所有。</w:t>
      </w:r>
    </w:p>
    <w:p>
      <w:pPr>
        <w:spacing w:line="360" w:lineRule="auto"/>
        <w:ind w:firstLine="560" w:firstLineChars="20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上述事实有下列证据：</w:t>
      </w:r>
    </w:p>
    <w:p>
      <w:pPr>
        <w:numPr>
          <w:numId w:val="0"/>
        </w:numPr>
        <w:spacing w:line="360" w:lineRule="auto"/>
        <w:ind w:firstLine="640" w:firstLineChars="200"/>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lang w:val="en-US" w:eastAsia="zh-CN"/>
        </w:rPr>
        <w:t>1</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有公民身份证复印件</w:t>
      </w:r>
      <w:r>
        <w:rPr>
          <w:rFonts w:hint="eastAsia" w:ascii="仿宋" w:hAnsi="仿宋" w:eastAsia="仿宋"/>
          <w:color w:val="000000"/>
          <w:kern w:val="0"/>
          <w:sz w:val="32"/>
          <w:szCs w:val="32"/>
          <w:lang w:eastAsia="zh-CN"/>
        </w:rPr>
        <w:t>，证明原被告的基本情况；</w:t>
      </w:r>
    </w:p>
    <w:p>
      <w:pPr>
        <w:numPr>
          <w:numId w:val="0"/>
        </w:numPr>
        <w:spacing w:line="360" w:lineRule="auto"/>
        <w:ind w:firstLine="640" w:firstLineChars="200"/>
        <w:rPr>
          <w:rFonts w:hint="eastAsia" w:ascii="Times New Roman" w:hAnsi="Times New Roman" w:eastAsia="黑体" w:cs="Times New Roman"/>
          <w:sz w:val="28"/>
          <w:szCs w:val="28"/>
          <w:lang w:eastAsia="zh-CN"/>
        </w:rPr>
      </w:pP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lang w:val="en-US" w:eastAsia="zh-CN"/>
        </w:rPr>
        <w:t>2</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道路交通事故认定书</w:t>
      </w:r>
      <w:r>
        <w:rPr>
          <w:rFonts w:hint="eastAsia" w:ascii="仿宋" w:hAnsi="仿宋" w:eastAsia="仿宋"/>
          <w:color w:val="000000"/>
          <w:kern w:val="0"/>
          <w:sz w:val="32"/>
          <w:szCs w:val="32"/>
          <w:lang w:eastAsia="zh-CN"/>
        </w:rPr>
        <w:t>、</w:t>
      </w:r>
      <w:r>
        <w:rPr>
          <w:rFonts w:hint="eastAsia" w:ascii="仿宋" w:hAnsi="仿宋" w:eastAsia="仿宋" w:cs="H-SS9-PK74820000a48-Identity-H"/>
          <w:kern w:val="0"/>
          <w:sz w:val="32"/>
          <w:szCs w:val="32"/>
          <w:lang w:val="en-US" w:eastAsia="zh-CN"/>
        </w:rPr>
        <w:t>现场勘查笔录</w:t>
      </w:r>
      <w:r>
        <w:rPr>
          <w:rFonts w:hint="eastAsia" w:ascii="仿宋" w:hAnsi="仿宋" w:eastAsia="仿宋"/>
          <w:color w:val="000000"/>
          <w:kern w:val="0"/>
          <w:sz w:val="32"/>
          <w:szCs w:val="32"/>
          <w:lang w:eastAsia="zh-CN"/>
        </w:rPr>
        <w:t>，证明发生交通事故的事实；</w:t>
      </w:r>
    </w:p>
    <w:p>
      <w:pPr>
        <w:numPr>
          <w:numId w:val="0"/>
        </w:numPr>
        <w:spacing w:line="360" w:lineRule="auto"/>
        <w:ind w:firstLine="640" w:firstLineChars="200"/>
        <w:rPr>
          <w:rFonts w:hint="eastAsia" w:ascii="Times New Roman" w:hAnsi="Times New Roman" w:eastAsia="黑体" w:cs="Times New Roman"/>
          <w:sz w:val="28"/>
          <w:szCs w:val="28"/>
          <w:lang w:eastAsia="zh-CN"/>
        </w:rPr>
      </w:pPr>
      <w:r>
        <w:rPr>
          <w:rFonts w:hint="eastAsia" w:ascii="仿宋" w:hAnsi="仿宋" w:eastAsia="仿宋" w:cs="H-SS9-PK74820000a48-Identity-H"/>
          <w:kern w:val="0"/>
          <w:sz w:val="32"/>
          <w:szCs w:val="32"/>
          <w:lang w:val="en-US" w:eastAsia="zh-CN"/>
        </w:rPr>
        <w:t>（3）住院病历、医疗费发票，证明住院时间，治疗费金额</w:t>
      </w:r>
      <w:r>
        <w:rPr>
          <w:rFonts w:hint="eastAsia" w:ascii="仿宋" w:hAnsi="仿宋" w:eastAsia="仿宋"/>
          <w:color w:val="000000"/>
          <w:kern w:val="0"/>
          <w:sz w:val="32"/>
          <w:szCs w:val="32"/>
          <w:lang w:eastAsia="zh-CN"/>
        </w:rPr>
        <w:t>；</w:t>
      </w:r>
    </w:p>
    <w:p>
      <w:pPr>
        <w:numPr>
          <w:numId w:val="0"/>
        </w:numPr>
        <w:spacing w:line="360" w:lineRule="auto"/>
        <w:ind w:firstLine="640" w:firstLineChars="200"/>
        <w:rPr>
          <w:rFonts w:hint="eastAsia" w:ascii="Times New Roman" w:hAnsi="Times New Roman" w:eastAsia="黑体" w:cs="Times New Roman"/>
          <w:sz w:val="28"/>
          <w:szCs w:val="28"/>
          <w:lang w:eastAsia="zh-CN"/>
        </w:rPr>
      </w:pP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lang w:val="en-US" w:eastAsia="zh-CN"/>
        </w:rPr>
        <w:t>4</w:t>
      </w:r>
      <w:r>
        <w:rPr>
          <w:rFonts w:hint="eastAsia" w:ascii="仿宋" w:hAnsi="仿宋" w:eastAsia="仿宋"/>
          <w:color w:val="000000"/>
          <w:kern w:val="0"/>
          <w:sz w:val="32"/>
          <w:szCs w:val="32"/>
          <w:lang w:eastAsia="zh-CN"/>
        </w:rPr>
        <w:t>）户口本，证明被扶养人情况；</w:t>
      </w:r>
    </w:p>
    <w:p>
      <w:pPr>
        <w:numPr>
          <w:numId w:val="0"/>
        </w:numPr>
        <w:spacing w:line="360" w:lineRule="auto"/>
        <w:ind w:firstLine="640" w:firstLineChars="200"/>
        <w:rPr>
          <w:rFonts w:hint="eastAsia" w:ascii="Times New Roman" w:hAnsi="Times New Roman" w:eastAsia="黑体" w:cs="Times New Roman"/>
          <w:sz w:val="28"/>
          <w:szCs w:val="28"/>
          <w:lang w:eastAsia="zh-CN"/>
        </w:rPr>
      </w:pP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lang w:eastAsia="zh-CN"/>
        </w:rPr>
        <w:t>）购车发票，证明车辆损失情况。</w:t>
      </w:r>
    </w:p>
    <w:p>
      <w:pPr>
        <w:spacing w:line="360" w:lineRule="auto"/>
        <w:ind w:firstLine="560" w:firstLineChars="20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val="en-US" w:eastAsia="zh-CN"/>
        </w:rPr>
        <w:t>3.</w:t>
      </w:r>
      <w:r>
        <w:rPr>
          <w:rFonts w:hint="eastAsia" w:ascii="Times New Roman" w:hAnsi="Times New Roman" w:eastAsia="黑体" w:cs="Times New Roman"/>
          <w:sz w:val="28"/>
          <w:szCs w:val="28"/>
          <w:lang w:eastAsia="zh-CN"/>
        </w:rPr>
        <w:t>一审裁判理由</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olor w:val="000000"/>
          <w:kern w:val="0"/>
          <w:sz w:val="32"/>
          <w:szCs w:val="32"/>
          <w:lang w:eastAsia="zh-CN"/>
        </w:rPr>
        <w:t>重庆市丰都县人民法院审理</w:t>
      </w:r>
      <w:r>
        <w:rPr>
          <w:rFonts w:hint="eastAsia" w:ascii="仿宋" w:hAnsi="仿宋" w:eastAsia="仿宋"/>
          <w:color w:val="000000"/>
          <w:kern w:val="0"/>
          <w:sz w:val="32"/>
          <w:szCs w:val="32"/>
        </w:rPr>
        <w:t>认为，</w:t>
      </w:r>
      <w:r>
        <w:rPr>
          <w:rFonts w:hint="eastAsia" w:ascii="仿宋" w:hAnsi="仿宋" w:eastAsia="仿宋" w:cs="H-SS9-PK74820000a48-Identity-H"/>
          <w:kern w:val="0"/>
          <w:sz w:val="32"/>
          <w:szCs w:val="32"/>
          <w:lang w:eastAsia="zh-CN"/>
        </w:rPr>
        <w:t>原被告争议的焦点是：一、责任主体问题；二、原告损失金额的确定等问题</w:t>
      </w:r>
      <w:r>
        <w:rPr>
          <w:rFonts w:hint="eastAsia" w:ascii="仿宋" w:hAnsi="仿宋" w:eastAsia="仿宋" w:cs="H-SS9-PK74820000a48-Identity-H"/>
          <w:kern w:val="0"/>
          <w:sz w:val="32"/>
          <w:szCs w:val="32"/>
        </w:rPr>
        <w:t>。</w:t>
      </w:r>
    </w:p>
    <w:p>
      <w:pPr>
        <w:numPr>
          <w:ilvl w:val="0"/>
          <w:numId w:val="3"/>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责任主体问题。</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郎鸿</w:t>
      </w:r>
      <w:r>
        <w:rPr>
          <w:rFonts w:hint="eastAsia" w:ascii="仿宋" w:hAnsi="仿宋" w:eastAsia="仿宋" w:cs="E-BZ9-PK74888-Identity-H"/>
          <w:kern w:val="0"/>
          <w:sz w:val="32"/>
          <w:szCs w:val="32"/>
          <w:lang w:eastAsia="zh-CN"/>
        </w:rPr>
        <w:t>以被告</w:t>
      </w:r>
      <w:r>
        <w:rPr>
          <w:rFonts w:hint="eastAsia" w:ascii="仿宋" w:hAnsi="仿宋" w:eastAsia="仿宋" w:cs="SSJ-PK74820000a3c-Identity-H"/>
          <w:kern w:val="0"/>
          <w:sz w:val="32"/>
          <w:szCs w:val="32"/>
        </w:rPr>
        <w:t>丰都县交通行政执法</w:t>
      </w:r>
      <w:r>
        <w:rPr>
          <w:rFonts w:hint="eastAsia" w:ascii="仿宋" w:hAnsi="仿宋" w:eastAsia="仿宋" w:cs="SSJ-PK74820000a3c-Identity-H"/>
          <w:kern w:val="0"/>
          <w:sz w:val="32"/>
          <w:szCs w:val="32"/>
          <w:lang w:eastAsia="zh-CN"/>
        </w:rPr>
        <w:t>支</w:t>
      </w:r>
      <w:r>
        <w:rPr>
          <w:rFonts w:hint="eastAsia" w:ascii="仿宋" w:hAnsi="仿宋" w:eastAsia="仿宋" w:cs="SSJ-PK74820000a3c-Identity-H"/>
          <w:kern w:val="0"/>
          <w:sz w:val="32"/>
          <w:szCs w:val="32"/>
        </w:rPr>
        <w:t>队</w:t>
      </w:r>
      <w:r>
        <w:rPr>
          <w:rFonts w:hint="eastAsia" w:ascii="仿宋" w:hAnsi="仿宋" w:eastAsia="仿宋" w:cs="SSJ-PK74820000a3c-Identity-H"/>
          <w:kern w:val="0"/>
          <w:sz w:val="32"/>
          <w:szCs w:val="32"/>
          <w:lang w:eastAsia="zh-CN"/>
        </w:rPr>
        <w:t>对事故发生时</w:t>
      </w:r>
      <w:r>
        <w:rPr>
          <w:rFonts w:hint="eastAsia" w:ascii="仿宋" w:hAnsi="仿宋" w:eastAsia="仿宋" w:cs="H-SS9-PK74820000a48-Identity-H"/>
          <w:kern w:val="0"/>
          <w:sz w:val="32"/>
          <w:szCs w:val="32"/>
          <w:lang w:val="en-US" w:eastAsia="zh-CN"/>
        </w:rPr>
        <w:t>撞击的电线杆有民事上管理义务为由，提出赔偿请求，从原告举示的证据看，该被告对事故发生路段的电线杆无民事上的权利义务，并非民事上的管理义务人，相应无民事责任，为此不应承担民事赔偿责任，该被告辩称不应承担民事责任的理由成立，本院予以采纳。如原告认为存在行政上的管理责任，不属于本案审理范围，可另案向有管辖权的人民法院提起行政诉讼，由此原告对该被告提出的诉讼请求依法不能成立。就原告</w:t>
      </w:r>
      <w:r>
        <w:rPr>
          <w:rFonts w:hint="eastAsia" w:ascii="仿宋" w:hAnsi="仿宋" w:eastAsia="仿宋" w:cs="E-BZ9-PK74888-Identity-H"/>
          <w:kern w:val="0"/>
          <w:sz w:val="32"/>
          <w:szCs w:val="32"/>
        </w:rPr>
        <w:t>郎鸿</w:t>
      </w:r>
      <w:r>
        <w:rPr>
          <w:rFonts w:hint="eastAsia" w:ascii="仿宋" w:hAnsi="仿宋" w:eastAsia="仿宋" w:cs="E-BZ9-PK74888-Identity-H"/>
          <w:kern w:val="0"/>
          <w:sz w:val="32"/>
          <w:szCs w:val="32"/>
          <w:lang w:eastAsia="zh-CN"/>
        </w:rPr>
        <w:t>对被告</w:t>
      </w:r>
      <w:r>
        <w:rPr>
          <w:rFonts w:hint="eastAsia" w:ascii="仿宋" w:hAnsi="仿宋" w:eastAsia="仿宋" w:cs="SSJ-PK74820000a3c-Identity-H"/>
          <w:kern w:val="0"/>
          <w:sz w:val="32"/>
          <w:szCs w:val="32"/>
        </w:rPr>
        <w:t>移动</w:t>
      </w:r>
      <w:r>
        <w:rPr>
          <w:rFonts w:hint="eastAsia" w:ascii="仿宋" w:hAnsi="仿宋" w:eastAsia="仿宋" w:cs="SSJ-PK74820000a3c-Identity-H"/>
          <w:kern w:val="0"/>
          <w:sz w:val="32"/>
          <w:szCs w:val="32"/>
          <w:lang w:eastAsia="zh-CN"/>
        </w:rPr>
        <w:t>丰都分公司提出的请求看，该被告虽系事故发生时</w:t>
      </w:r>
      <w:r>
        <w:rPr>
          <w:rFonts w:hint="eastAsia" w:ascii="仿宋" w:hAnsi="仿宋" w:eastAsia="仿宋" w:cs="H-SS9-PK74820000a48-Identity-H"/>
          <w:kern w:val="0"/>
          <w:sz w:val="32"/>
          <w:szCs w:val="32"/>
          <w:lang w:val="en-US" w:eastAsia="zh-CN"/>
        </w:rPr>
        <w:t>撞击的电线杆的管理义务人，但该被告安设的电线杆并不在行车道上，而是在道路边上，也没有脱落、倒塌等情况造成行车障碍，影响车辆通行，同时从事故发生的因果关系看，系原告</w:t>
      </w:r>
      <w:r>
        <w:rPr>
          <w:rFonts w:hint="eastAsia" w:ascii="仿宋" w:hAnsi="仿宋" w:eastAsia="仿宋" w:cs="E-BZ9-PK74888-Identity-H"/>
          <w:kern w:val="0"/>
          <w:sz w:val="32"/>
          <w:szCs w:val="32"/>
        </w:rPr>
        <w:t>郎鸿</w:t>
      </w:r>
      <w:r>
        <w:rPr>
          <w:rFonts w:hint="eastAsia" w:ascii="仿宋" w:hAnsi="仿宋" w:eastAsia="仿宋" w:cs="E-BZ9-PK74888-Identity-H"/>
          <w:kern w:val="0"/>
          <w:sz w:val="32"/>
          <w:szCs w:val="32"/>
          <w:lang w:eastAsia="zh-CN"/>
        </w:rPr>
        <w:t>违规操作，造成</w:t>
      </w:r>
      <w:r>
        <w:rPr>
          <w:rFonts w:hint="eastAsia" w:ascii="仿宋" w:hAnsi="仿宋" w:eastAsia="仿宋" w:cs="H-SS9-PK74820000a48-Identity-H"/>
          <w:kern w:val="0"/>
          <w:sz w:val="32"/>
          <w:szCs w:val="32"/>
          <w:lang w:val="en-US" w:eastAsia="zh-CN"/>
        </w:rPr>
        <w:t>渝DU3020号摩托车在无法控制的情况下，加速撞击在电线杆上造成的损害，即使没有电线杆的存在，此时的渝DU3020号摩托车仍然会撞击在该路段边沟的其他物体上造成损害，甚至可能导致更为严重的损害，因此原告的损害系自己操作不当引起，与被告</w:t>
      </w:r>
      <w:r>
        <w:rPr>
          <w:rFonts w:hint="eastAsia" w:ascii="仿宋" w:hAnsi="仿宋" w:eastAsia="仿宋" w:cs="SSJ-PK74820000a3c-Identity-H"/>
          <w:kern w:val="0"/>
          <w:sz w:val="32"/>
          <w:szCs w:val="32"/>
        </w:rPr>
        <w:t>移动丰都分公司</w:t>
      </w:r>
      <w:r>
        <w:rPr>
          <w:rFonts w:hint="eastAsia" w:ascii="仿宋" w:hAnsi="仿宋" w:eastAsia="仿宋" w:cs="SSJ-PK74820000a3c-Identity-H"/>
          <w:kern w:val="0"/>
          <w:sz w:val="32"/>
          <w:szCs w:val="32"/>
          <w:lang w:eastAsia="zh-CN"/>
        </w:rPr>
        <w:t>对该电线杆的管理行为之间不存在因果关系，由此，</w:t>
      </w:r>
      <w:r>
        <w:rPr>
          <w:rFonts w:hint="eastAsia" w:ascii="仿宋" w:hAnsi="仿宋" w:eastAsia="仿宋" w:cs="H-SS9-PK74820000a48-Identity-H"/>
          <w:kern w:val="0"/>
          <w:sz w:val="32"/>
          <w:szCs w:val="32"/>
          <w:lang w:val="en-US" w:eastAsia="zh-CN"/>
        </w:rPr>
        <w:t>重庆市丰都县公安局交通巡逻警察大队认定，“弯道……超车所致，</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在此次事故中为全部过错，应负事故的全部责任”的分析认定正确。综上分析，被告</w:t>
      </w:r>
      <w:r>
        <w:rPr>
          <w:rFonts w:hint="eastAsia" w:ascii="仿宋" w:hAnsi="仿宋" w:eastAsia="仿宋" w:cs="SSJ-PK74820000a3c-Identity-H"/>
          <w:kern w:val="0"/>
          <w:sz w:val="32"/>
          <w:szCs w:val="32"/>
        </w:rPr>
        <w:t>移动丰都分公司</w:t>
      </w:r>
      <w:r>
        <w:rPr>
          <w:rFonts w:hint="eastAsia" w:ascii="仿宋" w:hAnsi="仿宋" w:eastAsia="仿宋" w:cs="SSJ-PK74820000a3c-Identity-H"/>
          <w:kern w:val="0"/>
          <w:sz w:val="32"/>
          <w:szCs w:val="32"/>
          <w:lang w:eastAsia="zh-CN"/>
        </w:rPr>
        <w:t>在该次道路交通事故中无过错，管理行为也非造成原告损害发生的原因，依法不应承担对原告的损害赔偿责任。原告的损害应由原告自己承担民事责任。另原告主张行车道属于公共场所的理由，根据《</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侵权责任法》第四十八规定，行车道并非公共场所，不适用该法第三十七条规定，其主张理由不能成立。</w:t>
      </w:r>
    </w:p>
    <w:p>
      <w:pPr>
        <w:numPr>
          <w:ilvl w:val="0"/>
          <w:numId w:val="3"/>
        </w:numPr>
        <w:autoSpaceDE w:val="0"/>
        <w:autoSpaceDN w:val="0"/>
        <w:adjustRightInd w:val="0"/>
        <w:ind w:firstLine="640" w:firstLineChars="200"/>
        <w:rPr>
          <w:rFonts w:hint="eastAsia" w:ascii="仿宋" w:hAnsi="仿宋" w:eastAsia="仿宋"/>
          <w:color w:val="000000"/>
          <w:sz w:val="32"/>
          <w:szCs w:val="32"/>
        </w:rPr>
      </w:pPr>
      <w:r>
        <w:rPr>
          <w:rFonts w:hint="eastAsia" w:ascii="仿宋" w:hAnsi="仿宋" w:eastAsia="仿宋" w:cs="H-SS9-PK74820000a48-Identity-H"/>
          <w:kern w:val="0"/>
          <w:sz w:val="32"/>
          <w:szCs w:val="32"/>
          <w:lang w:eastAsia="zh-CN"/>
        </w:rPr>
        <w:t>原告损失金额的确定等问题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1.医疗费据实计算为53001.48元；2.护理费计算为，120元/天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40</w:t>
      </w:r>
      <w:r>
        <w:rPr>
          <w:rFonts w:hint="eastAsia" w:ascii="仿宋" w:hAnsi="仿宋" w:eastAsia="仿宋" w:cs="H-SS9-PK74820000a48-Identity-H"/>
          <w:kern w:val="0"/>
          <w:sz w:val="32"/>
          <w:szCs w:val="32"/>
          <w:lang w:val="en-US" w:eastAsia="zh-CN"/>
        </w:rPr>
        <w:t>天（住院天数）=4800元；3.误工费计算为，100元/天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70</w:t>
      </w:r>
      <w:r>
        <w:rPr>
          <w:rFonts w:hint="eastAsia" w:ascii="仿宋" w:hAnsi="仿宋" w:eastAsia="仿宋" w:cs="H-SS9-PK74820000a48-Identity-H"/>
          <w:kern w:val="0"/>
          <w:sz w:val="32"/>
          <w:szCs w:val="32"/>
          <w:lang w:val="en-US" w:eastAsia="zh-CN"/>
        </w:rPr>
        <w:t>天=7000元；4.营养费酌定为500元；5.交通费酌定为300元；6.残疾辅助器具费，原告未举示相关证据不予计算；7.后继治疗费，原告未举示相关证据不予计算；8.残疾赔偿金，原告未举示相关证据不予计算；9.被扶养人生活费，原告未举示相关伤残的证据不予计算；10.精神损害抚慰金，系原告自己过错造成损害，不予支持；11.车辆损失费，原告未举示实际损失的证据不予计算，12.住院伙食补助费原告未请求不予计算，以上共计损失65601.48元。</w:t>
      </w:r>
    </w:p>
    <w:p>
      <w:pPr>
        <w:snapToGrid w:val="0"/>
        <w:spacing w:line="560" w:lineRule="exact"/>
        <w:ind w:firstLine="640" w:firstLineChars="200"/>
        <w:rPr>
          <w:rFonts w:hint="eastAsia" w:ascii="仿宋" w:hAnsi="仿宋" w:eastAsia="黑体"/>
          <w:color w:val="000000"/>
          <w:sz w:val="32"/>
          <w:szCs w:val="32"/>
          <w:lang w:eastAsia="zh-CN"/>
        </w:rPr>
      </w:pPr>
      <w:r>
        <w:rPr>
          <w:rFonts w:hint="eastAsia" w:ascii="黑体" w:hAnsi="黑体" w:eastAsia="黑体" w:cs="黑体"/>
          <w:color w:val="000000"/>
          <w:sz w:val="32"/>
          <w:szCs w:val="32"/>
          <w:lang w:val="en-US" w:eastAsia="zh-CN"/>
        </w:rPr>
        <w:t>4.</w:t>
      </w:r>
      <w:r>
        <w:rPr>
          <w:rFonts w:hint="eastAsia" w:ascii="黑体" w:hAnsi="黑体" w:eastAsia="黑体" w:cs="黑体"/>
          <w:color w:val="000000"/>
          <w:sz w:val="32"/>
          <w:szCs w:val="32"/>
          <w:lang w:eastAsia="zh-CN"/>
        </w:rPr>
        <w:t>一审定案结论</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olor w:val="000000"/>
          <w:sz w:val="32"/>
          <w:szCs w:val="32"/>
          <w:lang w:eastAsia="zh-CN"/>
        </w:rPr>
        <w:t>重庆市丰都县人民法院</w:t>
      </w:r>
      <w:r>
        <w:rPr>
          <w:rFonts w:hint="eastAsia" w:ascii="仿宋" w:hAnsi="仿宋" w:eastAsia="仿宋"/>
          <w:color w:val="00000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第八十五条、《最高人民法院关于审理人身损害赔偿案件适用法律若干问题的解释》第十七条、第十九条、第二十条、第二十一条、第二十二条、第二十四条、第二十八条、</w:t>
      </w:r>
      <w:r>
        <w:rPr>
          <w:rFonts w:hint="eastAsia" w:ascii="仿宋" w:hAnsi="仿宋" w:eastAsia="仿宋" w:cs="H-SS9-PK74820000a48-Identity-H"/>
          <w:kern w:val="0"/>
          <w:sz w:val="32"/>
          <w:szCs w:val="32"/>
        </w:rPr>
        <w:t>《最高人民法院关于适用〈中华人民共和国民事诉讼法〉的解释》第九十条第二款、第九十一条</w:t>
      </w:r>
      <w:r>
        <w:rPr>
          <w:rFonts w:hint="eastAsia" w:ascii="仿宋" w:hAnsi="仿宋" w:eastAsia="仿宋" w:cs="H-SS9-PK74820000a48-Identity-H"/>
          <w:kern w:val="0"/>
          <w:sz w:val="32"/>
          <w:szCs w:val="32"/>
          <w:lang w:eastAsia="zh-CN"/>
        </w:rPr>
        <w:t>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的诉讼请求。</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900</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450元，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郎鸿负担</w:t>
      </w:r>
      <w:r>
        <w:rPr>
          <w:rFonts w:hint="eastAsia" w:ascii="仿宋" w:hAnsi="仿宋" w:eastAsia="仿宋" w:cs="H-SS9-PK74820000a48-Identity-H"/>
          <w:kern w:val="0"/>
          <w:sz w:val="32"/>
          <w:szCs w:val="32"/>
        </w:rPr>
        <w:t>。</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　</w:t>
      </w:r>
    </w:p>
    <w:p>
      <w:pPr>
        <w:numPr>
          <w:ilvl w:val="0"/>
          <w:numId w:val="4"/>
        </w:numPr>
        <w:spacing w:line="360" w:lineRule="auto"/>
        <w:ind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二审诉辩主张</w:t>
      </w:r>
    </w:p>
    <w:p>
      <w:pPr>
        <w:numPr>
          <w:numId w:val="0"/>
        </w:numPr>
        <w:spacing w:line="360" w:lineRule="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 xml:space="preserve">    上诉人（原审原告）郎鸿诉称：撤销原判，依法改判支持上诉人一审诉讼 请求。理由为：1.丰都交通执法支队可以作为本案民事主体。 行政机关履行职责过程中侵害他人的合法权益，受害人可以提 起行政诉讼要求国家赔偿，但法律并不禁止其可以作为民事义 务赔偿主体，故郎鸿有权起诉丰都交通执法支队在本案中承担 民事责任。一审判决认定丰都交通执法支队不是本案适格主体， 适用法律错误。2.中国移动丰都分公司将电线杆设置在案涉公 路上，系电线杆的所有人及管理人。事故路段属于丰都交通执 法支队履职范围，上述两个主体均未履行各自职责，对本案事 故的发生均有过错，故应当依法承担赔责任。 </w:t>
      </w:r>
    </w:p>
    <w:p>
      <w:pPr>
        <w:numPr>
          <w:numId w:val="0"/>
        </w:numPr>
        <w:spacing w:line="360" w:lineRule="auto"/>
        <w:ind w:firstLine="560" w:firstLineChars="200"/>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 xml:space="preserve">被上诉人（原审被告）中国移动丰都分公司辩称，电线杆安置在安全行 驶线外，不属正常行驶范围，并且电线杆的设置与本案事故的 发生没有关联性。一审判决正确，请求二审法院维持原判。 </w:t>
      </w:r>
    </w:p>
    <w:p>
      <w:pPr>
        <w:numPr>
          <w:numId w:val="0"/>
        </w:numPr>
        <w:spacing w:line="360" w:lineRule="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被上诉人丰都交通执法支队（原审被告）辩称，丰都交通执法支队属 于丰都县交通局内设执法机构，仅对违反交通法规行为行使处 罚权。丰都交通执法支队对案涉公路不具有管理权限，不是公 路管理人，不应当作为本案民事责任主体。郎鸿驾驶车辆发生交通事故，系其驾驶不当所致，与电线杆的设置没有因果关系。 一审判决认定事实清楚，适用法律正确，请求驳回上诉，维持 原判。 郎鸿一审起诉请求：判令中国移动丰都分公司、丰都交通 执法支队赔偿郎鸿医疗费、残疾赔偿金、误工费、护理费、被 扶养人生活费等共计44008.07元，诉讼费的20%由中国移动丰都 分公司、丰都交通执法支队负担。</w:t>
      </w:r>
    </w:p>
    <w:p>
      <w:pPr>
        <w:numPr>
          <w:ilvl w:val="0"/>
          <w:numId w:val="4"/>
        </w:numPr>
        <w:spacing w:line="360" w:lineRule="auto"/>
        <w:ind w:left="0" w:leftChars="0" w:firstLine="560" w:firstLineChars="200"/>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二审事实与证据</w:t>
      </w:r>
    </w:p>
    <w:p>
      <w:pPr>
        <w:numPr>
          <w:numId w:val="0"/>
        </w:numPr>
        <w:spacing w:line="360" w:lineRule="auto"/>
        <w:ind w:leftChars="200"/>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 xml:space="preserve">   二审中，中国移动丰都分公司出示了以下证据：1.S406线 彭水县高谷镇至丰都县武平镇段二级公路改造工程招标公告、 中标公示，拟证明涉案公路改造时间在电线杆设置之后，无任 何部门要求中国移动丰都分公司移除电线杆，电线杆设置无过 错。2.中国移动丰都分公司传输工程竣工图。证明案涉电线杆 设置已通过竣工验收。上诉人郎鸿质证认为，对于以上两份证 据，请二审法院综合认定。被上诉人丰都交通执法支队质证认 为，对证据1的真实性无异议，但招标公告的公路与案涉公路之 间无关联性；对证据2的真实性无异议，但缺乏关联性。本院审 核认为，对证据1的真实性予以确认，对关联性不予确认；对证 据2的真实性、合法性、关联性均予以确认。 本院二审查明的事实与一审法院查明的事实相同。 </w:t>
      </w:r>
    </w:p>
    <w:p>
      <w:pPr>
        <w:numPr>
          <w:ilvl w:val="0"/>
          <w:numId w:val="4"/>
        </w:numPr>
        <w:spacing w:line="360" w:lineRule="auto"/>
        <w:ind w:left="0" w:leftChars="0" w:firstLine="560" w:firstLineChars="200"/>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二审判案理由</w:t>
      </w:r>
    </w:p>
    <w:p>
      <w:pPr>
        <w:numPr>
          <w:numId w:val="0"/>
        </w:numPr>
        <w:spacing w:line="360" w:lineRule="auto"/>
        <w:ind w:leftChars="200"/>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 xml:space="preserve">  本院认为，上诉人郎鸿驾驶车辆发生交通事故，经交警调 查，查明此次事故的原因为“郎鸿驾驶机动车违法超车且未能 确保安全驾驶，其违法行为及过错是造成此次事故的直接原 因”，并据此认定“郎鸿在此次事故中为全部过错，应负此次 事故的全部责任”，因此，对于该次事故所导致的损失，应当 由郎鸿本人承担全部责任。对于丰都交通执法支队、中国移动丰都分公司应否承担民事赔偿责任的问题，应当根据相关法律 规定予以考量。郎鸿主张根据《中华人民共和国侵权责任法》 第三十七条“宾馆、商场、银行、车站、娱乐场所等公共场所 的管理人或者群众性活动的组织者，未尽到安全保障义务，造 成他人损害的，应当承担侵权责任。因第三人行为造成他人损 害的，由第三人承担侵权责任；管理人或者组织者未尽到安全 保障义务的，承担相应的补充责任”的规定，中国移动丰都分 公司、丰都交通执法支队作为管理人因未尽到安全保障义务， 应承担补充责任。本院认为，适用上述法条，应当具备以下条 件：1.义务主体应当是公共场所的管理人或者群众性活动的组 织者；2.义务主体未尽到安全保障义务；3.未尽到安全保障义 务与损害结果之间存在法律上的因果关系。本案中，首先，案 涉公路不是公共场所；其次，案涉电线杆虽然系中国移动丰都 分公司设置，但该电线杆设置于公路正常行驶区域外，现无证 据证明该电线杆的设置违反相关技术规范，即使存在违法性且 与本案事故发生之间无关联性；故对郎鸿要求中国移动丰都分 公司承担安全保障义务的理由，无相应事实依据及法律依据， 本院不予支持。对于丰都交通执法支队是否应当在本案中承担 民事责任的问题，因丰都交通执法支队系行政执法机构，其行 政职责仅限于法律授权范围内。丰都交通执法支队对案涉电线 杆处的公路无管理义务，不属于管理人，故其亦不应当承担民 事责任。综上，郎鸿的上诉请求均不能成立，本院不予支持。 原审判决认定事实清楚，适用法律正确，应予以维持。</w:t>
      </w:r>
    </w:p>
    <w:p>
      <w:pPr>
        <w:numPr>
          <w:ilvl w:val="0"/>
          <w:numId w:val="4"/>
        </w:numPr>
        <w:spacing w:line="360" w:lineRule="auto"/>
        <w:ind w:left="0" w:leftChars="0" w:firstLine="560" w:firstLineChars="200"/>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二审定案结论</w:t>
      </w:r>
    </w:p>
    <w:p>
      <w:pPr>
        <w:numPr>
          <w:numId w:val="0"/>
        </w:numPr>
        <w:spacing w:line="360" w:lineRule="auto"/>
        <w:ind w:leftChars="200"/>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 xml:space="preserve">  依照《中 华人民共和国民事诉讼法》第一百七十条第一款第一项规定， 判决如下： 驳回上诉，维持原判。 本案二审案件受理费900元，由上诉人郎鸿负担。 本判决为终审判决。 </w:t>
      </w:r>
    </w:p>
    <w:p>
      <w:pPr>
        <w:spacing w:line="360" w:lineRule="auto"/>
        <w:ind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（七）解说</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本案涉及行政侵权责任与民事侵权责任交叉与处理问题，公共场所的认定与管理人责任的承担等问题，下面就相关问题进一步进行法理分析，以解决行民交叉侵权问题的裁判方法。</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行政侵权与民事侵权的区分。行政行为是指享有行政权能的组织对行政相对人所作的法律行为。不具有行政权能的组织所作的行为，具有行政权能的组织非运用行政权所作的行为或者非针对行政相对人所作的行为，不具有法律意义的事实行为一般不属于行政行为。[</w:t>
      </w:r>
      <w:r>
        <w:rPr>
          <w:rFonts w:hint="eastAsia" w:ascii="黑体" w:hAnsi="黑体" w:eastAsia="黑体" w:cs="黑体"/>
          <w:color w:val="000000"/>
          <w:sz w:val="28"/>
          <w:szCs w:val="28"/>
          <w:lang w:eastAsia="zh-CN"/>
        </w:rPr>
        <w:footnoteReference w:id="0"/>
      </w:r>
      <w:r>
        <w:rPr>
          <w:rFonts w:hint="eastAsia" w:ascii="黑体" w:hAnsi="黑体" w:eastAsia="黑体" w:cs="黑体"/>
          <w:color w:val="000000"/>
          <w:sz w:val="28"/>
          <w:szCs w:val="28"/>
          <w:lang w:eastAsia="zh-CN"/>
        </w:rPr>
        <w:t>]行政行为有多种分类方法，以行政行为对行政相对人是否有利可分为授益与不利行政行为；以其是否改变法律状态（权利义务）为标准可以分为作为行政行为和不作为行政行为，前者指行政主体积极改变法律状态的行政行为，后者指行政主体消极维护现有法律状态，通常表现为不履行法定职责的行政行为；按照行政相对人是否特定为标准，行政行为可以分为抽象行政行为与具体行政行为，具体行政行为又分为行政处罚、行政强制等，行政强制包括强制拆迁、罚款等。其他分类方法因与本案关联性不大这里不作讨论。行政行为的构成要件有行政权能的存在、行政权的实际运用、法律效果的存在、表示行为的存在四个要素。合法行政行为必须具备行为主体合法、行为权限合法、行为内容合法、行为程序合法、行为形式合法五个要件，其中缺少一个要件可能就成为违法行政行为或者效力待定行政行为或者说是有瑕疵的行政行为。行政侵权行为就是违法行政行为产生的一种侵权行为。行政侵权行为指国家行政机关及其工作人员违法行使职权，侵犯公民、法人、或者其他组织的合法权益造成损害的行为。行政侵权行为的特点，一是行政机关及其工作人员有违法行使职权的行为，包括作为与不作为；二是违法行使职权的行为侵犯了公民、法人、或者其他组织的合法权益；三是损害结果实际发生或者危险已经存在。仅仅理解行政侵权的特点还难以在审判实践中进行责任判定，还必须把握行政侵权责任的归责原则。行政责任归责原则从世界各国行政法发展的历史考量，来源于民事责任归责原则，即过错责任原则、无过错责任原则、公平责任原则，但在行政法的发展过程中有所变化，增加了违法责任原则，各国在制定国家赔偿法或者判例法时有所选择，我国《国家赔偿法》采用的是“违法责任原则”。这里的“违法”一般应当从广义上理解，违反明确的法律规范，违背法律原则，滥用自由裁量权，没履行对特定人的法律义务等行政行为都属于“违法行为”。违法行政归责原则的构成要件有四个，行为主体系行政机关（包括工作人员）、执行职务的行为违法、有损害事实、执行职务的违法行为与损害之间存在因果关系。这里的因果关系一般来说指必然因果关系，但在审判实践中相当因果关系也常常被采纳。民事侵权行为是指民事主体行为人由于过错，或者在法律规定的场合不问过错，违反法律规定的义务，以作为或者不作为的方式，侵害他人人身权利和财产权利及其利益，依法应当承担损害赔偿等法律后果的行为。[</w:t>
      </w:r>
      <w:r>
        <w:rPr>
          <w:rFonts w:hint="eastAsia" w:ascii="黑体" w:hAnsi="黑体" w:eastAsia="黑体" w:cs="黑体"/>
          <w:color w:val="000000"/>
          <w:sz w:val="28"/>
          <w:szCs w:val="28"/>
          <w:lang w:eastAsia="zh-CN"/>
        </w:rPr>
        <w:footnoteReference w:id="1"/>
      </w:r>
      <w:r>
        <w:rPr>
          <w:rFonts w:hint="eastAsia" w:ascii="黑体" w:hAnsi="黑体" w:eastAsia="黑体" w:cs="黑体"/>
          <w:color w:val="000000"/>
          <w:sz w:val="28"/>
          <w:szCs w:val="28"/>
          <w:lang w:eastAsia="zh-CN"/>
        </w:rPr>
        <w:t>]我国侵权责任法采过错责任、过错推定责任、无过错责任归责原则，其中过错责任归责原则是主要的归责原则。侵权责任的构成要件有四个，即违法行为、损害事实、因果关系、过错。因果关系是指违法行为及过错与损害事实之间存在引起与被引起的关系，前者是原因，后者是结果。符合以上构成要件才承担侵权民事责任。以上不难看出行政侵权的归责原则与民事侵权行为的归责原则在我国法律体系上有一定联系也有区别，就民事侵权行为经常适用的过错责任归责原则要件比较，行为主体存在“不平等”与“平等”差别；行为内容的“违法”与“过错”的差别，同时，诉讼的体系上存在行政诉讼和行政复议与民事诉讼当然选择差别，内容上的举证责任差别（民事诉讼以原告负举证责任为一般原则，行政诉讼和行政复议以原告负次要的举证责任，被告负主要的举证责任为原则）。进行体系上区分后，对于单一侵权行为主体的行政或民事的侵权而言，处理方法并不复杂，属于行政侵权行为适用《国家赔偿法》及《行政诉讼法》与《行政复议法》相关规定并结合归责原则及构成要件即可解决问题，属于民事侵权的适用民事实体法与程序法可迎刃而解，然而现实的司法案件并非如此，本文案例就是行政侵权与民事侵权交织的案件，如何处理呢？从现有法律的规范上看，无明确的法律规定，为此还必须从理论上分析整理，才能寻找相应法律方法。</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行政侵权与民事侵权交叉问题的法理分析。行政侵权与民事侵权交叉问题主要体现在两个方面，一是因果关系属性；二是赔偿的程序路径。</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因果关系。现实侵权损害赔偿案件中，引起损害的原因往往不是单一的民事侵权行为，有可能是一个侵权行为既是犯罪行为也是民事侵权行为或者是行政侵权行为；就侵权行为人而言不是一个人的行为引起，而是多个人的行为引起，行为与行为之间存在关联关系。就侵权混合主体而言，有的属于犯罪行为人与民事侵权人的并合，有的属于行政机关与民事侵权人的并合，当然也存在性质相同的主体并合，对于相同性质主体的并合，处理程序上有明确的程序法规定这里不论，只就不同性质混合主体进行分析。就刑事与民事混合而言，刑事责任与民事责任并存，刑事责任承担后同时与民事侵权行为人一并承担民事赔偿责任，法律规定也明确，可以附带民事赔偿，也可以待刑事责任承担后或者承担前与其他民事侵权人一并对受害人按因果关系的性质承担民事赔偿责任，这里也不再赘述。可行政与民事混合主体的侵权情形，由于行政赔偿责任与民事赔偿责任在适用程序法上如何处理，从现有法律规定看，并不明确，必须进行法理上的厘清。理清这个问题，首先应当研究其中的因果关系理论，从行政赔偿的发展上看，历史并不长，仅有一百多年的历史，且从大陆法与普通法两大法系的传统上看，因果关系理论都从民事赔偿的基础理论演变而来，美国的行政赔偿准用的是民事赔偿制度，“联邦侵权赔偿法第</w:t>
      </w:r>
      <w:r>
        <w:rPr>
          <w:rFonts w:hint="eastAsia" w:ascii="黑体" w:hAnsi="黑体" w:eastAsia="黑体" w:cs="黑体"/>
          <w:color w:val="000000"/>
          <w:sz w:val="28"/>
          <w:szCs w:val="28"/>
          <w:lang w:val="en-US" w:eastAsia="zh-CN"/>
        </w:rPr>
        <w:t>1456节（b）规定，国家的赔偿责任适用政府职员行为或者不行为发生对私人在类似情况下规定责任的法律</w:t>
      </w:r>
      <w:r>
        <w:rPr>
          <w:rFonts w:hint="eastAsia" w:ascii="黑体" w:hAnsi="黑体" w:eastAsia="黑体" w:cs="黑体"/>
          <w:color w:val="000000"/>
          <w:sz w:val="28"/>
          <w:szCs w:val="28"/>
          <w:lang w:eastAsia="zh-CN"/>
        </w:rPr>
        <w:t>”[</w:t>
      </w:r>
      <w:r>
        <w:rPr>
          <w:rFonts w:hint="eastAsia" w:ascii="黑体" w:hAnsi="黑体" w:eastAsia="黑体" w:cs="黑体"/>
          <w:color w:val="000000"/>
          <w:sz w:val="28"/>
          <w:szCs w:val="28"/>
          <w:lang w:eastAsia="zh-CN"/>
        </w:rPr>
        <w:footnoteReference w:id="2"/>
      </w:r>
      <w:r>
        <w:rPr>
          <w:rFonts w:hint="eastAsia" w:ascii="黑体" w:hAnsi="黑体" w:eastAsia="黑体" w:cs="黑体"/>
          <w:color w:val="000000"/>
          <w:sz w:val="28"/>
          <w:szCs w:val="28"/>
          <w:lang w:eastAsia="zh-CN"/>
        </w:rPr>
        <w:t>]，只是在程序上适用行政赔偿程序。法国行政赔偿的理论与判例也基本适用的是民事赔偿基础理论，我国的行政赔偿制度借鉴了两大法系的精华部分，并根据中国实际，在主体上做了适当的限制，免除少部分行政主体的赔偿责任，但是就基础的理论来说仍然准用了民法的基础赔偿理论。因果关系理论正是属于赔偿基础理论，应套用民事赔偿的因果关系理论。因果关系是指某一个或一些事实引起或造成了另一个事实时，前者是原因，后者是结果，二者存在因果关系。因果关系有两个层面，第一层面的因果关系是指责任成立的因果关系，考察的是加害行为与损害在客观上有无联系，采用的是“条件说”即，无此行为，必不生此损害，有此行为通常足生此损害，这个因果关系是责任范围因果关系的前提，如不存在，第二层面的责任范围因果关系就不成立，解决的是肇因问题；第二层面的因果关系是指责任范围的因果关系，解决的是赔偿范围大小问题，判断的标准通说采“相当因果关系说”，相当因果关系说来源于德国，[</w:t>
      </w:r>
      <w:r>
        <w:rPr>
          <w:rFonts w:hint="eastAsia" w:ascii="黑体" w:hAnsi="黑体" w:eastAsia="黑体" w:cs="黑体"/>
          <w:color w:val="000000"/>
          <w:sz w:val="28"/>
          <w:szCs w:val="28"/>
          <w:lang w:eastAsia="zh-CN"/>
        </w:rPr>
        <w:footnoteReference w:id="3"/>
      </w:r>
      <w:r>
        <w:rPr>
          <w:rFonts w:hint="eastAsia" w:ascii="黑体" w:hAnsi="黑体" w:eastAsia="黑体" w:cs="黑体"/>
          <w:color w:val="000000"/>
          <w:sz w:val="28"/>
          <w:szCs w:val="28"/>
          <w:lang w:eastAsia="zh-CN"/>
        </w:rPr>
        <w:t>]该说的核心是原因事实与损害结果之间在通常情形下存在可能性，即存在因果关系。因果关系分为单一的因果关系与复数因果关系，单一因果关系是一个原因一个结果，复数因果关系是多个原因与结果存在联系，包括多因一果与多因多果的情形。复数因果关系可分为，共同的因果关系、竞合的因果关系、修补的因果关系、择一的因果关系和假设的因果关系等。共同的因果关系指多个行为人分别实施加害行为，给受害人造成同一损害，其中任何一个加害行为均不足以造成部分或全部损害，系加害行为结合造成，各个加害行为可能是故意，也可能是过失，但各加害人之间没有意思联络，承担责任的方式为按份责任。竞合的因果关系指多个加害行为分别实施了加害行为，给加害人造成同一损害，每一个加害行为都可能造成损害全部，我国侵权责任法规定，承担连带赔偿责任。修补的因果关系指对同一受害人造成损害结果的多个原因依次发生，在先原因所造成的损害后果被在后的原因加以改变而形成的因果关系。我国侵权责任法规定，这种因果关系承担的是按份责任。择一的因果关系是指损害是由于多个行为人中的某个或某些人行为所致，但不能确定具体侵权人的因果关系。我国侵权责任法规定这种共同危险行为产生的损害，行为人承担连带责任。假设的因果关系是指这样的情形，损害已因某一加害人之行为发生了，假设该加害行为不存在，也会因为另外一个与加害人无关的原因而发生，即一个是实际引发损害的加害行为，另一个并未实际发生，但如果真发生，也能造成同一损害，假设的原因可能是第三人的行为，受害人自己的行为或者事件。假设的因果关系不影响赔偿责任的成立，但可影响责任的大小或减轻加害人责任。</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因果关系与责任形态的关系。侵权责任形态是指侵权法律关系当事人承担侵权责任的不同表现形式，所研究的内容是侵权责任在当事人之间分配。侵权责任的一般表现形态可分为自己责任与替代责任、单方责任与双方责任、单独责任和共同责任三个序列，自己责任与替代责任是根据行为人责任承担责任与行为人有特定关系，如未成年子女侵权的责任由监护人承担等；单方责任与双方责任是指加害人与受害人一方的责任或是双方均有责任的问题；单独责任与共同责任是指单独加害人和多数加害人承担的责任形态。单独实施侵权行为，由该行为人承担侵权责任，简单明确，不难理解，但是如果加害人为多人，责任承担就很复杂，可能构成连带责任、按份责任、不真正连带责任、补充责任等。理清以上责任必须明确多数人侵权行为的类型，多数人侵权行为分为共同侵权行为、分别侵权行为、竞合侵权行为三种类型，共同侵权行为是二人以上共同实施侵权，造成他人损害的侵权行为，共同指主观上的意思联络关连或者客观上的关连共同，客观关连指原因上的共同性与不可分性，损害结果同一性，对于共同侵权行为承担的责任为连带责任，所谓连带责任是指每一个加害人单独或部分或整体共同对受害人的损失承担全部责任，加害人内部根据过错与原因力大小承担责任的责任形态。分别侵权行为是指数个行为人分别实施侵权行为，既没有共同故意，也没有共同过失，只是由于各自行为在客观上的联系，造成同一个损害结果的多数人侵权行为。[</w:t>
      </w:r>
      <w:r>
        <w:rPr>
          <w:rFonts w:hint="eastAsia" w:ascii="黑体" w:hAnsi="黑体" w:eastAsia="黑体" w:cs="黑体"/>
          <w:color w:val="000000"/>
          <w:sz w:val="28"/>
          <w:szCs w:val="28"/>
          <w:lang w:eastAsia="zh-CN"/>
        </w:rPr>
        <w:footnoteReference w:id="4"/>
      </w:r>
      <w:r>
        <w:rPr>
          <w:rFonts w:hint="eastAsia" w:ascii="黑体" w:hAnsi="黑体" w:eastAsia="黑体" w:cs="黑体"/>
          <w:color w:val="000000"/>
          <w:sz w:val="28"/>
          <w:szCs w:val="28"/>
          <w:lang w:eastAsia="zh-CN"/>
        </w:rPr>
        <w:t>]分别侵权行为分为典型的分别侵权行为、叠加分别侵权行为、半叠加分别侵权行为三种类型，典型的分别侵权行为的各个侵权行为的原因力大小，过错大小对损害结果可以分割，承担责任是按份责任；叠加分别侵权行为，指各个分别实施的侵权行为对损害结果具有</w:t>
      </w:r>
      <w:r>
        <w:rPr>
          <w:rFonts w:hint="eastAsia" w:ascii="黑体" w:hAnsi="黑体" w:eastAsia="黑体" w:cs="黑体"/>
          <w:color w:val="000000"/>
          <w:sz w:val="28"/>
          <w:szCs w:val="28"/>
          <w:lang w:val="en-US" w:eastAsia="zh-CN"/>
        </w:rPr>
        <w:t>100%原因力，产生的损害结果不可分割，我国《侵权责任法》第11条规定承担连带责任，</w:t>
      </w:r>
      <w:r>
        <w:rPr>
          <w:rFonts w:hint="eastAsia" w:ascii="黑体" w:hAnsi="黑体" w:eastAsia="黑体" w:cs="黑体"/>
          <w:color w:val="000000"/>
          <w:sz w:val="28"/>
          <w:szCs w:val="28"/>
          <w:lang w:eastAsia="zh-CN"/>
        </w:rPr>
        <w:t>半叠加分别侵权行为指介于典型的分别侵权行为与叠加分别侵权行为之间的分别侵权行为，这种分别侵权行为，有的行为对损害结果具有部分原因力，有的行为具有全部原因力，这种侵权行为的行为人对损害重合部分承担连带责任，不重合部分承担按份责任。竞合侵权行为指两个以上的民事主体作为侵权人，有的实施直接侵权行为，与损害结果有直接因果关系，有的实施间接侵权行为，与损害结果具有间接因果关系，行为人承担不真正连带责任的侵权行为形态。所谓不真正连带责任是指受害人选择一个侵权行为人承担全部责任，对于受害人而言请求权消灭，而被选择承担责任的行为人，可以向承担终极责任的行为人追偿的责任形态。</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行民交叉侵权可接受的责任形态及诉讼路径。行政侵权行为与民事侵权行为结合产生一个损害结果，笔者认为可以参照民事侵权的分类方法从类型上进行分类整理，仍然可以分为共同侵权行为、分别侵权行为、竞合侵权行为，一是民事主体与行政主体存在共同故意或者过失的侵权这种交叉行为称为共同侵权行为，承担责任的方式为连带责任；二是民事主体与行政主体分别实施侵权行为，可以再细分为典型的分别侵权行为、叠加分别侵权行为、半叠加分别侵权行为三种类型，承担责任的方式分别为按份责任、连带责任、部分连带责任方式，系类推的民法方法；三是民事主体与行政主体竞合侵权行为，适用不真正连带责任形态的解决路径。之所以借鉴民事侵权的分类解决方法，一是因为行政赔偿与民事赔偿其本质都是对受害人人身权利及财产权利损害的救济，落脚点是同一的；二是救济的目的相同，都是对损失的一种填补；三是行政赔偿的起源是从民事赔偿理论发展而来，前面部分已做了相应的证明，且普通法系对于行政赔偿与民事赔偿的填补形式没有严格的区分，只是规定了部分免除事项，大陆法系虽然在诉讼形式上开动了两架马车，但是最终的赔偿仍然属填平的民法方法；四是只有借鉴民事赔偿责任理论，对于侵权人与受害人之间及侵权行为人之间才能实现公平正义。当然，责任构成与责任承担的理论只是实体法上的理论解决方法，从程序上讲，必定是不同的，因为行政赔偿中的责任确定有一个行政行为违法确认程序，是不能直接融会消解于民事诉讼中的，因此有必要在程序处理上进行必要的研究，达到两种程序的贯通。笔者认为可以从两个方向进行，一是行政侵权主体与民事侵权主体的责任存在连带责任（包括部分连带的情形）形态的，通过行政诉讼附带民事赔偿的诉讼解决方法，通过行政诉讼确认行政违法，附带民事诉讼解决对受害人连带赔偿与行政侵权人与民事侵权人的内部负担大小问题，防止两种诉讼分离，审判组织分离产生的判决结果矛盾，达到公平公正；二是行政侵权主体与民事侵权主体的责任存在连带责任分别实施侵权属于按份责任，但责任大小存在统一划分的，仍然按行政诉讼附带民事赔偿的诉讼解决方法，防止审判组织分离产生的判决冲突；三是行政侵权主体与民事侵权主体的责任属于不真正连带责任的，赋予受害人诉讼选择权，可以选择适用行政赔偿程序，追究行政主体的赔偿责任，待行政赔偿后，行政主体有向终极责任人追偿的权利，也可以首先向民事侵权主体主张民事赔偿，待赔偿后向承担终极责任的责任人追偿，终极责任系行政主体的，适用行政赔偿程序的解决方法，向行政主体追偿，不属于行政主体终极责任的，通过民事诉讼程序向有终极责任的民事侵权主体追偿。</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契入案件的分析。从原告的诉讼请求看，原告选择的是基于被告对电线杆这一构筑物未尽管理义务，导致原告健康权受损的侵权损害责任而提起的诉讼，诉讼请求权来源于我国《侵权责任法》第</w:t>
      </w:r>
      <w:r>
        <w:rPr>
          <w:rFonts w:hint="eastAsia" w:ascii="黑体" w:hAnsi="黑体" w:eastAsia="黑体" w:cs="黑体"/>
          <w:color w:val="000000"/>
          <w:sz w:val="28"/>
          <w:szCs w:val="28"/>
          <w:lang w:val="en-US" w:eastAsia="zh-CN"/>
        </w:rPr>
        <w:t>85</w:t>
      </w:r>
      <w:r>
        <w:rPr>
          <w:rFonts w:hint="eastAsia" w:ascii="黑体" w:hAnsi="黑体" w:eastAsia="黑体" w:cs="黑体"/>
          <w:color w:val="000000"/>
          <w:sz w:val="28"/>
          <w:szCs w:val="28"/>
          <w:lang w:eastAsia="zh-CN"/>
        </w:rPr>
        <w:t>条、第</w:t>
      </w:r>
      <w:r>
        <w:rPr>
          <w:rFonts w:hint="eastAsia" w:ascii="黑体" w:hAnsi="黑体" w:eastAsia="黑体" w:cs="黑体"/>
          <w:color w:val="000000"/>
          <w:sz w:val="28"/>
          <w:szCs w:val="28"/>
          <w:lang w:val="en-US" w:eastAsia="zh-CN"/>
        </w:rPr>
        <w:t>86条</w:t>
      </w:r>
      <w:r>
        <w:rPr>
          <w:rFonts w:hint="eastAsia" w:ascii="黑体" w:hAnsi="黑体" w:eastAsia="黑体" w:cs="黑体"/>
          <w:color w:val="000000"/>
          <w:sz w:val="28"/>
          <w:szCs w:val="28"/>
          <w:lang w:eastAsia="zh-CN"/>
        </w:rPr>
        <w:t>规定的，[</w:t>
      </w:r>
      <w:r>
        <w:rPr>
          <w:rFonts w:hint="eastAsia" w:ascii="黑体" w:hAnsi="黑体" w:eastAsia="黑体" w:cs="黑体"/>
          <w:color w:val="000000"/>
          <w:sz w:val="28"/>
          <w:szCs w:val="28"/>
          <w:lang w:eastAsia="zh-CN"/>
        </w:rPr>
        <w:footnoteReference w:id="5"/>
      </w:r>
      <w:r>
        <w:rPr>
          <w:rFonts w:hint="eastAsia" w:ascii="黑体" w:hAnsi="黑体" w:eastAsia="黑体" w:cs="黑体"/>
          <w:color w:val="000000"/>
          <w:sz w:val="28"/>
          <w:szCs w:val="28"/>
          <w:lang w:eastAsia="zh-CN"/>
        </w:rPr>
        <w:t>]所有权人或使用权人对构筑物的倒塌、脱落等未尽管理义务而导致的损害承担民事侵权赔偿责任。这条规定本是基于平等主体之间发生的民事侵权损害赔偿，被告应当是民事主体，但原告在罗列被告时列了两个被告一个是移动丰都分公司，一个是丰都县交通行政执法支队，这两个被告是否均为民事侵权主体呢？就原告与移动丰都分公司之间的主体地位而言双方互不存在内部上的雇佣关系，也不存在外部上行政管理关系，是平等的民事主体，属于适格的民事主体。而与被告丰都县交通行政执法支队主体地位而言，该被告非电线杆的所有人或使用人，只是基于行政管理职责，才与电线杆的所有权或使用权人及第三人发生了权利义务关系，双方之间产生的是行政上的管理与被管理关系，法律地位是不平等的，如未尽行政管理职责，给被管理人或第三人造成损害，承担的是行政侵权责任，其行为无论是积极的或不作为的消极行为都属于行政行为，产生的侵权行为当然为行政侵权行为。显然原告将丰都县交通行政执法支队列入民事共同侵权被告，是不恰当的。但原告既然将两个不同地位的主体列为被告，人为主张了行民交叉侵权损害赔偿请求权，法院的裁判必须予以回应。对于行民交叉侵权，按照上文的分析处理方法有两条路径，一是原告可选择以行政附带民事诉讼提起民事赔偿，这样可以将不同地位的主体纳入诉讼合并进行划责赔偿；二是单独选择民事诉讼对民事侵权行为人追究民事赔偿责任。原告选择哪一种方式，应根据行民侵权交叉的责任形态性质决定。属于共同侵权的，或虽不属于共同侵权，但有分别侵权行为，每一个侵权行为对损害有部分原因力的，需要一并划责，承担按分责任的，原告应选择行政附带民事诉讼提起赔偿的方式。对于行民交叉侵权，但不属于以上情形，而属于竞合因果关系，责任形态属于不真正连带责任的，原告可单独选择一种方式，选择民事诉讼方式的，如民事侵权行为人赔偿后，认为自己不属于终极责任人的，承担责任后可以向终极责任人（包括行政侵权行为人或其他民事侵权行为人）追偿，但受害人只能作一次选择，因为每一种选择均达到完全救济的目的。本案原告在选择赔偿诉讼形式时选择的是第二种形式的诉讼，从形式上看并无不妥，只是在罗列被告时将行政与民事侵权主体混为一谈，实为错误，这种情形下，民事法庭对行政行为是否违法是不作审理的，因为行政诉讼程序才能对行政行为是否违法进行审理，该情形下法院应当行使释明权，又，基于本案形式上的竞合因果关系及不真正连带责任，民事审判程序能够继续推进，法院转入了民事主体实体上是否存在责任的审理，一二审法院在审理后，根据事实，确定原告的事害系其自己的过错造成，与被告的行为不存在事实上的因果关系，最后判决，驳回了原告的诉讼请求，无疑具有程序上的合法适理性与实体上公平正义性。</w:t>
      </w:r>
    </w:p>
    <w:p>
      <w:pPr>
        <w:numPr>
          <w:ilvl w:val="0"/>
          <w:numId w:val="0"/>
        </w:numPr>
        <w:spacing w:line="360" w:lineRule="auto"/>
        <w:ind w:leftChars="200"/>
        <w:rPr>
          <w:rFonts w:hint="eastAsia" w:ascii="黑体" w:hAnsi="黑体" w:eastAsia="黑体" w:cs="黑体"/>
          <w:color w:val="000000"/>
          <w:sz w:val="28"/>
          <w:szCs w:val="28"/>
          <w:lang w:eastAsia="zh-CN"/>
        </w:rPr>
      </w:pPr>
    </w:p>
    <w:p>
      <w:pPr>
        <w:numPr>
          <w:ilvl w:val="0"/>
          <w:numId w:val="0"/>
        </w:numPr>
        <w:spacing w:line="360" w:lineRule="auto"/>
        <w:ind w:leftChars="200"/>
        <w:rPr>
          <w:rFonts w:hint="eastAsia" w:ascii="黑体" w:hAnsi="黑体" w:eastAsia="黑体" w:cs="黑体"/>
          <w:color w:val="000000"/>
          <w:sz w:val="28"/>
          <w:szCs w:val="28"/>
        </w:rPr>
      </w:pPr>
      <w:r>
        <w:rPr>
          <w:rFonts w:hint="eastAsia" w:ascii="黑体" w:hAnsi="黑体" w:eastAsia="黑体" w:cs="黑体"/>
          <w:color w:val="000000"/>
          <w:sz w:val="28"/>
          <w:szCs w:val="28"/>
          <w:lang w:eastAsia="zh-CN"/>
        </w:rPr>
        <w:t>　</w:t>
      </w:r>
      <w:r>
        <w:rPr>
          <w:rFonts w:hint="eastAsia" w:ascii="黑体" w:hAnsi="黑体" w:eastAsia="黑体" w:cs="黑体"/>
          <w:color w:val="000000"/>
          <w:sz w:val="28"/>
          <w:szCs w:val="28"/>
        </w:rPr>
        <w:t>案例撰写人  重庆市丰都县人民法院</w:t>
      </w:r>
      <w:r>
        <w:rPr>
          <w:rFonts w:hint="eastAsia" w:ascii="黑体" w:hAnsi="黑体" w:eastAsia="黑体" w:cs="黑体"/>
          <w:color w:val="000000"/>
          <w:sz w:val="28"/>
          <w:szCs w:val="28"/>
          <w:lang w:eastAsia="zh-CN"/>
        </w:rPr>
        <w:t>高级</w:t>
      </w:r>
      <w:r>
        <w:rPr>
          <w:rFonts w:hint="eastAsia" w:ascii="黑体" w:hAnsi="黑体" w:eastAsia="黑体" w:cs="黑体"/>
          <w:color w:val="000000"/>
          <w:sz w:val="28"/>
          <w:szCs w:val="28"/>
        </w:rPr>
        <w:t>法官 余孝安</w:t>
      </w: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0"/>
    <w:family w:val="auto"/>
    <w:pitch w:val="default"/>
    <w:sig w:usb0="00000000" w:usb1="00000000" w:usb2="00000000" w:usb3="00000000" w:csb0="00000000" w:csb1="00000000"/>
  </w:font>
  <w:font w:name="E-BZ9-PK74888-Identity-H">
    <w:altName w:val="宋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pPr>
      <w:r>
        <w:rPr>
          <w:rStyle w:val="5"/>
        </w:rPr>
        <w:t>[</w:t>
      </w:r>
      <w:r>
        <w:rPr>
          <w:rStyle w:val="5"/>
        </w:rPr>
        <w:footnoteRef/>
      </w:r>
      <w:r>
        <w:rPr>
          <w:rStyle w:val="5"/>
        </w:rPr>
        <w:t>]</w:t>
      </w:r>
      <w:r>
        <w:t xml:space="preserve"> </w:t>
      </w:r>
      <w:r>
        <w:rPr>
          <w:rFonts w:hint="eastAsia"/>
          <w:lang w:eastAsia="zh-CN"/>
        </w:rPr>
        <w:t>姜明安主编：《行政法与行政诉讼法》，北京大学出版社</w:t>
      </w:r>
      <w:r>
        <w:rPr>
          <w:rFonts w:hint="eastAsia"/>
          <w:lang w:val="en-US" w:eastAsia="zh-CN"/>
        </w:rPr>
        <w:t>1999年10版，第141页。</w:t>
      </w:r>
    </w:p>
  </w:footnote>
  <w:footnote w:id="1">
    <w:p>
      <w:pPr>
        <w:pStyle w:val="2"/>
        <w:snapToGrid w:val="0"/>
        <w:rPr>
          <w:rFonts w:hint="default" w:eastAsiaTheme="minorEastAsia"/>
          <w:lang w:val="en-US" w:eastAsia="zh-CN"/>
        </w:rPr>
      </w:pPr>
      <w:r>
        <w:rPr>
          <w:rStyle w:val="5"/>
        </w:rPr>
        <w:t>[</w:t>
      </w:r>
      <w:r>
        <w:rPr>
          <w:rStyle w:val="5"/>
        </w:rPr>
        <w:footnoteRef/>
      </w:r>
      <w:r>
        <w:rPr>
          <w:rStyle w:val="5"/>
        </w:rPr>
        <w:t>]</w:t>
      </w:r>
      <w:r>
        <w:t xml:space="preserve"> </w:t>
      </w:r>
      <w:r>
        <w:rPr>
          <w:rFonts w:hint="eastAsia"/>
          <w:lang w:eastAsia="zh-CN"/>
        </w:rPr>
        <w:t>王利民</w:t>
      </w:r>
      <w:r>
        <w:rPr>
          <w:rFonts w:hint="eastAsia"/>
          <w:lang w:val="en-US" w:eastAsia="zh-CN"/>
        </w:rPr>
        <w:t xml:space="preserve"> 杨立新 王轶 程啸著：《民法学》法律出版社2020年10月第6版第1039-1040页。</w:t>
      </w:r>
    </w:p>
  </w:footnote>
  <w:footnote w:id="2">
    <w:p>
      <w:pPr>
        <w:pStyle w:val="2"/>
        <w:snapToGrid w:val="0"/>
        <w:rPr>
          <w:rFonts w:hint="default" w:eastAsiaTheme="minorEastAsia"/>
          <w:lang w:val="en-US" w:eastAsia="zh-CN"/>
        </w:rPr>
      </w:pPr>
      <w:r>
        <w:rPr>
          <w:rStyle w:val="5"/>
        </w:rPr>
        <w:t>[</w:t>
      </w:r>
      <w:r>
        <w:rPr>
          <w:rStyle w:val="5"/>
        </w:rPr>
        <w:footnoteRef/>
      </w:r>
      <w:r>
        <w:rPr>
          <w:rStyle w:val="5"/>
        </w:rPr>
        <w:t>]</w:t>
      </w:r>
      <w:r>
        <w:t xml:space="preserve"> </w:t>
      </w:r>
      <w:r>
        <w:rPr>
          <w:rFonts w:hint="eastAsia"/>
          <w:lang w:eastAsia="zh-CN"/>
        </w:rPr>
        <w:t>王名扬著：《美国行政法》，中国法制出版社，</w:t>
      </w:r>
      <w:r>
        <w:rPr>
          <w:rFonts w:hint="eastAsia"/>
          <w:lang w:val="en-US" w:eastAsia="zh-CN"/>
        </w:rPr>
        <w:t>1995年1月北京第1版第274页。</w:t>
      </w:r>
    </w:p>
  </w:footnote>
  <w:footnote w:id="3">
    <w:p>
      <w:pPr>
        <w:pStyle w:val="2"/>
        <w:snapToGrid w:val="0"/>
        <w:rPr>
          <w:rFonts w:hint="default" w:eastAsiaTheme="minorEastAsia"/>
          <w:lang w:val="en-US" w:eastAsia="zh-CN"/>
        </w:rPr>
      </w:pPr>
      <w:r>
        <w:rPr>
          <w:rStyle w:val="5"/>
        </w:rPr>
        <w:t>[</w:t>
      </w:r>
      <w:r>
        <w:rPr>
          <w:rStyle w:val="5"/>
        </w:rPr>
        <w:footnoteRef/>
      </w:r>
      <w:r>
        <w:rPr>
          <w:rStyle w:val="5"/>
        </w:rPr>
        <w:t>]</w:t>
      </w:r>
      <w:r>
        <w:t xml:space="preserve"> </w:t>
      </w:r>
      <w:r>
        <w:rPr>
          <w:rFonts w:hint="eastAsia"/>
          <w:lang w:eastAsia="zh-CN"/>
        </w:rPr>
        <w:t>程啸著：《侵权责任法》，法律出版社，</w:t>
      </w:r>
      <w:r>
        <w:rPr>
          <w:rFonts w:hint="eastAsia"/>
          <w:lang w:val="en-US" w:eastAsia="zh-CN"/>
        </w:rPr>
        <w:t>2015年9月第2版226页。</w:t>
      </w:r>
    </w:p>
  </w:footnote>
  <w:footnote w:id="4">
    <w:p>
      <w:pPr>
        <w:pStyle w:val="2"/>
        <w:snapToGrid w:val="0"/>
        <w:rPr>
          <w:rFonts w:hint="default" w:eastAsiaTheme="minorEastAsia"/>
          <w:lang w:val="en-US" w:eastAsia="zh-CN"/>
        </w:rPr>
      </w:pPr>
      <w:r>
        <w:rPr>
          <w:rStyle w:val="5"/>
        </w:rPr>
        <w:t>[</w:t>
      </w:r>
      <w:r>
        <w:rPr>
          <w:rStyle w:val="5"/>
        </w:rPr>
        <w:footnoteRef/>
      </w:r>
      <w:r>
        <w:rPr>
          <w:rStyle w:val="5"/>
        </w:rPr>
        <w:t>]</w:t>
      </w:r>
      <w:r>
        <w:t xml:space="preserve"> </w:t>
      </w:r>
      <w:r>
        <w:rPr>
          <w:rFonts w:hint="eastAsia"/>
          <w:lang w:eastAsia="zh-CN"/>
        </w:rPr>
        <w:t>杨立新著：《侵权责任法》，法律出版社</w:t>
      </w:r>
      <w:r>
        <w:rPr>
          <w:rFonts w:hint="eastAsia"/>
          <w:lang w:val="en-US" w:eastAsia="zh-CN"/>
        </w:rPr>
        <w:t>2018年4月第3版第118页。</w:t>
      </w:r>
    </w:p>
  </w:footnote>
  <w:footnote w:id="5">
    <w:p>
      <w:pPr>
        <w:pStyle w:val="2"/>
        <w:snapToGrid w:val="0"/>
        <w:rPr>
          <w:rFonts w:hint="default" w:eastAsiaTheme="minorEastAsia"/>
          <w:lang w:val="en-US" w:eastAsia="zh-CN"/>
        </w:rPr>
      </w:pPr>
      <w:r>
        <w:rPr>
          <w:rStyle w:val="5"/>
        </w:rPr>
        <w:t>[</w:t>
      </w:r>
      <w:r>
        <w:rPr>
          <w:rStyle w:val="5"/>
        </w:rPr>
        <w:footnoteRef/>
      </w:r>
      <w:r>
        <w:rPr>
          <w:rStyle w:val="5"/>
        </w:rPr>
        <w:t>]</w:t>
      </w:r>
      <w:r>
        <w:rPr>
          <w:rFonts w:hint="eastAsia"/>
          <w:lang w:val="en-US" w:eastAsia="zh-CN"/>
        </w:rPr>
        <w:t>《</w:t>
      </w:r>
      <w:r>
        <w:rPr>
          <w:rFonts w:hint="eastAsia"/>
          <w:lang w:eastAsia="zh-CN"/>
        </w:rPr>
        <w:t>民法典</w:t>
      </w:r>
      <w:r>
        <w:rPr>
          <w:rFonts w:hint="eastAsia"/>
          <w:lang w:val="en-US" w:eastAsia="zh-CN"/>
        </w:rPr>
        <w:t>》颁布后为</w:t>
      </w:r>
      <w:r>
        <w:rPr>
          <w:rFonts w:hint="eastAsia"/>
          <w:lang w:eastAsia="zh-CN"/>
        </w:rPr>
        <w:t>第</w:t>
      </w:r>
      <w:r>
        <w:rPr>
          <w:rFonts w:hint="eastAsia"/>
          <w:lang w:val="en-US" w:eastAsia="zh-CN"/>
        </w:rPr>
        <w:t>1252条、1253条。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477454"/>
    <w:multiLevelType w:val="singleLevel"/>
    <w:tmpl w:val="8B477454"/>
    <w:lvl w:ilvl="0" w:tentative="0">
      <w:start w:val="2"/>
      <w:numFmt w:val="chineseCounting"/>
      <w:lvlText w:val="[%1]"/>
      <w:lvlJc w:val="left"/>
      <w:pPr>
        <w:tabs>
          <w:tab w:val="left" w:pos="312"/>
        </w:tabs>
        <w:ind w:left="1120" w:leftChars="0" w:firstLine="0" w:firstLineChars="0"/>
      </w:pPr>
      <w:rPr>
        <w:rFonts w:hint="eastAsia"/>
      </w:rPr>
    </w:lvl>
  </w:abstractNum>
  <w:abstractNum w:abstractNumId="1">
    <w:nsid w:val="B36A86A2"/>
    <w:multiLevelType w:val="singleLevel"/>
    <w:tmpl w:val="B36A86A2"/>
    <w:lvl w:ilvl="0" w:tentative="0">
      <w:start w:val="1"/>
      <w:numFmt w:val="chineseCounting"/>
      <w:suff w:val="nothing"/>
      <w:lvlText w:val="%1、"/>
      <w:lvlJc w:val="left"/>
      <w:rPr>
        <w:rFonts w:hint="eastAsia"/>
      </w:rPr>
    </w:lvl>
  </w:abstractNum>
  <w:abstractNum w:abstractNumId="2">
    <w:nsid w:val="D93150FF"/>
    <w:multiLevelType w:val="singleLevel"/>
    <w:tmpl w:val="D93150FF"/>
    <w:lvl w:ilvl="0" w:tentative="0">
      <w:start w:val="3"/>
      <w:numFmt w:val="chineseCounting"/>
      <w:suff w:val="nothing"/>
      <w:lvlText w:val="（%1）"/>
      <w:lvlJc w:val="left"/>
      <w:rPr>
        <w:rFonts w:hint="eastAsia"/>
      </w:rPr>
    </w:lvl>
  </w:abstractNum>
  <w:abstractNum w:abstractNumId="3">
    <w:nsid w:val="506C2440"/>
    <w:multiLevelType w:val="singleLevel"/>
    <w:tmpl w:val="506C2440"/>
    <w:lvl w:ilvl="0" w:tentative="0">
      <w:start w:val="4"/>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94E4E"/>
    <w:rsid w:val="0E9A78E5"/>
    <w:rsid w:val="119D084B"/>
    <w:rsid w:val="1E942E2F"/>
    <w:rsid w:val="505C62F4"/>
    <w:rsid w:val="57FD6749"/>
    <w:rsid w:val="5CCE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2021-04-06T14:13:41Z</dcterms:created>
  <dc:creator>Administrator</dc:creator>
  <cp:lastModifiedBy>Administrator</cp:lastModifiedBy>
  <dcterms:modified xsi:type="dcterms:W3CDTF">2021-04-06T15:55:17Z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