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邓光萍诉重庆嵩悦公司等公共场所管理人责任纠纷</w:t>
      </w:r>
      <w:r>
        <w:rPr>
          <w:rFonts w:hint="eastAsia" w:ascii="仿宋" w:hAnsi="仿宋" w:eastAsia="仿宋"/>
          <w:color w:val="000000"/>
          <w:sz w:val="32"/>
          <w:szCs w:val="32"/>
        </w:rPr>
        <w:t>案</w:t>
      </w:r>
    </w:p>
    <w:p>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——旅游服务提供者承担连带责任的认定</w:t>
      </w:r>
    </w:p>
    <w:p>
      <w:pPr>
        <w:ind w:firstLine="640" w:firstLineChars="200"/>
        <w:rPr>
          <w:rFonts w:hint="default" w:ascii="宋体" w:hAnsi="宋体" w:eastAsia="宋体"/>
          <w:sz w:val="32"/>
          <w:szCs w:val="32"/>
          <w:lang w:val="en-US" w:eastAsia="zh-CN"/>
        </w:rPr>
      </w:pPr>
      <w:r>
        <w:rPr>
          <w:rFonts w:hint="eastAsia" w:ascii="宋体" w:hAnsi="宋体" w:eastAsia="宋体"/>
          <w:sz w:val="32"/>
          <w:szCs w:val="32"/>
          <w:lang w:val="en-US" w:eastAsia="zh-CN"/>
        </w:rPr>
        <w:t xml:space="preserve">关键词：游客 </w:t>
      </w:r>
      <w:r>
        <w:rPr>
          <w:rFonts w:hint="eastAsia" w:ascii="黑体" w:hAnsi="黑体" w:eastAsia="黑体" w:cs="黑体"/>
          <w:sz w:val="28"/>
          <w:szCs w:val="28"/>
          <w:lang w:val="en-US" w:eastAsia="zh-CN"/>
        </w:rPr>
        <w:t>公共场所 管理人 连带责任</w:t>
      </w:r>
    </w:p>
    <w:p>
      <w:pPr>
        <w:spacing w:line="360" w:lineRule="auto"/>
        <w:ind w:firstLine="640" w:firstLineChars="200"/>
        <w:rPr>
          <w:rFonts w:hint="eastAsia" w:ascii="宋体" w:hAnsi="宋体" w:eastAsia="宋体"/>
          <w:sz w:val="32"/>
          <w:szCs w:val="32"/>
          <w:lang w:val="en-US" w:eastAsia="zh-CN"/>
        </w:rPr>
      </w:pPr>
      <w:r>
        <w:rPr>
          <w:rFonts w:hint="eastAsia" w:ascii="黑体" w:hAnsi="黑体" w:eastAsia="黑体" w:cs="黑体"/>
          <w:sz w:val="32"/>
          <w:szCs w:val="32"/>
          <w:lang w:val="en-US" w:eastAsia="zh-CN"/>
        </w:rPr>
        <w:t>[</w:t>
      </w:r>
      <w:r>
        <w:rPr>
          <w:rFonts w:hint="eastAsia" w:ascii="宋体" w:hAnsi="宋体" w:eastAsia="宋体"/>
          <w:sz w:val="32"/>
          <w:szCs w:val="32"/>
          <w:lang w:val="en-US" w:eastAsia="zh-CN"/>
        </w:rPr>
        <w:t>裁判要旨</w:t>
      </w:r>
      <w:r>
        <w:rPr>
          <w:rFonts w:hint="eastAsia" w:ascii="黑体" w:hAnsi="黑体" w:eastAsia="黑体" w:cs="黑体"/>
          <w:sz w:val="32"/>
          <w:szCs w:val="32"/>
          <w:lang w:val="en-US" w:eastAsia="zh-CN"/>
        </w:rPr>
        <w:t>]</w:t>
      </w:r>
    </w:p>
    <w:p>
      <w:pPr>
        <w:spacing w:line="360" w:lineRule="auto"/>
        <w:ind w:firstLine="640" w:firstLineChars="200"/>
        <w:rPr>
          <w:rFonts w:hint="eastAsia" w:ascii="Times New Roman" w:hAnsi="Times New Roman" w:eastAsia="黑体" w:cs="Times New Roman"/>
          <w:sz w:val="28"/>
          <w:szCs w:val="28"/>
          <w:lang w:eastAsia="zh-CN"/>
        </w:rPr>
      </w:pPr>
      <w:r>
        <w:rPr>
          <w:rFonts w:hint="eastAsia"/>
          <w:sz w:val="32"/>
          <w:szCs w:val="32"/>
          <w:lang w:val="en-US" w:eastAsia="zh-CN"/>
        </w:rPr>
        <w:t>旅游服务联合提供者夸大宣传误导游客造成损害属于共同侵权行为，应承担连带责任，游客自己存在过错的应减轻责任主体的赔偿责任。</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[相关法条]</w:t>
      </w:r>
    </w:p>
    <w:p>
      <w:pPr>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第六条</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行为人因过错侵害他人民事权益，应当承担侵权责任</w:t>
      </w:r>
      <w:r>
        <w:rPr>
          <w:rFonts w:hint="eastAsia" w:ascii="仿宋" w:hAnsi="仿宋" w:eastAsia="仿宋" w:cs="SSJ-PK74820000a3c-Identity-H"/>
          <w:kern w:val="0"/>
          <w:sz w:val="32"/>
          <w:szCs w:val="32"/>
          <w:lang w:val="en-US" w:eastAsia="zh-CN"/>
        </w:rPr>
        <w:t xml:space="preserve"> 。</w:t>
      </w:r>
      <w:r>
        <w:rPr>
          <w:rFonts w:hint="eastAsia" w:ascii="仿宋" w:hAnsi="仿宋" w:eastAsia="仿宋" w:cs="H-SS9-PK74820000a48-Identity-H"/>
          <w:kern w:val="0"/>
          <w:sz w:val="32"/>
          <w:szCs w:val="32"/>
        </w:rPr>
        <w:t>第八条</w:t>
      </w:r>
      <w:r>
        <w:rPr>
          <w:rFonts w:hint="eastAsia" w:ascii="仿宋" w:hAnsi="仿宋" w:eastAsia="仿宋" w:cs="H-SS9-PK74820000a48-Identity-H"/>
          <w:kern w:val="0"/>
          <w:sz w:val="32"/>
          <w:szCs w:val="32"/>
          <w:lang w:val="en-US" w:eastAsia="zh-CN"/>
        </w:rPr>
        <w:t xml:space="preserve"> 二人以上共同实施侵权行为，造成他人损害的，应当承担连带责任。第十四条第一款 连带责任人根据各自责任大小确定相应的赔偿数额；难以确定责任大小的，平均承担赔偿责任。第二十六条 被侵权人对损害的发生也有过错的，可以减轻侵权人的责任。</w:t>
      </w:r>
    </w:p>
    <w:p>
      <w:pPr>
        <w:ind w:firstLine="640" w:firstLineChars="200"/>
        <w:rPr>
          <w:rFonts w:hint="eastAsia" w:eastAsia="仿宋" w:asciiTheme="minorEastAsia" w:hAnsiTheme="minorEastAsia" w:cstheme="minorEastAsia"/>
          <w:sz w:val="28"/>
          <w:szCs w:val="28"/>
          <w:lang w:val="en-US" w:eastAsia="zh-CN"/>
        </w:rPr>
      </w:pPr>
      <w:r>
        <w:rPr>
          <w:rFonts w:hint="eastAsia" w:ascii="仿宋" w:hAnsi="仿宋" w:eastAsia="仿宋" w:cs="H-SS9-PK74820000a48-Identity-H"/>
          <w:kern w:val="0"/>
          <w:sz w:val="32"/>
          <w:szCs w:val="32"/>
        </w:rPr>
        <w:t>《中华人民共和国旅游法》第三十二条</w:t>
      </w:r>
      <w:r>
        <w:rPr>
          <w:rFonts w:hint="eastAsia" w:ascii="仿宋" w:hAnsi="仿宋" w:eastAsia="仿宋" w:cs="H-SS9-PK74820000a48-Identity-H"/>
          <w:kern w:val="0"/>
          <w:sz w:val="32"/>
          <w:szCs w:val="32"/>
          <w:lang w:val="en-US" w:eastAsia="zh-CN"/>
        </w:rPr>
        <w:t xml:space="preserve"> 旅行社为招徕、组织旅游者发布信息，必须真实、准确，不得进行虚假宣传，误导旅游者。</w:t>
      </w:r>
      <w:r>
        <w:rPr>
          <w:rFonts w:hint="eastAsia" w:ascii="仿宋" w:hAnsi="仿宋" w:eastAsia="仿宋" w:cs="H-SS9-PK74820000a48-Identity-H"/>
          <w:kern w:val="0"/>
          <w:sz w:val="32"/>
          <w:szCs w:val="32"/>
        </w:rPr>
        <w:t>第五十条第一款</w:t>
      </w:r>
      <w:r>
        <w:rPr>
          <w:rFonts w:hint="eastAsia" w:ascii="仿宋" w:hAnsi="仿宋" w:eastAsia="仿宋" w:cs="H-SS9-PK74820000a48-Identity-H"/>
          <w:kern w:val="0"/>
          <w:sz w:val="32"/>
          <w:szCs w:val="32"/>
          <w:lang w:val="en-US" w:eastAsia="zh-CN"/>
        </w:rPr>
        <w:t xml:space="preserve"> 旅游经营者应当保证其提供的商品和服务符合保障人身、财产安全的要求。</w:t>
      </w:r>
      <w:r>
        <w:rPr>
          <w:rFonts w:hint="eastAsia" w:ascii="仿宋" w:hAnsi="仿宋" w:eastAsia="仿宋" w:cs="H-SS9-PK74820000a48-Identity-H"/>
          <w:kern w:val="0"/>
          <w:sz w:val="32"/>
          <w:szCs w:val="32"/>
        </w:rPr>
        <w:t>第五十四条</w:t>
      </w:r>
      <w:r>
        <w:rPr>
          <w:rFonts w:hint="eastAsia" w:ascii="仿宋" w:hAnsi="仿宋" w:eastAsia="仿宋" w:cs="H-SS9-PK74820000a48-Identity-H"/>
          <w:kern w:val="0"/>
          <w:sz w:val="32"/>
          <w:szCs w:val="32"/>
          <w:lang w:val="en-US" w:eastAsia="zh-CN"/>
        </w:rPr>
        <w:t xml:space="preserve"> 景区、住宿经营者将其部分经营项目或者场地交由他人从事住宿、餐饮、购物、游览、娱乐、旅游交通等经营的，应当对实际经营者的经营行为给旅游者造成的损害承担连带责任。</w:t>
      </w:r>
    </w:p>
    <w:p>
      <w:pPr>
        <w:ind w:firstLine="840" w:firstLineChars="300"/>
        <w:rPr>
          <w:rFonts w:hint="eastAsia" w:ascii="黑体" w:hAnsi="黑体" w:eastAsia="黑体" w:cs="黑体"/>
          <w:sz w:val="28"/>
          <w:szCs w:val="28"/>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案件索引</w:t>
      </w:r>
      <w:r>
        <w:rPr>
          <w:rFonts w:hint="default" w:ascii="Times New Roman" w:hAnsi="Times New Roman" w:eastAsia="黑体" w:cs="Times New Roman"/>
          <w:sz w:val="28"/>
          <w:szCs w:val="28"/>
        </w:rPr>
        <w:t>]</w:t>
      </w:r>
    </w:p>
    <w:p>
      <w:pPr>
        <w:numPr>
          <w:ilvl w:val="0"/>
          <w:numId w:val="0"/>
        </w:numPr>
        <w:ind w:firstLine="840" w:firstLineChars="300"/>
        <w:rPr>
          <w:rFonts w:hint="eastAsia" w:ascii="黑体" w:hAnsi="黑体" w:eastAsia="黑体" w:cs="黑体"/>
          <w:sz w:val="28"/>
          <w:szCs w:val="28"/>
          <w:lang w:val="en-US" w:eastAsia="zh-CN"/>
        </w:rPr>
      </w:pPr>
      <w:r>
        <w:rPr>
          <w:rFonts w:hint="eastAsia" w:ascii="黑体" w:hAnsi="黑体" w:eastAsia="黑体" w:cs="黑体"/>
          <w:sz w:val="28"/>
          <w:szCs w:val="28"/>
          <w:lang w:eastAsia="zh-CN"/>
        </w:rPr>
        <w:t>一审：重庆市丰都县人民法院（</w:t>
      </w:r>
      <w:r>
        <w:rPr>
          <w:rFonts w:hint="eastAsia" w:ascii="黑体" w:hAnsi="黑体" w:eastAsia="黑体" w:cs="黑体"/>
          <w:sz w:val="28"/>
          <w:szCs w:val="28"/>
          <w:lang w:val="en-US" w:eastAsia="zh-CN"/>
        </w:rPr>
        <w:t>2019</w:t>
      </w:r>
      <w:r>
        <w:rPr>
          <w:rFonts w:hint="eastAsia" w:ascii="黑体" w:hAnsi="黑体" w:eastAsia="黑体" w:cs="黑体"/>
          <w:sz w:val="28"/>
          <w:szCs w:val="28"/>
          <w:lang w:eastAsia="zh-CN"/>
        </w:rPr>
        <w:t>）渝</w:t>
      </w:r>
      <w:r>
        <w:rPr>
          <w:rFonts w:hint="eastAsia" w:ascii="黑体" w:hAnsi="黑体" w:eastAsia="黑体" w:cs="黑体"/>
          <w:sz w:val="28"/>
          <w:szCs w:val="28"/>
          <w:lang w:val="en-US" w:eastAsia="zh-CN"/>
        </w:rPr>
        <w:t>0230民初3241号（2019年 12月6 日）</w:t>
      </w:r>
    </w:p>
    <w:p>
      <w:pPr>
        <w:numPr>
          <w:ilvl w:val="0"/>
          <w:numId w:val="0"/>
        </w:numPr>
        <w:ind w:firstLine="840" w:firstLineChars="300"/>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二审：重庆市第三中级人民法院（2020）渝民终129号（2020年 3月 23日）</w:t>
      </w:r>
    </w:p>
    <w:p>
      <w:pPr>
        <w:numPr>
          <w:ilvl w:val="0"/>
          <w:numId w:val="0"/>
        </w:numPr>
        <w:spacing w:line="360" w:lineRule="auto"/>
        <w:ind w:leftChars="200" w:firstLine="280" w:firstLineChars="100"/>
        <w:rPr>
          <w:rFonts w:hint="eastAsia" w:ascii="Times New Roman" w:hAnsi="Times New Roman" w:eastAsia="黑体" w:cs="Times New Roman"/>
          <w:sz w:val="28"/>
          <w:szCs w:val="28"/>
          <w:lang w:eastAsia="zh-CN"/>
        </w:rPr>
      </w:pPr>
      <w:r>
        <w:rPr>
          <w:rFonts w:hint="eastAsia" w:ascii="黑体" w:hAnsi="黑体" w:eastAsia="黑体" w:cs="黑体"/>
          <w:sz w:val="28"/>
          <w:szCs w:val="28"/>
          <w:lang w:eastAsia="zh-CN"/>
        </w:rPr>
        <w:t>[基本案情]</w:t>
      </w:r>
    </w:p>
    <w:p>
      <w:pPr>
        <w:autoSpaceDE w:val="0"/>
        <w:autoSpaceDN w:val="0"/>
        <w:adjustRightInd w:val="0"/>
        <w:spacing w:line="560" w:lineRule="exact"/>
        <w:ind w:firstLine="560" w:firstLineChars="200"/>
        <w:rPr>
          <w:rFonts w:ascii="仿宋" w:hAnsi="仿宋" w:eastAsia="仿宋" w:cs="H-SS9-PK74820000a48-Identity-H"/>
          <w:kern w:val="0"/>
          <w:sz w:val="32"/>
          <w:szCs w:val="32"/>
        </w:rPr>
      </w:pPr>
      <w:r>
        <w:rPr>
          <w:rFonts w:hint="eastAsia" w:ascii="Times New Roman" w:hAnsi="Times New Roman" w:eastAsia="黑体" w:cs="Times New Roman"/>
          <w:sz w:val="28"/>
          <w:szCs w:val="28"/>
          <w:lang w:val="en-US" w:eastAsia="zh-CN"/>
        </w:rPr>
        <w:t xml:space="preserve"> </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邓光萍</w:t>
      </w:r>
      <w:r>
        <w:rPr>
          <w:rFonts w:hint="eastAsia" w:ascii="仿宋" w:hAnsi="仿宋" w:eastAsia="仿宋" w:cs="E-BZ9-PK74888-Identity-H"/>
          <w:kern w:val="0"/>
          <w:sz w:val="32"/>
          <w:szCs w:val="32"/>
          <w:lang w:eastAsia="zh-CN"/>
        </w:rPr>
        <w:t>（上诉人）诉称</w:t>
      </w:r>
      <w:r>
        <w:rPr>
          <w:rFonts w:hint="eastAsia" w:ascii="仿宋" w:hAnsi="仿宋" w:eastAsia="仿宋" w:cs="H-SS9-PK74820000a48-Identity-H"/>
          <w:kern w:val="0"/>
          <w:sz w:val="32"/>
          <w:szCs w:val="32"/>
        </w:rPr>
        <w:t>：2018年12月31日晚，</w:t>
      </w:r>
      <w:r>
        <w:rPr>
          <w:rFonts w:hint="eastAsia" w:ascii="仿宋" w:hAnsi="仿宋" w:eastAsia="仿宋" w:cs="E-BZ9-PK74888-Identity-H"/>
          <w:kern w:val="0"/>
          <w:sz w:val="32"/>
          <w:szCs w:val="32"/>
        </w:rPr>
        <w:t>重庆嵩悦旅游有限公司在丰都县南天湖滑雪场举办“雪地跨年电音节”活动，旅游项目每人68元（享重庆唯一滑雪夜场），重庆微旅国际旅行社有限公司的管理人员任丽与邓光萍等旅游者联系前往</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庆微旅国际旅行社有限公司将游客交重庆枳江旅游有限公司接送，费用按二公司的协议办理。当晚8时30分许，邓光萍在滑雪中撞在滑雪场的铁柱上受伤，后被送往丰都县人民医院住院治疗，诊断为右侧第2肋骨骨折，肺挫伤等，住院93天，住院期间原告支付医疗费4296元，交通费118.5元，被告支付了部分医疗费。后经重庆市法医学会鉴定，误工期限为90日；护理期限60日；营养时限60日；续医费需10000元，原告支付鉴定费1670元。综上所述，被告未履行告知及安全保障义务，依法应当承担赔偿责任，为此请求</w:t>
      </w:r>
      <w:r>
        <w:rPr>
          <w:rFonts w:hint="eastAsia" w:ascii="仿宋" w:hAnsi="仿宋" w:eastAsia="仿宋" w:cs="H-SS9-PK74820000a48-Identity-H"/>
          <w:kern w:val="0"/>
          <w:sz w:val="32"/>
          <w:szCs w:val="32"/>
        </w:rPr>
        <w:t>判令被告</w:t>
      </w:r>
      <w:r>
        <w:rPr>
          <w:rFonts w:hint="eastAsia" w:ascii="仿宋" w:hAnsi="仿宋" w:eastAsia="仿宋" w:cs="E-BZ9-PK74888-Identity-H"/>
          <w:kern w:val="0"/>
          <w:sz w:val="32"/>
          <w:szCs w:val="32"/>
        </w:rPr>
        <w:t>重庆嵩悦旅游有限公司、重庆微旅国际旅行社有限公司、重庆枳江旅游有限公司连带共同赔偿原告的医疗费、误工费、护理费、营养费等共计96085.61元</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E-BZ9-PK74888-Identity-H"/>
          <w:kern w:val="0"/>
          <w:sz w:val="32"/>
          <w:szCs w:val="32"/>
        </w:rPr>
        <w:t>被告重庆嵩悦旅游有限公司</w:t>
      </w:r>
      <w:r>
        <w:rPr>
          <w:rFonts w:hint="eastAsia" w:ascii="仿宋" w:hAnsi="仿宋" w:eastAsia="仿宋" w:cs="SSJ-PK74820000a3c-Identity-H"/>
          <w:kern w:val="0"/>
          <w:sz w:val="32"/>
          <w:szCs w:val="32"/>
        </w:rPr>
        <w:t>(以下简称</w:t>
      </w:r>
      <w:r>
        <w:rPr>
          <w:rFonts w:hint="eastAsia" w:ascii="仿宋" w:hAnsi="仿宋" w:eastAsia="仿宋" w:cs="E-BZ9-PK74888-Identity-H"/>
          <w:kern w:val="0"/>
          <w:sz w:val="32"/>
          <w:szCs w:val="32"/>
        </w:rPr>
        <w:t>嵩悦公司</w:t>
      </w:r>
      <w:r>
        <w:rPr>
          <w:rFonts w:hint="eastAsia" w:ascii="仿宋" w:hAnsi="仿宋" w:eastAsia="仿宋" w:cs="E-BZ9-PK74888-Identity-H"/>
          <w:kern w:val="0"/>
          <w:sz w:val="32"/>
          <w:szCs w:val="32"/>
          <w:lang w:eastAsia="zh-CN"/>
        </w:rPr>
        <w:t>，被上诉人</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，原告是因自己不当行为所导致的，应由原告自己承担民事责任，本被告系旅游辅助服务者，已尽了安全保障义务，不存在过错，不应当承担民事责任。</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重庆微旅国际旅行社有限公司</w:t>
      </w:r>
      <w:r>
        <w:rPr>
          <w:rFonts w:hint="eastAsia" w:ascii="仿宋" w:hAnsi="仿宋" w:eastAsia="仿宋" w:cs="SSJ-PK74820000a3c-Identity-H"/>
          <w:kern w:val="0"/>
          <w:sz w:val="32"/>
          <w:szCs w:val="32"/>
        </w:rPr>
        <w:t>（以下简称</w:t>
      </w:r>
      <w:r>
        <w:rPr>
          <w:rFonts w:hint="eastAsia" w:ascii="仿宋" w:hAnsi="仿宋" w:eastAsia="仿宋" w:cs="E-BZ9-PK74888-Identity-H"/>
          <w:kern w:val="0"/>
          <w:sz w:val="32"/>
          <w:szCs w:val="32"/>
        </w:rPr>
        <w:t>微旅公司</w:t>
      </w:r>
      <w:r>
        <w:rPr>
          <w:rFonts w:hint="eastAsia" w:ascii="仿宋" w:hAnsi="仿宋" w:eastAsia="仿宋" w:cs="E-BZ9-PK74888-Identity-H"/>
          <w:kern w:val="0"/>
          <w:sz w:val="32"/>
          <w:szCs w:val="32"/>
          <w:lang w:eastAsia="zh-CN"/>
        </w:rPr>
        <w:t>，被上诉人</w:t>
      </w:r>
      <w:r>
        <w:rPr>
          <w:rFonts w:hint="eastAsia" w:ascii="仿宋" w:hAnsi="仿宋" w:eastAsia="仿宋" w:cs="SSJ-PK74820000a3c-Identity-H"/>
          <w:kern w:val="0"/>
          <w:sz w:val="32"/>
          <w:szCs w:val="32"/>
        </w:rPr>
        <w:t>）辩称，本被告不是适格被告，不应当承担民事赔偿责任。</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重庆枳江旅游有限公司（以下简称枳江公司</w:t>
      </w:r>
      <w:r>
        <w:rPr>
          <w:rFonts w:hint="eastAsia" w:ascii="仿宋" w:hAnsi="仿宋" w:eastAsia="仿宋" w:cs="E-BZ9-PK74888-Identity-H"/>
          <w:kern w:val="0"/>
          <w:sz w:val="32"/>
          <w:szCs w:val="32"/>
          <w:lang w:eastAsia="zh-CN"/>
        </w:rPr>
        <w:t>，被上诉人</w:t>
      </w:r>
      <w:r>
        <w:rPr>
          <w:rFonts w:hint="eastAsia" w:ascii="仿宋" w:hAnsi="仿宋" w:eastAsia="仿宋" w:cs="E-BZ9-PK74888-Identity-H"/>
          <w:kern w:val="0"/>
          <w:sz w:val="32"/>
          <w:szCs w:val="32"/>
        </w:rPr>
        <w:t>）辩称，本被告是负责接送到指定地点，已尽了义务，且原告受伤，系其自己行为导致，为此本被告不应当承担民事责任。</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SSJ-PK74820000a3c-Identity-H"/>
          <w:kern w:val="0"/>
          <w:sz w:val="32"/>
          <w:szCs w:val="32"/>
          <w:lang w:eastAsia="zh-CN"/>
        </w:rPr>
        <w:t>法院经审理查明：</w:t>
      </w:r>
      <w:r>
        <w:rPr>
          <w:rFonts w:hint="eastAsia" w:ascii="仿宋" w:hAnsi="仿宋" w:eastAsia="仿宋" w:cs="SSJ-PK74820000a3c-Identity-H"/>
          <w:kern w:val="0"/>
          <w:sz w:val="32"/>
          <w:szCs w:val="32"/>
        </w:rPr>
        <w:t>2018年</w:t>
      </w:r>
      <w:r>
        <w:rPr>
          <w:rFonts w:hint="eastAsia" w:ascii="仿宋" w:hAnsi="仿宋" w:eastAsia="仿宋" w:cs="E-BZ9-PK74888-Identity-H"/>
          <w:kern w:val="0"/>
          <w:sz w:val="32"/>
          <w:szCs w:val="32"/>
        </w:rPr>
        <w:t>嵩悦公司决定举办“雪地跨年电音节”商业演出活动，时间为2018年12月31日19:00-24:00，地点：重庆市丰都县南天湖国际滑雪场</w:t>
      </w:r>
      <w:r>
        <w:rPr>
          <w:rFonts w:hint="eastAsia" w:ascii="仿宋" w:hAnsi="仿宋" w:eastAsia="仿宋" w:cs="H-SS9-PK74820000a48-Identity-H"/>
          <w:kern w:val="0"/>
          <w:sz w:val="32"/>
          <w:szCs w:val="32"/>
        </w:rPr>
        <w:t>。并在媒体上进行广泛宣传，宣传的广告用语为“DJ电音、雪地烤羊、篝火晚会、跨年烟花、夜场滑雪表演、浪漫雪地帐篷、小丑表演”。</w:t>
      </w:r>
      <w:r>
        <w:rPr>
          <w:rFonts w:hint="eastAsia" w:ascii="仿宋" w:hAnsi="仿宋" w:eastAsia="仿宋" w:cs="E-BZ9-PK74888-Identity-H"/>
          <w:kern w:val="0"/>
          <w:sz w:val="32"/>
          <w:szCs w:val="32"/>
        </w:rPr>
        <w:t>微旅公司协助办理该次商业旅游活动，并由其工作人员办理收取服务费用等事宜，在收取服务费时标明，68元一个人，含大巴车、换乘车、导服、保险、景区门票、看演出、戏雪、欣赏烟花表演，免费品尝高山羊肉，小吃。</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邓光萍知晓该次活动后，支付了68元参与旅游活动。2018年12月31日，微旅公司按照与枳江公司的协议将交费参与的游客邓光萍等多人交给枳江公司接待运送，2018年12月31日19:00许，枳江公司将邓光萍等多人用大巴车运送到重庆市丰都县南天湖国际滑雪场，因尚未到20时30分开演时间，枳江公司决定此段时间为游客自由活动时间，邓光萍见滑雪场入门关闭，但围栏有破损的缺口，夜色中有少量游客在滑雪，自己擅自决定从缺口处入场滑雪，入场后见没有滑雪板和工作人员，就自己寻找了防撞垫铺，开始滑雪，在滑雪的过程中，撞在滑雪场的铁柱上受伤，后被送往丰都县人民医院等住院治疗，诊断为鼻骨骨折，面部挫裂伤等，住院93天，花去住院医疗费及门诊医疗费共计37056.83元，其中原告邓光萍支付医疗费等 5070元，被告微旅公司、枳江公司、嵩悦公司三被告共计支付医疗费31986.83元，护理费900元。原告邓光萍的交通费发票计118.5元。2019年4月29日原告邓光萍委托重庆市法医学会鉴定，2019年5月20日该所作出司法鉴定意见，意见为，误工期限为90日；护理期限60日；营养时限60日；续医费需10000元，原告邓光萍支付鉴定费1670元。本案在审理过程中被告嵩悦公司申请对原告邓光萍的续医费等事项重新鉴定，本院委托重庆法医验伤所对申请事项进行了重新鉴定，2019年9月27日该司法鉴定所作出司法鉴定意见，意见为1.邓光萍鼻部后续治疗费用5000元左右；2.邓光萍误工期限60-90日左右，护理30-60日，营养30-60日。嵩悦公司支付本次鉴定费2030元。</w:t>
      </w:r>
    </w:p>
    <w:p>
      <w:pPr>
        <w:numPr>
          <w:ilvl w:val="0"/>
          <w:numId w:val="0"/>
        </w:numPr>
        <w:snapToGrid w:val="0"/>
        <w:spacing w:line="56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裁判结果</w:t>
      </w:r>
    </w:p>
    <w:p>
      <w:pPr>
        <w:numPr>
          <w:ilvl w:val="0"/>
          <w:numId w:val="0"/>
        </w:numPr>
        <w:snapToGrid w:val="0"/>
        <w:spacing w:line="560" w:lineRule="exact"/>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重庆市丰都县人民法院于</w:t>
      </w:r>
      <w:r>
        <w:rPr>
          <w:rFonts w:hint="eastAsia" w:ascii="仿宋" w:hAnsi="仿宋" w:eastAsia="仿宋" w:cs="SSJ-PK74820000a3c-Identity-H"/>
          <w:kern w:val="0"/>
          <w:sz w:val="32"/>
          <w:szCs w:val="32"/>
          <w:lang w:val="en-US" w:eastAsia="zh-CN"/>
        </w:rPr>
        <w:t>2019年12月6日作出（2019）渝0230民初3241号民事判决：一、被告重庆嵩悦旅游有限公司、重庆微旅国际旅行社有限公司、重庆枳江旅游有限公司在本判决发生法律效力后10日内共同赔偿（连带）原告邓光萍经济损失3867.1元；二、驳回原告邓光萍的其余诉讼请求。案件受理费1972.64元，减半收取986.32元，由被告重庆嵩悦旅游有限公司、重庆微旅国际旅行社有限公司、重庆枳江旅游有限公司各负担30元，原告邓光萍负担896.32元。</w:t>
      </w:r>
    </w:p>
    <w:p>
      <w:pPr>
        <w:spacing w:line="578" w:lineRule="exact"/>
        <w:ind w:firstLine="640" w:firstLineChars="200"/>
        <w:rPr>
          <w:rFonts w:hint="eastAsia" w:ascii="黑体" w:hAnsi="黑体" w:eastAsia="黑体" w:cs="黑体"/>
          <w:color w:val="000000"/>
          <w:sz w:val="32"/>
          <w:szCs w:val="32"/>
          <w:lang w:val="en-US" w:eastAsia="zh-CN"/>
        </w:rPr>
      </w:pPr>
      <w:r>
        <w:rPr>
          <w:rFonts w:hint="eastAsia" w:ascii="仿宋" w:hAnsi="仿宋" w:eastAsia="仿宋" w:cs="SSJ-PK74820000a3c-Identity-H"/>
          <w:kern w:val="0"/>
          <w:sz w:val="32"/>
          <w:szCs w:val="32"/>
          <w:lang w:val="en-US" w:eastAsia="zh-CN"/>
        </w:rPr>
        <w:t>邓光萍不服原审判决，提出上诉。重庆市第三中级人民法院于2020年3月23日作出</w:t>
      </w:r>
      <w:r>
        <w:rPr>
          <w:rFonts w:hint="eastAsia" w:ascii="黑体" w:hAnsi="黑体" w:eastAsia="黑体" w:cs="黑体"/>
          <w:sz w:val="28"/>
          <w:szCs w:val="28"/>
          <w:lang w:val="en-US" w:eastAsia="zh-CN"/>
        </w:rPr>
        <w:t>（2020）</w:t>
      </w:r>
      <w:r>
        <w:rPr>
          <w:rFonts w:hint="eastAsia" w:asciiTheme="minorEastAsia" w:hAnsiTheme="minorEastAsia" w:eastAsiaTheme="minorEastAsia" w:cstheme="minorEastAsia"/>
          <w:sz w:val="28"/>
          <w:szCs w:val="28"/>
          <w:lang w:val="en-US" w:eastAsia="zh-CN"/>
        </w:rPr>
        <w:t>渝民终129号民事判决</w:t>
      </w:r>
      <w:r>
        <w:rPr>
          <w:rFonts w:hint="eastAsia" w:asciiTheme="minorEastAsia" w:hAnsiTheme="minorEastAsia" w:cstheme="minorEastAsia"/>
          <w:sz w:val="28"/>
          <w:szCs w:val="28"/>
          <w:lang w:val="en-US" w:eastAsia="zh-CN"/>
        </w:rPr>
        <w:t>：驳回上诉，维持原判。</w:t>
      </w:r>
      <w:r>
        <w:rPr>
          <w:rFonts w:hint="eastAsia" w:ascii="仿宋" w:hAnsi="仿宋" w:eastAsia="仿宋" w:cs="仿宋_GB2312"/>
          <w:color w:val="000000"/>
          <w:kern w:val="0"/>
          <w:sz w:val="32"/>
          <w:szCs w:val="32"/>
        </w:rPr>
        <w:t>二审案件受理费</w:t>
      </w:r>
      <w:r>
        <w:rPr>
          <w:rFonts w:hint="eastAsia" w:ascii="仿宋" w:hAnsi="仿宋" w:eastAsia="仿宋" w:cs="仿宋"/>
          <w:color w:val="000000"/>
          <w:sz w:val="32"/>
          <w:szCs w:val="32"/>
          <w:lang w:val="en-US" w:eastAsia="zh-CN"/>
        </w:rPr>
        <w:t>1973</w:t>
      </w:r>
      <w:r>
        <w:rPr>
          <w:rFonts w:hint="eastAsia" w:ascii="仿宋" w:hAnsi="仿宋" w:eastAsia="仿宋"/>
          <w:sz w:val="32"/>
          <w:szCs w:val="32"/>
        </w:rPr>
        <w:t>元</w:t>
      </w:r>
      <w:r>
        <w:rPr>
          <w:rFonts w:hint="eastAsia" w:ascii="仿宋" w:hAnsi="仿宋" w:eastAsia="仿宋" w:cs="仿宋_GB2312"/>
          <w:color w:val="000000"/>
          <w:kern w:val="0"/>
          <w:sz w:val="32"/>
          <w:szCs w:val="32"/>
        </w:rPr>
        <w:t>，由上诉人</w:t>
      </w:r>
      <w:r>
        <w:rPr>
          <w:rFonts w:hint="eastAsia" w:ascii="仿宋" w:hAnsi="仿宋" w:eastAsia="仿宋" w:cs="仿宋"/>
          <w:color w:val="000000"/>
          <w:sz w:val="32"/>
          <w:szCs w:val="32"/>
        </w:rPr>
        <w:t>邓光萍</w:t>
      </w:r>
      <w:r>
        <w:rPr>
          <w:rFonts w:hint="eastAsia" w:ascii="仿宋" w:hAnsi="仿宋" w:eastAsia="仿宋"/>
          <w:color w:val="000000"/>
          <w:sz w:val="32"/>
        </w:rPr>
        <w:t>负担</w:t>
      </w:r>
      <w:r>
        <w:rPr>
          <w:rFonts w:hint="eastAsia" w:ascii="仿宋" w:hAnsi="仿宋" w:eastAsia="仿宋" w:cs="仿宋_GB2312"/>
          <w:color w:val="000000"/>
          <w:kern w:val="0"/>
          <w:sz w:val="32"/>
          <w:szCs w:val="32"/>
        </w:rPr>
        <w:t>。</w:t>
      </w:r>
    </w:p>
    <w:p>
      <w:pPr>
        <w:numPr>
          <w:ilvl w:val="0"/>
          <w:numId w:val="0"/>
        </w:num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rPr>
      </w:pPr>
      <w:r>
        <w:rPr>
          <w:rFonts w:hint="eastAsia" w:ascii="黑体" w:hAnsi="黑体" w:eastAsia="黑体" w:cs="黑体"/>
          <w:kern w:val="0"/>
          <w:sz w:val="28"/>
          <w:szCs w:val="28"/>
          <w:lang w:val="en-US" w:eastAsia="zh-CN"/>
        </w:rPr>
        <w:t>[裁判理由]</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法院生效判决</w:t>
      </w:r>
      <w:r>
        <w:rPr>
          <w:rFonts w:hint="eastAsia" w:ascii="仿宋" w:hAnsi="仿宋" w:eastAsia="仿宋" w:cs="SSJ-PK74820000a3c-Identity-H"/>
          <w:kern w:val="0"/>
          <w:sz w:val="32"/>
          <w:szCs w:val="32"/>
        </w:rPr>
        <w:t>认为</w:t>
      </w:r>
      <w:r>
        <w:rPr>
          <w:rFonts w:hint="eastAsia" w:ascii="仿宋" w:hAnsi="仿宋" w:eastAsia="仿宋" w:cs="H-SS9-PK74820000a48-Identity-H"/>
          <w:kern w:val="0"/>
          <w:sz w:val="32"/>
          <w:szCs w:val="32"/>
        </w:rPr>
        <w:t>，原被告争议的焦点是：一、责任主体及责任形态等问题；二、损失金额的确定等问题。</w:t>
      </w:r>
    </w:p>
    <w:p>
      <w:pPr>
        <w:numPr>
          <w:ilvl w:val="0"/>
          <w:numId w:val="1"/>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责任主体及责任形态等问题。</w:t>
      </w:r>
      <w:r>
        <w:rPr>
          <w:rFonts w:hint="eastAsia" w:ascii="仿宋" w:hAnsi="仿宋" w:eastAsia="仿宋" w:cs="E-BZ9-PK74888-Identity-H"/>
          <w:kern w:val="0"/>
          <w:sz w:val="32"/>
          <w:szCs w:val="32"/>
        </w:rPr>
        <w:t>被告嵩悦公司主办</w:t>
      </w:r>
      <w:r>
        <w:rPr>
          <w:rFonts w:hint="eastAsia" w:ascii="仿宋" w:hAnsi="仿宋" w:eastAsia="仿宋" w:cs="H-SS9-PK74820000a48-Identity-H"/>
          <w:kern w:val="0"/>
          <w:sz w:val="32"/>
          <w:szCs w:val="32"/>
        </w:rPr>
        <w:t>“DJ电音、雪地烤羊、篝火晚会、跨年烟花、夜场滑雪表演、浪漫雪地帐篷、小丑表演”商业集会活动，并进行广告宣传组织集会，该活动</w:t>
      </w:r>
      <w:r>
        <w:rPr>
          <w:rFonts w:hint="eastAsia" w:ascii="仿宋" w:hAnsi="仿宋" w:eastAsia="仿宋" w:cs="E-BZ9-PK74888-Identity-H"/>
          <w:kern w:val="0"/>
          <w:sz w:val="32"/>
          <w:szCs w:val="32"/>
        </w:rPr>
        <w:t>被告嵩悦公司依法对参与活动的游客有安全保障的义务，如实告知详细活动安全注意内容的义务。被告嵩悦公司在组织集会过程中未尽</w:t>
      </w:r>
      <w:r>
        <w:rPr>
          <w:rFonts w:hint="eastAsia" w:ascii="仿宋" w:hAnsi="仿宋" w:eastAsia="仿宋" w:cs="H-SS9-PK74820000a48-Identity-H"/>
          <w:kern w:val="0"/>
          <w:sz w:val="32"/>
          <w:szCs w:val="32"/>
        </w:rPr>
        <w:t>夜场滑雪表演及游客戏雪内容说明义务及安全保障义务，误导游客可滑雪，诱发原告擅自从破损的拦网处进入滑雪场滑雪，以致撞倒受伤，</w:t>
      </w:r>
      <w:r>
        <w:rPr>
          <w:rFonts w:hint="eastAsia" w:ascii="仿宋" w:hAnsi="仿宋" w:eastAsia="仿宋" w:cs="E-BZ9-PK74888-Identity-H"/>
          <w:kern w:val="0"/>
          <w:sz w:val="32"/>
          <w:szCs w:val="32"/>
        </w:rPr>
        <w:t>被告嵩悦公司存在过失的过错行为，依法应当承担过错赔偿责任。被告微旅公司的工作人员，以微旅公司名义进行旅游服务销售活动，其行为属于协助被告嵩悦公司承办集会的职务行为，其工作人员在履行职务过程中存在未尽如实告知</w:t>
      </w:r>
      <w:r>
        <w:rPr>
          <w:rFonts w:hint="eastAsia" w:ascii="仿宋" w:hAnsi="仿宋" w:eastAsia="仿宋" w:cs="H-SS9-PK74820000a48-Identity-H"/>
          <w:kern w:val="0"/>
          <w:sz w:val="32"/>
          <w:szCs w:val="32"/>
        </w:rPr>
        <w:t>夜场滑雪表演及游客戏雪内容说明义务，误导游客可滑雪，以致原告参与滑雪撞倒受伤，存在过失的过错责任，该</w:t>
      </w:r>
      <w:r>
        <w:rPr>
          <w:rFonts w:hint="eastAsia" w:ascii="仿宋" w:hAnsi="仿宋" w:eastAsia="仿宋" w:cs="E-BZ9-PK74888-Identity-H"/>
          <w:kern w:val="0"/>
          <w:sz w:val="32"/>
          <w:szCs w:val="32"/>
        </w:rPr>
        <w:t>责任依法应当由被告微旅公司承担。被告枳江公司在接受微旅公司委托，承担游客接待运输与游客自由活动的管理过程中，存在未尽如实告知</w:t>
      </w:r>
      <w:r>
        <w:rPr>
          <w:rFonts w:hint="eastAsia" w:ascii="仿宋" w:hAnsi="仿宋" w:eastAsia="仿宋" w:cs="H-SS9-PK74820000a48-Identity-H"/>
          <w:kern w:val="0"/>
          <w:sz w:val="32"/>
          <w:szCs w:val="32"/>
        </w:rPr>
        <w:t>夜场滑雪表演及游客戏雪内容说明义务，误导游客可滑雪，存在过失的过错责任，同时未对游客进行有效管理存在过失，依法应当承担过错赔偿责任。以上分析可知，被告</w:t>
      </w:r>
      <w:r>
        <w:rPr>
          <w:rFonts w:hint="eastAsia" w:ascii="仿宋" w:hAnsi="仿宋" w:eastAsia="仿宋" w:cs="E-BZ9-PK74888-Identity-H"/>
          <w:kern w:val="0"/>
          <w:sz w:val="32"/>
          <w:szCs w:val="32"/>
        </w:rPr>
        <w:t>嵩悦公司、微旅公司、枳江公司存在未尽安全保障义务的共同过失依法应当承担连带赔偿责任。原告在滑雪过程中，明知晚上滑雪存在较大风险，同时在滑雪场未开放无安全保护的条件下，擅自从破损的围栏缺口处进入滑雪场滑雪，以致撞倒受伤，自己存在明显过错，应当承担民事责任。综上，以被告嵩悦公司、微旅公司、枳江公司共同承担原告经济损失55%赔偿责任(三被告的内部负担比例为，被告嵩悦公司、枳江公司各负担20%，被告微旅公司负担15%赔偿责任)，原告高秀平自己负担45%经济损失责任为宜。</w:t>
      </w:r>
    </w:p>
    <w:p>
      <w:pPr>
        <w:numPr>
          <w:ilvl w:val="0"/>
          <w:numId w:val="1"/>
        </w:numPr>
        <w:autoSpaceDE w:val="0"/>
        <w:autoSpaceDN w:val="0"/>
        <w:adjustRightInd w:val="0"/>
        <w:spacing w:line="560" w:lineRule="exact"/>
        <w:ind w:left="0" w:leftChars="0" w:firstLine="640" w:firstLineChars="200"/>
        <w:rPr>
          <w:rFonts w:hint="eastAsia" w:ascii="仿宋" w:hAnsi="仿宋" w:eastAsia="仿宋" w:cs="E-BZ9-PK74888-Identity-H"/>
          <w:kern w:val="0"/>
          <w:sz w:val="32"/>
          <w:szCs w:val="32"/>
        </w:rPr>
      </w:pPr>
      <w:r>
        <w:rPr>
          <w:rFonts w:hint="eastAsia" w:ascii="仿宋" w:hAnsi="仿宋" w:eastAsia="仿宋" w:cs="H-SS9-PK74820000a48-Identity-H"/>
          <w:kern w:val="0"/>
          <w:sz w:val="32"/>
          <w:szCs w:val="32"/>
        </w:rPr>
        <w:t>损失金额的确定等问题。</w:t>
      </w:r>
      <w:r>
        <w:rPr>
          <w:rFonts w:hint="eastAsia" w:ascii="仿宋" w:hAnsi="仿宋" w:eastAsia="仿宋" w:cs="SSJ-PK74820000a3c-Identity-H"/>
          <w:kern w:val="0"/>
          <w:sz w:val="32"/>
          <w:szCs w:val="32"/>
        </w:rPr>
        <w:t>原告邓光萍</w:t>
      </w:r>
      <w:r>
        <w:rPr>
          <w:rFonts w:hint="eastAsia" w:ascii="仿宋" w:hAnsi="仿宋" w:eastAsia="仿宋" w:cs="E-BZ9-PK74888-Identity-H"/>
          <w:kern w:val="0"/>
          <w:sz w:val="32"/>
          <w:szCs w:val="32"/>
        </w:rPr>
        <w:t>的经济损失依法计算，1.医疗费据实计算为37056.83元；2.后续医疗费按重庆法医验伤司法鉴定意见确定为5000元；3.交通费为118.5元；4.住院伙食补助费计算为60元/天</w:t>
      </w:r>
      <w:r>
        <w:rPr>
          <w:rFonts w:ascii="Arial" w:hAnsi="Arial" w:eastAsia="仿宋" w:cs="Arial"/>
          <w:kern w:val="0"/>
          <w:sz w:val="32"/>
          <w:szCs w:val="32"/>
        </w:rPr>
        <w:t>×</w:t>
      </w:r>
      <w:r>
        <w:rPr>
          <w:rFonts w:hint="eastAsia" w:ascii="Arial" w:hAnsi="Arial" w:eastAsia="仿宋" w:cs="Arial"/>
          <w:kern w:val="0"/>
          <w:sz w:val="32"/>
          <w:szCs w:val="32"/>
        </w:rPr>
        <w:t>93天=5580元；5.误工费计算为100元/天</w:t>
      </w:r>
      <w:r>
        <w:rPr>
          <w:rFonts w:ascii="Arial" w:hAnsi="Arial" w:eastAsia="仿宋" w:cs="Arial"/>
          <w:kern w:val="0"/>
          <w:sz w:val="32"/>
          <w:szCs w:val="32"/>
        </w:rPr>
        <w:t>×</w:t>
      </w:r>
      <w:r>
        <w:rPr>
          <w:rFonts w:hint="eastAsia" w:ascii="Arial" w:hAnsi="Arial" w:eastAsia="仿宋" w:cs="Arial"/>
          <w:kern w:val="0"/>
          <w:sz w:val="32"/>
          <w:szCs w:val="32"/>
        </w:rPr>
        <w:t>93天=9300元；6.护理费计算为，120元/天</w:t>
      </w:r>
      <w:r>
        <w:rPr>
          <w:rFonts w:ascii="Arial" w:hAnsi="Arial" w:eastAsia="仿宋" w:cs="Arial"/>
          <w:kern w:val="0"/>
          <w:sz w:val="32"/>
          <w:szCs w:val="32"/>
        </w:rPr>
        <w:t>×</w:t>
      </w:r>
      <w:r>
        <w:rPr>
          <w:rFonts w:hint="eastAsia" w:ascii="Arial" w:hAnsi="Arial" w:eastAsia="仿宋" w:cs="Arial"/>
          <w:kern w:val="0"/>
          <w:sz w:val="32"/>
          <w:szCs w:val="32"/>
        </w:rPr>
        <w:t>60天=7200元；7.营养费酌定为900元；8.鉴定费计1670元，以上共计66825.33元，</w:t>
      </w:r>
      <w:r>
        <w:rPr>
          <w:rFonts w:hint="eastAsia" w:ascii="仿宋" w:hAnsi="仿宋" w:eastAsia="仿宋" w:cs="E-BZ9-PK74888-Identity-H"/>
          <w:kern w:val="0"/>
          <w:sz w:val="32"/>
          <w:szCs w:val="32"/>
        </w:rPr>
        <w:t>被告嵩悦公司、微旅公司、枳江公司应共同赔偿的损失计算为</w:t>
      </w:r>
      <w:r>
        <w:rPr>
          <w:rFonts w:hint="eastAsia" w:ascii="Arial" w:hAnsi="Arial" w:eastAsia="仿宋" w:cs="Arial"/>
          <w:kern w:val="0"/>
          <w:sz w:val="32"/>
          <w:szCs w:val="32"/>
        </w:rPr>
        <w:t>66825.33元</w:t>
      </w:r>
      <w:r>
        <w:rPr>
          <w:rFonts w:ascii="Arial" w:hAnsi="Arial" w:eastAsia="仿宋" w:cs="Arial"/>
          <w:kern w:val="0"/>
          <w:sz w:val="32"/>
          <w:szCs w:val="32"/>
        </w:rPr>
        <w:t>×</w:t>
      </w:r>
      <w:r>
        <w:rPr>
          <w:rFonts w:hint="eastAsia" w:ascii="Arial" w:hAnsi="Arial" w:eastAsia="仿宋" w:cs="Arial"/>
          <w:kern w:val="0"/>
          <w:sz w:val="32"/>
          <w:szCs w:val="32"/>
        </w:rPr>
        <w:t>55%=36753.93元，</w:t>
      </w:r>
      <w:r>
        <w:rPr>
          <w:rFonts w:hint="eastAsia" w:ascii="仿宋" w:hAnsi="仿宋" w:eastAsia="仿宋" w:cs="E-BZ9-PK74888-Identity-H"/>
          <w:kern w:val="0"/>
          <w:sz w:val="32"/>
          <w:szCs w:val="32"/>
        </w:rPr>
        <w:t>被告嵩悦公司、微旅公司、枳江公司实际共同赔偿的金额为，应赔偿的金额</w:t>
      </w:r>
      <w:r>
        <w:rPr>
          <w:rFonts w:hint="eastAsia" w:ascii="Arial" w:hAnsi="Arial" w:eastAsia="仿宋" w:cs="Arial"/>
          <w:kern w:val="0"/>
          <w:sz w:val="32"/>
          <w:szCs w:val="32"/>
        </w:rPr>
        <w:t>减已赔偿的金额，计算为36753.93元-</w:t>
      </w:r>
      <w:r>
        <w:rPr>
          <w:rFonts w:ascii="Arial" w:hAnsi="Arial" w:eastAsia="仿宋" w:cs="Arial"/>
          <w:kern w:val="0"/>
          <w:sz w:val="32"/>
          <w:szCs w:val="32"/>
        </w:rPr>
        <w:t>31986.83</w:t>
      </w:r>
      <w:r>
        <w:rPr>
          <w:rFonts w:hint="eastAsia" w:ascii="Arial" w:hAnsi="Arial" w:eastAsia="仿宋" w:cs="Arial"/>
          <w:kern w:val="0"/>
          <w:sz w:val="32"/>
          <w:szCs w:val="32"/>
        </w:rPr>
        <w:t>元</w:t>
      </w:r>
      <w:r>
        <w:rPr>
          <w:rFonts w:ascii="Arial" w:hAnsi="Arial" w:eastAsia="仿宋" w:cs="Arial"/>
          <w:kern w:val="0"/>
          <w:sz w:val="32"/>
          <w:szCs w:val="32"/>
        </w:rPr>
        <w:t>-900</w:t>
      </w:r>
      <w:r>
        <w:rPr>
          <w:rFonts w:hint="eastAsia" w:ascii="Arial" w:hAnsi="Arial" w:eastAsia="仿宋" w:cs="Arial"/>
          <w:kern w:val="0"/>
          <w:sz w:val="32"/>
          <w:szCs w:val="32"/>
        </w:rPr>
        <w:t>元</w:t>
      </w:r>
      <w:r>
        <w:rPr>
          <w:rFonts w:ascii="Arial" w:hAnsi="Arial" w:eastAsia="仿宋" w:cs="Arial"/>
          <w:kern w:val="0"/>
          <w:sz w:val="32"/>
          <w:szCs w:val="32"/>
        </w:rPr>
        <w:t>=3867.1</w:t>
      </w:r>
      <w:r>
        <w:rPr>
          <w:rFonts w:hint="eastAsia" w:ascii="Arial" w:hAnsi="Arial" w:eastAsia="仿宋" w:cs="Arial"/>
          <w:kern w:val="0"/>
          <w:sz w:val="32"/>
          <w:szCs w:val="32"/>
        </w:rPr>
        <w:t>元。</w:t>
      </w:r>
      <w:r>
        <w:rPr>
          <w:rFonts w:hint="eastAsia" w:ascii="仿宋" w:hAnsi="仿宋" w:eastAsia="仿宋" w:cs="E-BZ9-PK74888-Identity-H"/>
          <w:kern w:val="0"/>
          <w:sz w:val="32"/>
          <w:szCs w:val="32"/>
        </w:rPr>
        <w:t>被告嵩悦公司虽申请重新鉴定，但重新作出的司法鉴定意见对原司法鉴定意见未作实质性的改变，因此发生的鉴定费2030元属于扩大的损失，依法应由被告嵩悦公司负担。</w:t>
      </w:r>
    </w:p>
    <w:p>
      <w:pPr>
        <w:numPr>
          <w:ilvl w:val="0"/>
          <w:numId w:val="0"/>
        </w:numPr>
        <w:autoSpaceDE w:val="0"/>
        <w:autoSpaceDN w:val="0"/>
        <w:adjustRightInd w:val="0"/>
        <w:spacing w:line="560" w:lineRule="exact"/>
        <w:ind w:leftChars="200"/>
        <w:rPr>
          <w:rFonts w:hint="default" w:ascii="仿宋" w:hAnsi="仿宋" w:eastAsia="仿宋" w:cs="E-BZ9-PK74888-Identity-H"/>
          <w:kern w:val="0"/>
          <w:sz w:val="32"/>
          <w:szCs w:val="32"/>
          <w:lang w:val="en-US" w:eastAsia="zh-CN"/>
        </w:rPr>
      </w:pPr>
      <w:r>
        <w:rPr>
          <w:rFonts w:hint="eastAsia" w:ascii="黑体" w:hAnsi="黑体" w:eastAsia="黑体" w:cs="黑体"/>
          <w:kern w:val="0"/>
          <w:sz w:val="32"/>
          <w:szCs w:val="32"/>
          <w:lang w:val="en-US" w:eastAsia="zh-CN"/>
        </w:rPr>
        <w:t>[案例注释]</w:t>
      </w:r>
    </w:p>
    <w:p>
      <w:pPr>
        <w:autoSpaceDE w:val="0"/>
        <w:autoSpaceDN w:val="0"/>
        <w:adjustRightInd w:val="0"/>
        <w:spacing w:line="560" w:lineRule="exact"/>
        <w:ind w:firstLine="280" w:firstLineChars="100"/>
        <w:rPr>
          <w:rFonts w:hint="eastAsia" w:asciiTheme="minorEastAsia" w:hAnsiTheme="minorEastAsia" w:cstheme="minorEastAsia"/>
          <w:kern w:val="0"/>
          <w:sz w:val="32"/>
          <w:szCs w:val="32"/>
          <w:lang w:eastAsia="zh-CN"/>
        </w:rPr>
      </w:pPr>
      <w:r>
        <w:rPr>
          <w:rFonts w:hint="eastAsia" w:ascii="Times New Roman" w:hAnsi="Times New Roman" w:eastAsia="黑体" w:cs="Times New Roman"/>
          <w:color w:val="000000"/>
          <w:sz w:val="28"/>
          <w:szCs w:val="28"/>
          <w:lang w:eastAsia="zh-CN"/>
        </w:rPr>
        <w:t>　</w:t>
      </w:r>
      <w:r>
        <w:rPr>
          <w:rFonts w:hint="eastAsia" w:asciiTheme="minorEastAsia" w:hAnsiTheme="minorEastAsia" w:eastAsiaTheme="minorEastAsia" w:cstheme="minorEastAsia"/>
          <w:kern w:val="0"/>
          <w:sz w:val="32"/>
          <w:szCs w:val="32"/>
          <w:lang w:eastAsia="zh-CN"/>
        </w:rPr>
        <w:t>当今</w:t>
      </w:r>
      <w:r>
        <w:rPr>
          <w:rFonts w:hint="eastAsia" w:asciiTheme="minorEastAsia" w:hAnsiTheme="minorEastAsia" w:cstheme="minorEastAsia"/>
          <w:kern w:val="0"/>
          <w:sz w:val="32"/>
          <w:szCs w:val="32"/>
          <w:lang w:eastAsia="zh-CN"/>
        </w:rPr>
        <w:t>旅游服务业正如火如荼向一个新时代迈进，参与旅游享受大自然及人文景观的游客不断涌现，可也因管理不善而引发纠纷的案件越来越多，游客在旅游过程中受害就是其中的一类案件，该类案件的难点就是如何分清游客过错责任及旅游服务公司过错责任，对于单一旅游服务提供者而言分清游客责任与旅游服务单位或者个人责任相对较为容易，但是对于联合服务而言，划分旅游服务单位之间的责任大小及责任形态却比较困难，解决这一难题必须正确理解“共同侵权”理论构成。</w:t>
      </w:r>
    </w:p>
    <w:p>
      <w:pPr>
        <w:autoSpaceDE w:val="0"/>
        <w:autoSpaceDN w:val="0"/>
        <w:adjustRightInd w:val="0"/>
        <w:spacing w:line="560" w:lineRule="exact"/>
        <w:ind w:firstLine="640" w:firstLineChars="200"/>
        <w:rPr>
          <w:rFonts w:hint="eastAsia" w:asciiTheme="minorEastAsia" w:hAnsiTheme="minorEastAsia" w:cstheme="minorEastAsia"/>
          <w:kern w:val="0"/>
          <w:sz w:val="32"/>
          <w:szCs w:val="32"/>
          <w:lang w:val="en-US" w:eastAsia="zh-CN"/>
        </w:rPr>
      </w:pPr>
      <w:r>
        <w:rPr>
          <w:rFonts w:hint="eastAsia" w:asciiTheme="minorEastAsia" w:hAnsiTheme="minorEastAsia" w:cstheme="minorEastAsia"/>
          <w:kern w:val="0"/>
          <w:sz w:val="32"/>
          <w:szCs w:val="32"/>
          <w:lang w:eastAsia="zh-CN"/>
        </w:rPr>
        <w:t>共同侵权的理论构成。对于多数人侵权责任我国《侵权责任法》采取的不是，法国模式——由一般规定来处理，也不是意大利模式——规定多数人侵权责任的法律效果不规定构成要件，而是德国模式——规定多数人侵权责任的构成要件与法律效果。多数人侵权责任是承担按份责任或连带责任关键在正确理解两种责任形态的构成要件与法律效果上。要厘清多数人侵权责任的形态，必须进行理论上的梳理，多数人无意思联络，也无损害结果上的关联，时空上无逻辑关联，多数人对自己的侵权行为承担各自的责任，在理论界和司法实务界无争议，这里不作讨论，但多数人的侵权行为存在“共同”的问题上，是主观共同或者客观损害结果关联即可，理论界和司法实践中争议很大，从理论上看，有主观说，该说认为共同侵权的侵权行为人为两人以上，两人在实施侵权时为故意且主观认识上存在意思联络，分工协作，结果上造成受害人损害，由此成立共同侵权，侵权人承担连带赔偿责任；二是客观说，该说认为，各加害人不需要意思联络，只要数人之行为客观上发生同一损害结果，即成立共同侵权行为；三是折中说，该说认为，判断共同侵权行为应从主客观两方面进行分析，主观上可以是故意，也可以是过失，客观上数个加害人的行为形成为一个整体，成为发生损害的原因即成为共同侵权；四是兼指说，该说认为，侵权行为人有意思联络，对多数人行为发生同一或不同一损害承担连带赔偿责任，对多数人虽无意思联络，但数人之行为客观上造成同一损害结果即成立共同侵权。以上学说，不难看出主观说，对于受害人而言难于举证，不利于对受害人的保护，客观说过于宽松，有违侵权责任法的“自己责任原则”，司法实践中容易将一些互不相关，无逻辑联系的行为纳入“共同”侵权行为中，让行为人负担过重，折中说实为客观说扩张，没有分清责任人的当然责任，兼指说相对而言吸收主观说，客观说，折中说的优点，被大陆法系多数国家所采纳。《德国民法典》第</w:t>
      </w:r>
      <w:r>
        <w:rPr>
          <w:rFonts w:hint="eastAsia" w:asciiTheme="minorEastAsia" w:hAnsiTheme="minorEastAsia" w:cstheme="minorEastAsia"/>
          <w:kern w:val="0"/>
          <w:sz w:val="32"/>
          <w:szCs w:val="32"/>
          <w:lang w:val="en-US" w:eastAsia="zh-CN"/>
        </w:rPr>
        <w:t>830条规定了有意思联络数人共同侵权的责任，</w:t>
      </w:r>
      <w:r>
        <w:rPr>
          <w:rFonts w:hint="eastAsia" w:asciiTheme="minorEastAsia" w:hAnsiTheme="minorEastAsia" w:cstheme="minorEastAsia"/>
          <w:kern w:val="0"/>
          <w:sz w:val="32"/>
          <w:szCs w:val="32"/>
          <w:lang w:eastAsia="zh-CN"/>
        </w:rPr>
        <w:t>第</w:t>
      </w:r>
      <w:r>
        <w:rPr>
          <w:rFonts w:hint="eastAsia" w:asciiTheme="minorEastAsia" w:hAnsiTheme="minorEastAsia" w:cstheme="minorEastAsia"/>
          <w:kern w:val="0"/>
          <w:sz w:val="32"/>
          <w:szCs w:val="32"/>
          <w:lang w:val="en-US" w:eastAsia="zh-CN"/>
        </w:rPr>
        <w:t>840条第1项规定，数人没有意思联络，对共同所生损害无法确定，各人负共同侵权的连带责任。日本及我国台湾地区在民法上均有类似的规定。我国《侵权责任法》第八、九、十条分别规定“共同侵权行为”、“教唆、帮助行为”、“共同危险行为”及责任，第十一、十二条对行为关联共同的无意思联络数人的侵权责任，由此可以看出我国《侵权责任法》立法者对审判实务中扩大连带责任持谨慎的态度，一般以意思联络为共同侵权的原则，辅之以第十一、十二条规定情形为例外。共同侵权行为有四个构成要件，第一加害主体为复数；第二加害行为的协作性，该要件是指的共同性，即包加害人相互利用，彼此支持，相互配合；第三主观意思括共同故意，共同过失（仅指对损害的发生有共同的认识，但均有回避的自信）；第四损害结果的统一性，该要件指侵权行为人的行为造成的损害后果形成统一整体。符合以上四个要件构成共同侵权，对于共同侵权我国《侵权责任法》规定承担连带责任。</w:t>
      </w:r>
    </w:p>
    <w:p>
      <w:pPr>
        <w:autoSpaceDE w:val="0"/>
        <w:autoSpaceDN w:val="0"/>
        <w:adjustRightInd w:val="0"/>
        <w:spacing w:line="560" w:lineRule="exact"/>
        <w:ind w:firstLine="640" w:firstLineChars="200"/>
        <w:rPr>
          <w:rFonts w:hint="eastAsia" w:eastAsia="仿宋" w:asciiTheme="minorEastAsia" w:hAnsiTheme="minorEastAsia" w:cstheme="minorEastAsia"/>
          <w:kern w:val="0"/>
          <w:sz w:val="32"/>
          <w:szCs w:val="32"/>
          <w:lang w:val="en-US" w:eastAsia="zh-CN"/>
        </w:rPr>
      </w:pPr>
      <w:r>
        <w:rPr>
          <w:rFonts w:hint="eastAsia" w:asciiTheme="minorEastAsia" w:hAnsiTheme="minorEastAsia" w:cstheme="minorEastAsia"/>
          <w:kern w:val="0"/>
          <w:sz w:val="32"/>
          <w:szCs w:val="32"/>
          <w:lang w:val="en-US" w:eastAsia="zh-CN"/>
        </w:rPr>
        <w:t>契合案件的分析。</w:t>
      </w:r>
      <w:r>
        <w:rPr>
          <w:rFonts w:hint="eastAsia" w:ascii="仿宋" w:hAnsi="仿宋" w:eastAsia="仿宋" w:cs="仿宋"/>
          <w:color w:val="000000"/>
          <w:sz w:val="32"/>
          <w:szCs w:val="32"/>
        </w:rPr>
        <w:t>嵩悦公司举办“雪地跨年电音节”商业演出活动</w:t>
      </w:r>
      <w:r>
        <w:rPr>
          <w:rFonts w:hint="eastAsia" w:ascii="仿宋" w:hAnsi="仿宋" w:eastAsia="仿宋" w:cs="仿宋"/>
          <w:color w:val="000000"/>
          <w:sz w:val="32"/>
          <w:szCs w:val="32"/>
          <w:lang w:eastAsia="zh-CN"/>
        </w:rPr>
        <w:t>，其目的是招揽游客，扩大景区的影响力，增加景区收入。为了完成这一活动，</w:t>
      </w:r>
      <w:r>
        <w:rPr>
          <w:rFonts w:hint="eastAsia" w:ascii="仿宋" w:hAnsi="仿宋" w:eastAsia="仿宋" w:cs="仿宋"/>
          <w:color w:val="000000"/>
          <w:sz w:val="32"/>
          <w:szCs w:val="32"/>
          <w:lang w:val="en-US" w:eastAsia="zh-CN"/>
        </w:rPr>
        <w:t>枳江公司，微旅公司协助活动的开展，三家公司进行分工配合，微旅公司的工作是宣传及收取服务费用，枳江公司的工作是运输游客，</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的工作是组织相关的人员开展演出活动。从活动的整体看，三家公司有相互进行工作衔接，保障游客人身及财产安全的义务，不欺骗，隐瞒，误导游客的商业诚信义务，三家公司如果未尽义务造成游客损害应承担民事赔偿责任，但承担的是按分责任（自己责任）？或者是共同责任呢？必须考量行为内容的共同性，即侵权行为是否符合共同侵权的构成要件才能得出结论。从游客邓某萍发生事故的原因上看，是广告存在“戏雪”字样，邓某萍认为戏雪就是可以晚上滑雪，以致滑雪不慎摔倒受伤。戏雪是否包括自己可以滑雪，三家公司没有明确告诉游客，如不包括，三家公司均有明确解释的义务，已达游客，产生游客自己对自己行为负责的效果，三家公司对这一广告用语存在可能误导游客，是知道或应当知道的，之所以不解释是为了追求激发游客兴趣的效果，但是对于游客因此而受到损害，并不是作为三家旅游服务公司希望的结果，因此三被告的行为符合共同侵权的第二个构成要件，</w:t>
      </w:r>
      <w:r>
        <w:rPr>
          <w:rFonts w:hint="eastAsia" w:asciiTheme="minorEastAsia" w:hAnsiTheme="minorEastAsia" w:cstheme="minorEastAsia"/>
          <w:kern w:val="0"/>
          <w:sz w:val="32"/>
          <w:szCs w:val="32"/>
          <w:lang w:val="en-US" w:eastAsia="zh-CN"/>
        </w:rPr>
        <w:t>加害行为的协作性，也符合第三构成要件，对损害的发生有共同的认识，但均有回避的自信。从损害发生的结果上看，导致原告邓某萍摔倒受伤与三被告行为具有因果关系的统一性，符合第四个构成要件，为此三被告构成共同侵权，应承担连带责任。</w:t>
      </w:r>
    </w:p>
    <w:p>
      <w:pPr>
        <w:spacing w:line="360" w:lineRule="auto"/>
        <w:ind w:firstLine="560" w:firstLineChars="200"/>
        <w:rPr>
          <w:rFonts w:hint="eastAsia"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 xml:space="preserve">    </w:t>
      </w:r>
    </w:p>
    <w:p>
      <w:pPr>
        <w:spacing w:line="360" w:lineRule="auto"/>
        <w:ind w:firstLine="560" w:firstLineChars="200"/>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 xml:space="preserve">    （一审独任审判员 余孝安 二审合议庭成员 陈中林 李  勇 张海瑞）</w:t>
      </w:r>
    </w:p>
    <w:p>
      <w:pPr>
        <w:numPr>
          <w:ilvl w:val="0"/>
          <w:numId w:val="0"/>
        </w:numPr>
        <w:spacing w:line="360" w:lineRule="auto"/>
        <w:ind w:leftChars="200" w:firstLine="560" w:firstLineChars="200"/>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eastAsia="zh-CN"/>
        </w:rPr>
        <w:t>　</w:t>
      </w:r>
      <w:r>
        <w:rPr>
          <w:rFonts w:hint="eastAsia" w:ascii="黑体" w:hAnsi="黑体" w:eastAsia="黑体" w:cs="黑体"/>
          <w:color w:val="000000"/>
          <w:sz w:val="28"/>
          <w:szCs w:val="28"/>
        </w:rPr>
        <w:t>案例撰写人  重庆市丰都县人民法院</w:t>
      </w:r>
      <w:r>
        <w:rPr>
          <w:rFonts w:hint="eastAsia" w:ascii="黑体" w:hAnsi="黑体" w:eastAsia="黑体" w:cs="黑体"/>
          <w:color w:val="000000"/>
          <w:sz w:val="28"/>
          <w:szCs w:val="28"/>
          <w:lang w:eastAsia="zh-CN"/>
        </w:rPr>
        <w:t>高级</w:t>
      </w:r>
      <w:r>
        <w:rPr>
          <w:rFonts w:hint="eastAsia" w:ascii="黑体" w:hAnsi="黑体" w:eastAsia="黑体" w:cs="黑体"/>
          <w:color w:val="000000"/>
          <w:sz w:val="28"/>
          <w:szCs w:val="28"/>
        </w:rPr>
        <w:t>法官 余孝安</w:t>
      </w:r>
      <w:r>
        <w:rPr>
          <w:rFonts w:hint="eastAsia" w:ascii="黑体" w:hAnsi="黑体" w:eastAsia="黑体" w:cs="黑体"/>
          <w:color w:val="000000"/>
          <w:sz w:val="28"/>
          <w:szCs w:val="28"/>
          <w:lang w:val="en-US" w:eastAsia="zh-CN"/>
        </w:rPr>
        <w:t xml:space="preserve"> 联系电话13372770237，身份证号512324196508230437.</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H-SS9-PK74820000a48-Identity-H">
    <w:altName w:val="宋体"/>
    <w:panose1 w:val="00000000000000000000"/>
    <w:charset w:val="86"/>
    <w:family w:val="auto"/>
    <w:pitch w:val="default"/>
    <w:sig w:usb0="00000000" w:usb1="00000000" w:usb2="00000010" w:usb3="00000000" w:csb0="00040000" w:csb1="00000000"/>
  </w:font>
  <w:font w:name="SSJ-PK74820000a3c-Identity-H">
    <w:altName w:val="宋体"/>
    <w:panose1 w:val="00000000000000000000"/>
    <w:charset w:val="86"/>
    <w:family w:val="auto"/>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F4845"/>
    <w:multiLevelType w:val="singleLevel"/>
    <w:tmpl w:val="AF4F48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276FF"/>
    <w:rsid w:val="031E6124"/>
    <w:rsid w:val="0DD30833"/>
    <w:rsid w:val="31574FFD"/>
    <w:rsid w:val="44443BA5"/>
    <w:rsid w:val="5CD103DB"/>
    <w:rsid w:val="773F2AA6"/>
    <w:rsid w:val="77DC18B9"/>
    <w:rsid w:val="7A86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Hyperlink"/>
    <w:basedOn w:val="4"/>
    <w:qFormat/>
    <w:uiPriority w:val="0"/>
    <w:rPr>
      <w:color w:val="000000"/>
      <w:u w:val="none"/>
    </w:rPr>
  </w:style>
  <w:style w:type="character" w:customStyle="1" w:styleId="8">
    <w:name w:val="bsharetext"/>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2021-01-06T07:08:00Z</dcterms:created>
  <dc:creator>Administrator</dc:creator>
  <cp:lastModifiedBy>Administrator</cp:lastModifiedBy>
  <dcterms:modified xsi:type="dcterms:W3CDTF">2021-01-06T09:48:39Z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