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0" w:firstLineChars="200"/>
        <w:rPr>
          <w:rFonts w:hint="eastAsia" w:asciiTheme="majorAscii"/>
          <w:sz w:val="32"/>
          <w:szCs w:val="32"/>
          <w:lang w:val="en-US" w:eastAsia="zh-CN"/>
        </w:rPr>
      </w:pPr>
      <w:r>
        <w:rPr>
          <w:rFonts w:hint="eastAsia" w:asciiTheme="majorAscii"/>
          <w:sz w:val="32"/>
          <w:szCs w:val="32"/>
          <w:lang w:val="en-US" w:eastAsia="zh-CN"/>
        </w:rPr>
        <w:t xml:space="preserve"> 道路改造降低防护标准发生特大交通事故的责任承担</w:t>
      </w:r>
    </w:p>
    <w:p>
      <w:pPr>
        <w:ind w:firstLine="640" w:firstLineChars="200"/>
        <w:rPr>
          <w:rFonts w:hint="default" w:asciiTheme="majorAscii"/>
          <w:sz w:val="28"/>
          <w:szCs w:val="28"/>
          <w:lang w:val="en-US" w:eastAsia="zh-CN"/>
        </w:rPr>
      </w:pPr>
      <w:r>
        <w:rPr>
          <w:rFonts w:hint="eastAsia" w:asciiTheme="majorAscii"/>
          <w:sz w:val="32"/>
          <w:szCs w:val="32"/>
          <w:lang w:val="en-US" w:eastAsia="zh-CN"/>
        </w:rPr>
        <w:t xml:space="preserve"> </w:t>
      </w:r>
      <w:r>
        <w:rPr>
          <w:rFonts w:hint="eastAsia" w:asciiTheme="majorAscii"/>
          <w:sz w:val="28"/>
          <w:szCs w:val="28"/>
          <w:lang w:val="en-US" w:eastAsia="zh-CN"/>
        </w:rPr>
        <w:t xml:space="preserve">                             余孝安</w:t>
      </w:r>
      <w:r>
        <w:rPr>
          <w:rStyle w:val="7"/>
          <w:rFonts w:hint="eastAsia" w:asciiTheme="majorAscii"/>
          <w:sz w:val="28"/>
          <w:szCs w:val="28"/>
          <w:lang w:val="en-US" w:eastAsia="zh-CN"/>
        </w:rPr>
        <w:footnoteReference w:id="0" w:customMarkFollows="1"/>
        <w:t>*</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裁判要旨：道路改造者是道路的所有人或管理人，该处管理人（或所有人）系民事主体，与道路行政管理机关性质不同，该管理是履行行政监督管理职责，该主体属于行政主体。前者发生的合同、侵权等承担的责任属于民事责任，后者发生的懈怠、滥权等属于行政违法行为，承担的责任是行政赔偿责任。前者按过错责任或者推定过错责任归责原则确定赔偿责任，后者按行政违法侵权处理。</w:t>
      </w:r>
    </w:p>
    <w:p>
      <w:pPr>
        <w:ind w:firstLine="560" w:firstLineChars="200"/>
        <w:rPr>
          <w:rFonts w:hint="eastAsia" w:asciiTheme="majorAscii"/>
          <w:sz w:val="28"/>
          <w:szCs w:val="28"/>
          <w:lang w:val="en-US" w:eastAsia="zh-CN"/>
        </w:rPr>
      </w:pPr>
      <w:r>
        <w:rPr>
          <w:rFonts w:hint="eastAsia" w:asciiTheme="majorAscii"/>
          <w:sz w:val="28"/>
          <w:szCs w:val="28"/>
          <w:lang w:val="en-US" w:eastAsia="zh-CN"/>
        </w:rPr>
        <w:t>案情</w:t>
      </w:r>
    </w:p>
    <w:p>
      <w:pPr>
        <w:ind w:firstLine="560" w:firstLineChars="200"/>
        <w:rPr>
          <w:rFonts w:hint="eastAsia" w:asciiTheme="majorAscii"/>
          <w:sz w:val="28"/>
          <w:szCs w:val="28"/>
          <w:lang w:val="en-US" w:eastAsia="zh-CN"/>
        </w:rPr>
      </w:pPr>
      <w:r>
        <w:rPr>
          <w:rFonts w:hint="eastAsia" w:asciiTheme="majorAscii"/>
          <w:sz w:val="28"/>
          <w:szCs w:val="28"/>
          <w:lang w:val="en-US" w:eastAsia="zh-CN"/>
        </w:rPr>
        <w:t>原告：廖克祥、张德芳等六人</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被告：丰都县三合街道办事处（简称三合办事处）</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被告：丰都县三合街道鹿鸣岩村民委员会（简称鹿鸣岩村委）</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被告：丰都县三合街道农业服务中心（简称三合农服中心）</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被告：重庆市丰都县交通建设工程有限责任公司（简称交建公司）</w:t>
      </w:r>
    </w:p>
    <w:p>
      <w:pPr>
        <w:ind w:firstLine="560" w:firstLineChars="200"/>
        <w:rPr>
          <w:rFonts w:hint="eastAsia" w:asciiTheme="majorAscii"/>
          <w:sz w:val="28"/>
          <w:szCs w:val="28"/>
          <w:lang w:val="en-US" w:eastAsia="zh-CN"/>
        </w:rPr>
      </w:pPr>
      <w:r>
        <w:rPr>
          <w:rFonts w:hint="eastAsia" w:asciiTheme="majorAscii"/>
          <w:sz w:val="28"/>
          <w:szCs w:val="28"/>
          <w:lang w:val="en-US" w:eastAsia="zh-CN"/>
        </w:rPr>
        <w:t>被告：胡青勇</w:t>
      </w:r>
    </w:p>
    <w:p>
      <w:pPr>
        <w:ind w:firstLine="560" w:firstLineChars="200"/>
        <w:rPr>
          <w:rFonts w:hint="eastAsia" w:asciiTheme="majorAscii"/>
          <w:sz w:val="28"/>
          <w:szCs w:val="28"/>
          <w:lang w:val="en-US" w:eastAsia="zh-CN"/>
        </w:rPr>
      </w:pPr>
      <w:r>
        <w:rPr>
          <w:rFonts w:hint="eastAsia" w:asciiTheme="majorAscii"/>
          <w:sz w:val="28"/>
          <w:szCs w:val="28"/>
          <w:lang w:val="en-US" w:eastAsia="zh-CN"/>
        </w:rPr>
        <w:t>第三人：王飞等三人</w:t>
      </w:r>
    </w:p>
    <w:p>
      <w:pPr>
        <w:ind w:firstLine="560" w:firstLineChars="200"/>
        <w:rPr>
          <w:rFonts w:hint="eastAsia" w:asciiTheme="majorAscii"/>
          <w:sz w:val="28"/>
          <w:szCs w:val="28"/>
          <w:lang w:val="en-US" w:eastAsia="zh-CN"/>
        </w:rPr>
      </w:pPr>
      <w:r>
        <w:rPr>
          <w:rFonts w:hint="eastAsia" w:asciiTheme="majorAscii"/>
          <w:sz w:val="28"/>
          <w:szCs w:val="28"/>
          <w:lang w:val="en-US" w:eastAsia="zh-CN"/>
        </w:rPr>
        <w:t>重庆市丰都县审理查明：死者廖昌莲系廖克祥与张德芳之女，冉永奎之妻，冉玉美等三人之母。2020年10月21日7时53分，杨义兰驾驶渝A6HW20号货车（核载5人）搭载廖昌莲等7人从丰都县汇南场往该县包鸾镇方向行驶，当行驶至鹿鸣岩村土门子山坪塘路段上坡时，因操作不当致货车倒退滑入山坪塘导致杨义兰、廖昌莲等8人溺水死亡。王飞等三人系杨义兰第一顺序继承人。另查明，该道路原为土建乡村公路，2017年三合办事处作为业主发包给交建公司进行水泥路改造，原山坪塘路段设立有防护墩，高30cm，改造后因路基升高，防护墩减为15cm，道路硬化后经三合办事处验收合格。山坪塘路段胡青勇在平坦处埋有排水管，但未影响车辆通行。事故经该县公安局交通巡逻警察认定，杨义兰车辆超载，操作不当是事故发生的直接原因，杨义兰负事故全部责任。事故发生后三合办事处支付8名死者各家2万元。</w:t>
      </w:r>
      <w:r>
        <w:rPr>
          <w:rStyle w:val="7"/>
          <w:rFonts w:hint="eastAsia" w:asciiTheme="majorAscii"/>
          <w:sz w:val="28"/>
          <w:szCs w:val="28"/>
          <w:lang w:val="en-US" w:eastAsia="zh-CN"/>
        </w:rPr>
        <w:footnoteReference w:id="1"/>
      </w:r>
      <w:r>
        <w:rPr>
          <w:rFonts w:hint="eastAsia" w:asciiTheme="majorAscii"/>
          <w:sz w:val="28"/>
          <w:szCs w:val="28"/>
          <w:lang w:val="en-US" w:eastAsia="zh-CN"/>
        </w:rPr>
        <w:t>审理过程中原告明确表示放弃杨义兰继承人承担责任的部分。</w:t>
      </w:r>
    </w:p>
    <w:p>
      <w:pPr>
        <w:ind w:firstLine="560" w:firstLineChars="200"/>
        <w:rPr>
          <w:rFonts w:hint="eastAsia" w:asciiTheme="majorAscii"/>
          <w:sz w:val="28"/>
          <w:szCs w:val="28"/>
          <w:lang w:val="en-US" w:eastAsia="zh-CN"/>
        </w:rPr>
      </w:pPr>
      <w:r>
        <w:rPr>
          <w:rFonts w:hint="eastAsia" w:asciiTheme="majorAscii"/>
          <w:sz w:val="28"/>
          <w:szCs w:val="28"/>
          <w:lang w:val="en-US" w:eastAsia="zh-CN"/>
        </w:rPr>
        <w:t>廖克祥、张德芳等六人诉称，被告存在共同过错应赔偿其经济损失552445元。</w:t>
      </w:r>
    </w:p>
    <w:p>
      <w:pPr>
        <w:ind w:firstLine="560" w:firstLineChars="200"/>
        <w:rPr>
          <w:rFonts w:hint="eastAsia" w:asciiTheme="majorAscii"/>
          <w:sz w:val="28"/>
          <w:szCs w:val="28"/>
          <w:lang w:val="en-US" w:eastAsia="zh-CN"/>
        </w:rPr>
      </w:pPr>
      <w:r>
        <w:rPr>
          <w:rFonts w:hint="eastAsia" w:asciiTheme="majorAscii"/>
          <w:sz w:val="28"/>
          <w:szCs w:val="28"/>
          <w:lang w:val="en-US" w:eastAsia="zh-CN"/>
        </w:rPr>
        <w:t>三合办事处辩称，事故系杨义兰过错导致，本办事处对道路无管理责任，也无过错侵权行为，不应承担民事责任。</w:t>
      </w:r>
    </w:p>
    <w:p>
      <w:pPr>
        <w:ind w:firstLine="560" w:firstLineChars="200"/>
        <w:rPr>
          <w:rFonts w:hint="eastAsia" w:asciiTheme="majorAscii"/>
          <w:sz w:val="28"/>
          <w:szCs w:val="28"/>
          <w:lang w:val="en-US" w:eastAsia="zh-CN"/>
        </w:rPr>
      </w:pPr>
      <w:r>
        <w:rPr>
          <w:rFonts w:hint="eastAsia" w:asciiTheme="majorAscii"/>
          <w:sz w:val="28"/>
          <w:szCs w:val="28"/>
          <w:lang w:val="en-US" w:eastAsia="zh-CN"/>
        </w:rPr>
        <w:t>鹿鸣岩村委未作答辩。</w:t>
      </w:r>
    </w:p>
    <w:p>
      <w:pPr>
        <w:ind w:firstLine="560" w:firstLineChars="200"/>
        <w:rPr>
          <w:rFonts w:hint="eastAsia" w:asciiTheme="majorAscii"/>
          <w:sz w:val="28"/>
          <w:szCs w:val="28"/>
          <w:lang w:val="en-US" w:eastAsia="zh-CN"/>
        </w:rPr>
      </w:pPr>
      <w:r>
        <w:rPr>
          <w:rFonts w:hint="eastAsia" w:asciiTheme="majorAscii"/>
          <w:sz w:val="28"/>
          <w:szCs w:val="28"/>
          <w:lang w:val="en-US" w:eastAsia="zh-CN"/>
        </w:rPr>
        <w:t>三合农服中心辩称，对山坪塘及道路均无管理责任，更无过错，不应承担民事责任。</w:t>
      </w:r>
    </w:p>
    <w:p>
      <w:pPr>
        <w:ind w:firstLine="560" w:firstLineChars="200"/>
        <w:rPr>
          <w:rFonts w:hint="eastAsia" w:asciiTheme="majorAscii"/>
          <w:sz w:val="28"/>
          <w:szCs w:val="28"/>
          <w:lang w:val="en-US" w:eastAsia="zh-CN"/>
        </w:rPr>
      </w:pPr>
      <w:r>
        <w:rPr>
          <w:rFonts w:hint="eastAsia" w:asciiTheme="majorAscii"/>
          <w:sz w:val="28"/>
          <w:szCs w:val="28"/>
          <w:lang w:val="en-US" w:eastAsia="zh-CN"/>
        </w:rPr>
        <w:t>交建公司辩称，本公司施工的道路经验收合格，不应承担民事责任。</w:t>
      </w:r>
    </w:p>
    <w:p>
      <w:pPr>
        <w:ind w:firstLine="560" w:firstLineChars="200"/>
        <w:rPr>
          <w:rFonts w:hint="default" w:asciiTheme="majorAscii"/>
          <w:sz w:val="28"/>
          <w:szCs w:val="28"/>
          <w:lang w:val="en-US" w:eastAsia="zh-CN"/>
        </w:rPr>
      </w:pPr>
      <w:r>
        <w:rPr>
          <w:rFonts w:hint="eastAsia" w:asciiTheme="majorAscii"/>
          <w:sz w:val="28"/>
          <w:szCs w:val="28"/>
          <w:lang w:val="en-US" w:eastAsia="zh-CN"/>
        </w:rPr>
        <w:t>胡青勇辩称，交通事故发生与本当事人的行为没有因果关系，不应承担民事责任。</w:t>
      </w:r>
    </w:p>
    <w:p>
      <w:pPr>
        <w:ind w:firstLine="640"/>
        <w:rPr>
          <w:rFonts w:hint="eastAsia" w:asciiTheme="majorAscii"/>
          <w:sz w:val="32"/>
          <w:szCs w:val="32"/>
          <w:lang w:val="en-US" w:eastAsia="zh-CN"/>
        </w:rPr>
      </w:pPr>
      <w:r>
        <w:rPr>
          <w:rFonts w:hint="eastAsia" w:asciiTheme="majorAscii"/>
          <w:sz w:val="32"/>
          <w:szCs w:val="32"/>
          <w:lang w:val="en-US" w:eastAsia="zh-CN"/>
        </w:rPr>
        <w:t>审判</w:t>
      </w:r>
    </w:p>
    <w:p>
      <w:pPr>
        <w:ind w:firstLine="640"/>
        <w:rPr>
          <w:rFonts w:hint="eastAsia" w:asciiTheme="majorAscii"/>
          <w:sz w:val="28"/>
          <w:szCs w:val="28"/>
          <w:lang w:val="en-US" w:eastAsia="zh-CN"/>
        </w:rPr>
      </w:pPr>
      <w:r>
        <w:rPr>
          <w:rFonts w:hint="eastAsia" w:asciiTheme="majorAscii"/>
          <w:sz w:val="32"/>
          <w:szCs w:val="32"/>
          <w:lang w:val="en-US" w:eastAsia="zh-CN"/>
        </w:rPr>
        <w:t>丰都县法院审理认为，交通事故发生虽系杨义兰搭载超员，驾驶行为不当的过错行为直接导致，但原公路系土建，原管理人修建时在山坪塘路段修建有防护墩，证明该路段存在事故发生风险，需要设置防护装置减小或预防事故发生。现改造的三合办事处因过失未充分考虑事故发生可能性，导致设计改造时未考虑防护问题，以至于路面硬化后减少了防护墩的高度，降低了防护等级，未能防止或减小事故损失，也系事故发生的次要原因，且存在较小过错，应承担相应民事责任。其他被告因不属道路的管理人，也无侵权行为，为此不承担责任。据此，判决三合办事处赔偿</w:t>
      </w:r>
      <w:r>
        <w:rPr>
          <w:rFonts w:hint="eastAsia" w:asciiTheme="majorAscii"/>
          <w:sz w:val="28"/>
          <w:szCs w:val="28"/>
          <w:lang w:val="en-US" w:eastAsia="zh-CN"/>
        </w:rPr>
        <w:t>廖克祥、张德芳等六人经济损失34474.45元（不含已赔偿的2万元）。</w:t>
      </w:r>
    </w:p>
    <w:p>
      <w:pPr>
        <w:ind w:firstLine="640"/>
        <w:rPr>
          <w:rFonts w:hint="eastAsia" w:asciiTheme="majorAscii"/>
          <w:sz w:val="28"/>
          <w:szCs w:val="28"/>
          <w:lang w:val="en-US" w:eastAsia="zh-CN"/>
        </w:rPr>
      </w:pPr>
      <w:r>
        <w:rPr>
          <w:rFonts w:hint="eastAsia" w:asciiTheme="majorAscii"/>
          <w:sz w:val="28"/>
          <w:szCs w:val="28"/>
          <w:lang w:val="en-US" w:eastAsia="zh-CN"/>
        </w:rPr>
        <w:t>廖克祥、张德芳等六人、三合办事处不服一审判决，上诉至重庆市第三中级人民法院，二审经审理，判决驳回上诉，维持原判。</w:t>
      </w:r>
    </w:p>
    <w:p>
      <w:pPr>
        <w:ind w:firstLine="640"/>
        <w:rPr>
          <w:rFonts w:hint="eastAsia" w:asciiTheme="majorAscii"/>
          <w:sz w:val="28"/>
          <w:szCs w:val="28"/>
          <w:lang w:val="en-US" w:eastAsia="zh-CN"/>
        </w:rPr>
      </w:pPr>
      <w:r>
        <w:rPr>
          <w:rFonts w:hint="eastAsia" w:asciiTheme="majorAscii"/>
          <w:sz w:val="28"/>
          <w:szCs w:val="28"/>
          <w:lang w:val="en-US" w:eastAsia="zh-CN"/>
        </w:rPr>
        <w:t>评析</w:t>
      </w:r>
    </w:p>
    <w:p>
      <w:pPr>
        <w:ind w:firstLine="640"/>
        <w:rPr>
          <w:rFonts w:hint="default" w:asciiTheme="majorAscii"/>
          <w:sz w:val="28"/>
          <w:szCs w:val="28"/>
          <w:lang w:val="en-US" w:eastAsia="zh-CN"/>
        </w:rPr>
      </w:pPr>
      <w:r>
        <w:rPr>
          <w:rFonts w:hint="eastAsia" w:asciiTheme="majorAscii"/>
          <w:sz w:val="28"/>
          <w:szCs w:val="28"/>
          <w:lang w:val="en-US" w:eastAsia="zh-CN"/>
        </w:rPr>
        <w:t>本案争议的焦点是，主体的性质及适用程序；因果关系事实的分析判断及实体责任划分问题。</w:t>
      </w:r>
    </w:p>
    <w:p>
      <w:pPr>
        <w:numPr>
          <w:ilvl w:val="0"/>
          <w:numId w:val="0"/>
        </w:numPr>
        <w:ind w:firstLine="560" w:firstLineChars="200"/>
        <w:rPr>
          <w:rFonts w:hint="eastAsia" w:asciiTheme="majorAscii"/>
          <w:sz w:val="28"/>
          <w:szCs w:val="28"/>
          <w:lang w:val="en-US" w:eastAsia="zh-CN"/>
        </w:rPr>
      </w:pPr>
      <w:r>
        <w:rPr>
          <w:rFonts w:hint="eastAsia" w:asciiTheme="majorAscii"/>
          <w:sz w:val="28"/>
          <w:szCs w:val="28"/>
          <w:lang w:val="en-US" w:eastAsia="zh-CN"/>
        </w:rPr>
        <w:t>一、主体的性质及适用程序问题。原告在诉讼中罗列了三合办事处、鸣岩村委、三合农服中心、交建公司、胡青勇</w:t>
      </w:r>
      <w:r>
        <w:rPr>
          <w:rFonts w:hint="eastAsia" w:asciiTheme="majorAscii"/>
          <w:sz w:val="32"/>
          <w:szCs w:val="32"/>
          <w:lang w:val="en-US" w:eastAsia="zh-CN"/>
        </w:rPr>
        <w:t xml:space="preserve"> 、</w:t>
      </w:r>
      <w:r>
        <w:rPr>
          <w:rFonts w:hint="eastAsia" w:asciiTheme="majorAscii"/>
          <w:sz w:val="28"/>
          <w:szCs w:val="28"/>
          <w:lang w:val="en-US" w:eastAsia="zh-CN"/>
        </w:rPr>
        <w:t>王飞等三人为民事责任主体（被告），从程序法视角看，除三合办事处最具争议外，其余基本没有程序上的争议，因为这些当事人均为民事主体，当然实体法上是否真正属于责任主体，应从侵权责任法视角进行事实与法律的论证。首先从程序法上进行讨论分析。之所以说三合办事处最有争议，是因为三合办事处具有双重身份，一是在履行行政职责时，属于行政机关，其行为属于行政行为，产生的诉讼属于行政诉讼，当事人不能为此提起民事诉讼，如发生侵权，只能按行政诉讼程序提起行政赔偿；二是以平等的身份与自然人、法人、其他组织缔结民事法律关系或非因行政行为侵权而是因民事侵权行为产生的损害赔偿诉讼，只能提起民事诉讼。由此必须界定三合办事处在本案中的主体位置。从本案查明的事实看，系三合办事处作为业主在改造乡村公路时，公路改造设计存在瑕疵，由于“瑕疵事实” 与他人违法行驶结合导致损害。那么三合办事处改造公路的行为是行政行为或是民事行为呢？这里不妨从法律相关规定进行分析，我国《公路法》第八条第一、二款规定国务院及地方交通主管部门是国道、省道的管理监督部门，该条第三款规定，乡、民族乡、镇人民政府负责本行政区域内的乡（村）道建设和养护工作。从条文的文字表述上看，交通行政主管部门管理监督属行政行为无异议，但第三款的乡（镇）政府“建设与养护”是否也属行政行为呢？理论存疑，值得讨论。“建设”仅解决的是建设公路的业主资格及建设义务主体问题，“养护”解决的是公路保护维修的义务主体问题，该款并没有明确“建设”、“养护”行为的行民性质界分，如何进行界分？还必须从行政行为的概念入手进行分析。行政行为这个概念最早是德国著名行政法学家奥图</w:t>
      </w:r>
      <w:r>
        <w:rPr>
          <w:rFonts w:hint="eastAsia" w:ascii="宋体" w:hAnsi="宋体" w:eastAsia="宋体" w:cs="宋体"/>
          <w:sz w:val="28"/>
          <w:szCs w:val="28"/>
          <w:lang w:val="en-US" w:eastAsia="zh-CN"/>
        </w:rPr>
        <w:t>.</w:t>
      </w:r>
      <w:r>
        <w:rPr>
          <w:rFonts w:hint="eastAsia" w:asciiTheme="majorAscii"/>
          <w:sz w:val="28"/>
          <w:szCs w:val="28"/>
          <w:lang w:val="en-US" w:eastAsia="zh-CN"/>
        </w:rPr>
        <w:t>梅叶尔运用概念法学方法提炼出来的称谓，后跨越国界和法系成为行政法学的一个核心范畴和概念</w:t>
      </w:r>
      <w:r>
        <w:rPr>
          <w:rStyle w:val="7"/>
          <w:rFonts w:hint="eastAsia" w:asciiTheme="majorAscii"/>
          <w:sz w:val="28"/>
          <w:szCs w:val="28"/>
          <w:lang w:val="en-US" w:eastAsia="zh-CN"/>
        </w:rPr>
        <w:footnoteReference w:id="2"/>
      </w:r>
      <w:r>
        <w:rPr>
          <w:rFonts w:hint="eastAsia" w:asciiTheme="majorAscii"/>
          <w:sz w:val="28"/>
          <w:szCs w:val="28"/>
          <w:lang w:val="en-US" w:eastAsia="zh-CN"/>
        </w:rPr>
        <w:t>，对于“行政行为”概念在发展过程中存在多种学说，有行为主体说、行政权说、合法行为说。行为主体说认为，凡是行政机关所作的行为均属行政行为，包括运用行政权所作的事实行为和非运用行政权所作的私法行为；行政权说认为，运用行政权所作的行为就是行政行为，包括行政法律行为、行政事实行为和准法律行为三类，但不包括行政机关非运用行政权所作出的私法行为；公法行为说认为，行政行为是具有行政法（公法）意义或效果的行为，该学说将私法行为及事实行为排除在行政行为之外。姜明安教授认为行政行为是享有行政权能的组织运用行政权对行政相对人所作的法律行为，不具有行政权能的组织的行为，或非运用行政权的行为，以及不具有法律意义的事实行为均不属于行政行为。由此可以看出姜明安教授采用了折中的方法定义了行政行为。我国2014年修正的《行政诉讼法》没有对行政行为的概念进行定义，对如何把握可诉行政行为是通过第十二条第一款共十二项列举的形式加兜底第二款“……人民法院受理法律、法规规定可以提起诉讼的其他行政案件”概括的形式进行处理。笔者认为，虽然我国《行政诉讼法》没有规定行政行为的概念，并非行政行为概念不重要，恰恰相反，在一些疑难复杂案件中绕不开对概念的理解才能界定行政行为与民事行为，后才能确定程序法的选择及法律适用，为此，应当对行政行为概念进行界定。对于行政行为概念定义，笔者赞同姜明安教授的定义方法，将非运用行政权的私法行为排除在行政行为之外。界定为行政行为并非都能启动行政诉讼程序，因我国并非将所有的行政行为引发的问题都纳入行政诉讼，部分行政行为产生的问题由行政法规定的行政程序进行解决，如外交问题通过外交渠道解决，其他还有行政裁决，行政复议（不能提起行政诉讼的复议部分）等。进入行政诉讼的案件是指部分行政行为引发的，符合《行政诉讼法》第十二条规定受理范围的案件。结合行政行为概念内涵不难判断三合办事处在案件中的行为属性。从案件事实看，三合办事处决定改造乡村公路虽然是运用行政权的行为，但本案并非改造决定本身引发，而是在决定作出之后，利用自己的业主地位，通过制定招标方案，委托专业机构设计，选择施工方，对道路工程进行竣工验收，这之后的系列行为均不是运用行政权对行政相对人所作的行政行为，而是通过平等协商的形式，确定民事法律关系，这些行为属民事行为，正是这些民事行为致公路改造出现瑕疵，再因瑕疵事实与其他侵权行为结合导致了他人损害（这里姑且允许笔者从程序上进行的当事人拟制，实体法上是否有责任这里不论，下文再分析当事人实体法上的责任问题），由此可以得出结论，三合办事处现实改造乡村公路的行为属于民事行为，其主体性质属于民事主体性质，与本案的其他当事人处于同一民事主体地位。诉讼程序不存在行政诉讼问题，只能是民事诉讼。</w:t>
      </w:r>
    </w:p>
    <w:p>
      <w:pPr>
        <w:numPr>
          <w:ilvl w:val="0"/>
          <w:numId w:val="0"/>
        </w:numPr>
        <w:ind w:firstLine="560" w:firstLineChars="200"/>
        <w:rPr>
          <w:rFonts w:hint="eastAsia" w:asciiTheme="majorAscii"/>
          <w:sz w:val="28"/>
          <w:szCs w:val="28"/>
          <w:lang w:val="en-US" w:eastAsia="zh-CN"/>
        </w:rPr>
      </w:pPr>
      <w:r>
        <w:rPr>
          <w:rFonts w:hint="eastAsia" w:asciiTheme="majorAscii"/>
          <w:sz w:val="28"/>
          <w:szCs w:val="28"/>
          <w:lang w:val="en-US" w:eastAsia="zh-CN"/>
        </w:rPr>
        <w:t>二、因果关系的分析判断及实体上责任划分问题。从交警队《交通事故责任认定书》认定的事实及责任划分看，已经认定驾驶员杨义兰为全部过错，搭载的人员无责任，是否由此就排除本案其他被告及第三人的责任呢？答案是否定的。因为，对于交警队而言是从行政管理或者是否进行刑事追究方面进行的事实判定，在民事案件审理中仅仅是证据，和司法鉴定意见没有本质区别，也并非是发生法律效力的法律文书。这个问题全国人大法工委作过解释，本文不作深层次研究。对于侵权损害赔偿案件，法院应进行全面的事实审理及法律审理才能作出裁判。下面就原告所列被告及第三人是否真正存在实体法赔偿责任进行分析。驾驶员杨义兰因操作不当，超载导致特大交通事故发生，造成原告的近亲属及自己死亡，其过错行为是损害发生的直接原因，应为责任主体，但鉴于其已死亡，其责任应由继承人王飞等三人在继承财产范围内承担责任，从本案事实看，无证据证明其继承人继承了杨义兰的遗产，同时原告明确表示放弃对王飞等三人的赔偿请求权，为此王飞等三人不属于责任主体。被告胡青勇虽然掩埋了排水管，违背相关道路管理规定，但其行为与本次交通事故发生没有因果关系，缺乏赔偿责任的构成要件要素，也不应承担责任，不属责任主体。交建公司是道路的施工方，道路已施工完成并按合同约定标准验收合格，交付使用，退出道路的临时管理人地位，无过错，不符合侵权责任的要件构成，也非责任主体。三合农服中心并非山坪塘的所有人或管理人，不属适格被告，管理责任与主体责任无从谈起。鹿鸣岩村委属山坪塘的管理人或所有人，仅就过往山坪塘的行人安全有一定的保障、警示告知义务，对山坪塘相邻的后建改造公路通行车辆无保障和警示义务，为此对发生的交通事故损害无赔偿责任，鹿鸣岩村委不属责任主体。三合办事处的责任问题。从发生交通事故的路段看，属于乡村公路，系三合办事处建设和养护路段，从“公路”这个建筑物的所有人或者管理人视角考量，有瑕疵担保责任，即发生脱落、垮塌造成他人损害的赔偿责任，归责原则采用的是过错推定责任、无过错责任，即发生脱落致人损害的，适用过错推定责任，垮塌致人损害的适用无过错责任。案中交通事故致害的原因并非公路这个建筑物或构筑物本身（包括附属设施）的脱落、垮塌造成，所以不属于以上情形。这里的“公路管理”是指公路所有人性质的“管理”，而非“公路行政管理”。“公路行政管理”，是指对公路有行政管理职能职责的行政机关，对违反《公路法》、《道路交通安全法》等法律法规，在公路上设置路障、毁损公路等行政违法行为的管理，管理的方式是对行政管理相对人处以罚款、拘留、责令限期修复或移交司法机关追究刑事责任等。显然本案也非行政管理范畴。本案对于三合办事处而言，核心是发生交通事故路段，是否存在事故发生较高可能性，如存在，相应产生的问题是预防措施是否预设到位，是否达到标准，如实际发生了交通事故，需要追问的是预防措施与事故发生的原因关联问题，如预防措施不到位，甚至没有预措施，与发生的交通事故又有“因果关系”，民事责任就可能因此产生。现就问题核心的第一层面进行分析，事发路段邻山坪塘，水深加塘崖存在事故发生后，再生次生灾难危险性，这样的路段按照相应法律法规要求，应在修建公路时设置防护栏等，由此作为公路建设单位的三合办事处有在该路段设置安全护栏等防护措施的义务，但实际情形为，三合办事处在改造公路时，因硬化路面，提高路基，致原设置的防护桩高度由30</w:t>
      </w:r>
      <w:r>
        <w:rPr>
          <w:rFonts w:hint="eastAsia" w:ascii="宋体" w:hAnsi="宋体" w:eastAsia="宋体" w:cs="宋体"/>
          <w:sz w:val="28"/>
          <w:szCs w:val="28"/>
          <w:lang w:val="en-US" w:eastAsia="zh-CN"/>
        </w:rPr>
        <w:t>㎡</w:t>
      </w:r>
      <w:r>
        <w:rPr>
          <w:rFonts w:hint="eastAsia" w:asciiTheme="majorAscii"/>
          <w:sz w:val="28"/>
          <w:szCs w:val="28"/>
          <w:lang w:val="en-US" w:eastAsia="zh-CN"/>
        </w:rPr>
        <w:t>降低到15</w:t>
      </w:r>
      <w:r>
        <w:rPr>
          <w:rFonts w:hint="eastAsia" w:ascii="宋体" w:hAnsi="宋体" w:eastAsia="宋体" w:cs="宋体"/>
          <w:sz w:val="28"/>
          <w:szCs w:val="28"/>
          <w:lang w:val="en-US" w:eastAsia="zh-CN"/>
        </w:rPr>
        <w:t>㎡</w:t>
      </w:r>
      <w:r>
        <w:rPr>
          <w:rFonts w:hint="eastAsia" w:asciiTheme="majorAscii"/>
          <w:sz w:val="28"/>
          <w:szCs w:val="28"/>
          <w:lang w:val="en-US" w:eastAsia="zh-CN"/>
        </w:rPr>
        <w:t>，显然降低了防护等级，对原旧公路未设置防护桩的邻塘段仍未设置防护桩或护栏，由此可确定三合办事处存在防护措施不到位，次生灾难事故发生危险可能性问题，从民事侵权视角考量可以确定三合办事处存在改造公路不符合安全设计规范的过失或过错；核心第二层面问题，法律上的因果关系问题。有过错并不必然产生侵权责任，要承担民事侵权责任，还必须是民事侵权行为与损害结果之间存在因果关系。所谓的因果关系是指一个事实是引起另一个事实的原因。我国原《侵权责任法》与现在适用的《民法典》侵权责任编所采用的是相当因果关系说，该说认为，只要原因事实与损害结果之间在通常情形存在可能性即认为有因果关系。判断事实因果关系的标准是“but-for-test”,中文表述是：如果没有被告的侵权行为，损害就不会发生。在现实的案件中，并非所有案件用一个公式就能准确判断因果关系，对于原告举证来说，在能够证明概率在51</w:t>
      </w:r>
      <w:r>
        <w:rPr>
          <w:rFonts w:hint="eastAsia" w:ascii="宋体" w:hAnsi="宋体" w:eastAsia="宋体" w:cs="宋体"/>
          <w:sz w:val="28"/>
          <w:szCs w:val="28"/>
          <w:lang w:val="en-US" w:eastAsia="zh-CN"/>
        </w:rPr>
        <w:t>％</w:t>
      </w:r>
      <w:r>
        <w:rPr>
          <w:rFonts w:hint="eastAsia" w:asciiTheme="majorAscii"/>
          <w:sz w:val="28"/>
          <w:szCs w:val="28"/>
          <w:lang w:val="en-US" w:eastAsia="zh-CN"/>
        </w:rPr>
        <w:t>以上即可，少部分案件由于技术条件的限制原告无法通过举证来完成举证责任，可以适用举证责任倒置进行因果关系事实推定。Wilberforce勋爵说“一个人违反了注意义务，制造了风险，并且在这一风险范围内伤害发生了，损害由此人承担，除非他能够证明还存在别的原因，这是一项合理政策”</w:t>
      </w:r>
      <w:r>
        <w:rPr>
          <w:rStyle w:val="7"/>
          <w:rFonts w:hint="eastAsia" w:asciiTheme="majorAscii"/>
          <w:sz w:val="28"/>
          <w:szCs w:val="28"/>
          <w:lang w:val="en-US" w:eastAsia="zh-CN"/>
        </w:rPr>
        <w:footnoteReference w:id="3"/>
      </w:r>
      <w:r>
        <w:rPr>
          <w:rFonts w:hint="eastAsia" w:asciiTheme="majorAscii"/>
          <w:sz w:val="28"/>
          <w:szCs w:val="28"/>
          <w:lang w:val="en-US" w:eastAsia="zh-CN"/>
        </w:rPr>
        <w:t>。因果关系中属于一因一果的单一因果关系判断相对较为容易，但很多因果关系是多因一果的复数因果关系，判断起来比较复杂，对于复数因果关系，可以进行类型化处理后，进行因果关系判断。按程啸教授所著《侵权责任法》可以将复数因果关系分为共同的因果关系、竞合的因果关系、累积的因果关系、修补因果关系，择一的因果关系和假设的因果关系。对以上因果关系，这里不一一陈述，只就可能与本案有关的类型，结合案件分析。修补的因果关系是指对同一受害人造成损害结果的多个原因依次发生，在先原因造成的损害后果被在后的原因加以改变。这种因果关系造成的损害结果不是一种原因导致，是不同原因结合导致，属于按份责任。假设的因果关系是指，损害已因某个加害人的行为而发生了，即便该加害行为不存在，损害的全部或一部分也会因为另外一个与加害人无关的原因发生。</w:t>
      </w:r>
      <w:r>
        <w:rPr>
          <w:rStyle w:val="7"/>
          <w:rFonts w:hint="eastAsia" w:asciiTheme="majorAscii"/>
          <w:sz w:val="28"/>
          <w:szCs w:val="28"/>
          <w:lang w:val="en-US" w:eastAsia="zh-CN"/>
        </w:rPr>
        <w:footnoteReference w:id="4"/>
      </w:r>
      <w:r>
        <w:rPr>
          <w:rFonts w:hint="eastAsia" w:asciiTheme="majorAscii"/>
          <w:sz w:val="28"/>
          <w:szCs w:val="28"/>
          <w:lang w:val="en-US" w:eastAsia="zh-CN"/>
        </w:rPr>
        <w:t>结合案情的判断。杨义兰驾驶车辆在上陡坡时由于操作不当导致车辆熄火、失控倒退，加速向山坪塘坠去，当车辆坠到道路上防护栏时，因防护效果不佳，或未起到防护作用，最后车辆掉入山坪塘水中。从该事实可以看出，杨义兰驾驶车辆时由于操作不当导致车辆倒退，车辆坠入山坪塘的风险已经发生，但最后是否实际发生可取决于车辆倒退时的速度与强度，如果强度过大，即使有符合防护要求的防护栏，也是无法阻却的，但如果车辆撞击力不是过大，有效的防护栏是可能阻却车辆坠入水中的，但这种情况下损害后果仍然要发生，只是可能减轻，如发生车辆翻倒等。现实是防护栏高度因三合办事处公路改造而减低，车辆坠水的风险已不可逆转，发生溺水死亡事故成为必然。据此运用相当因果关系说与复数因果关系中修补的因果关系构成论确定，本案的因果关系属修补的因果关系。加害人杨义兰及三合办事处的侵权责任因符合修补的因果关系构成论而成立，责任也因此属按份责任。杨义兰搭载廖昌莲（死者）未收取费用，属于好意搭载，</w:t>
      </w:r>
      <w:bookmarkStart w:id="0" w:name="_GoBack"/>
      <w:bookmarkEnd w:id="0"/>
      <w:r>
        <w:rPr>
          <w:rFonts w:hint="eastAsia" w:asciiTheme="majorAscii"/>
          <w:sz w:val="28"/>
          <w:szCs w:val="28"/>
          <w:lang w:val="en-US" w:eastAsia="zh-CN"/>
        </w:rPr>
        <w:t>且廖昌莲应知车辆超载而搭乘，存在次要过错，依法应减轻侵权人的民事责任，其减轻的责任部分及放弃杨义兰承担责任的请求部分应由原告自己承担。</w:t>
      </w:r>
    </w:p>
    <w:p>
      <w:pPr>
        <w:numPr>
          <w:ilvl w:val="0"/>
          <w:numId w:val="0"/>
        </w:numPr>
        <w:ind w:firstLine="560" w:firstLineChars="200"/>
        <w:rPr>
          <w:rFonts w:hint="default" w:asciiTheme="majorAscii" w:eastAsiaTheme="minorEastAsia"/>
          <w:sz w:val="28"/>
          <w:szCs w:val="28"/>
          <w:lang w:val="en-US" w:eastAsia="zh-CN"/>
        </w:rPr>
      </w:pPr>
      <w:r>
        <w:rPr>
          <w:rFonts w:hint="eastAsia" w:asciiTheme="majorAscii"/>
          <w:sz w:val="28"/>
          <w:szCs w:val="28"/>
          <w:lang w:val="en-US" w:eastAsia="zh-CN"/>
        </w:rPr>
        <w:t>综上所述，本案一二审法院裁判时充分考虑了，损害发生的重要原因是杨义兰超载，不当操作行为直接导致，具有重大过错，也系损害发生的重大原因。三合办事处道路改造时降低防护措施等级或部分未设计防护栏的不作为行为存在较小的未尽注意义务过错，对损害发生具有间接性较小原因，责任比例按95:5（杨义兰85%+好意搭乘人10%共占95%责任，三合办事处占5%责任）划分具有合法适理性，也考量了公平公正性。</w:t>
      </w:r>
    </w:p>
    <w:p>
      <w:pPr>
        <w:ind w:firstLine="640" w:firstLineChars="200"/>
        <w:rPr>
          <w:rFonts w:hint="default" w:asciiTheme="majorAscii"/>
          <w:sz w:val="32"/>
          <w:szCs w:val="32"/>
          <w:lang w:val="en-US" w:eastAsia="zh-CN"/>
        </w:rPr>
      </w:pPr>
      <w:r>
        <w:rPr>
          <w:rFonts w:hint="eastAsia" w:asciiTheme="majorAscii"/>
          <w:sz w:val="32"/>
          <w:szCs w:val="32"/>
          <w:lang w:val="en-US" w:eastAsia="zh-CN"/>
        </w:rPr>
        <w:t xml:space="preserve">                 </w:t>
      </w:r>
    </w:p>
    <w:sectPr>
      <w:footnotePr>
        <w:numFmt w:val="decimal"/>
      </w:footnote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Calibri Light">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00007A87" w:usb1="80000000" w:usb2="00000008" w:usb3="00000000" w:csb0="400001FF" w:csb1="FFFF0000"/>
  </w:font>
  <w:font w:name="Lucida Sans Unicode">
    <w:panose1 w:val="020B0602030504020204"/>
    <w:charset w:val="00"/>
    <w:family w:val="auto"/>
    <w:pitch w:val="default"/>
    <w:sig w:usb0="80001AFF" w:usb1="0000396B" w:usb2="00000000" w:usb3="00000000" w:csb0="0000003F" w:csb1="D7F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Fonts w:hint="default" w:eastAsiaTheme="minorEastAsia"/>
          <w:lang w:val="en-US" w:eastAsia="zh-CN"/>
        </w:rPr>
      </w:pPr>
      <w:r>
        <w:rPr>
          <w:rStyle w:val="7"/>
        </w:rPr>
        <w:t>*</w:t>
      </w:r>
      <w:r>
        <w:t xml:space="preserve"> </w:t>
      </w:r>
      <w:r>
        <w:rPr>
          <w:rFonts w:hint="eastAsia"/>
          <w:lang w:eastAsia="zh-CN"/>
        </w:rPr>
        <w:t>重庆市丰都县人民法院，案件一审主审法官。联系电话</w:t>
      </w:r>
      <w:r>
        <w:rPr>
          <w:rFonts w:hint="eastAsia"/>
          <w:lang w:val="en-US" w:eastAsia="zh-CN"/>
        </w:rPr>
        <w:t>13372770237，邮政编码408200。</w:t>
      </w:r>
    </w:p>
  </w:footnote>
  <w:footnote w:id="1">
    <w:p>
      <w:pPr>
        <w:pStyle w:val="3"/>
        <w:snapToGrid w:val="0"/>
        <w:rPr>
          <w:rFonts w:hint="eastAsia" w:eastAsiaTheme="minorEastAsia"/>
          <w:lang w:eastAsia="zh-CN"/>
        </w:rPr>
      </w:pPr>
      <w:r>
        <w:rPr>
          <w:rStyle w:val="7"/>
        </w:rPr>
        <w:footnoteRef/>
      </w:r>
      <w:r>
        <w:t xml:space="preserve"> </w:t>
      </w:r>
      <w:r>
        <w:rPr>
          <w:rFonts w:hint="eastAsia"/>
          <w:lang w:eastAsia="zh-CN"/>
        </w:rPr>
        <w:t>事故发生后，所有死者的近亲属（包括死亡的驾驶员杨义兰近亲属共</w:t>
      </w:r>
      <w:r>
        <w:rPr>
          <w:rFonts w:hint="eastAsia"/>
          <w:lang w:val="en-US" w:eastAsia="zh-CN"/>
        </w:rPr>
        <w:t>8件</w:t>
      </w:r>
      <w:r>
        <w:rPr>
          <w:rFonts w:hint="eastAsia"/>
          <w:lang w:eastAsia="zh-CN"/>
        </w:rPr>
        <w:t>）分别向丰都县人民法院提起了侵权责任之诉。法院分别进行了审理裁判，本案仅是案件之一。</w:t>
      </w:r>
    </w:p>
  </w:footnote>
  <w:footnote w:id="2">
    <w:p>
      <w:pPr>
        <w:pStyle w:val="3"/>
        <w:snapToGrid w:val="0"/>
      </w:pPr>
      <w:r>
        <w:rPr>
          <w:rStyle w:val="7"/>
        </w:rPr>
        <w:footnoteRef/>
      </w:r>
      <w:r>
        <w:t xml:space="preserve"> </w:t>
      </w:r>
      <w:r>
        <w:rPr>
          <w:rFonts w:hint="eastAsia"/>
          <w:lang w:eastAsia="zh-CN"/>
        </w:rPr>
        <w:t>姜明安：《行政法与行政诉讼法》，北京大学出版社，</w:t>
      </w:r>
      <w:r>
        <w:rPr>
          <w:rFonts w:hint="eastAsia"/>
          <w:lang w:val="en-US" w:eastAsia="zh-CN"/>
        </w:rPr>
        <w:t>2009年（第三版）第139页。</w:t>
      </w:r>
    </w:p>
  </w:footnote>
  <w:footnote w:id="3">
    <w:p>
      <w:pPr>
        <w:pStyle w:val="3"/>
        <w:snapToGrid w:val="0"/>
        <w:rPr>
          <w:rFonts w:hint="default" w:asciiTheme="minorHAnsi" w:hAnsiTheme="minorHAnsi" w:eastAsiaTheme="minorEastAsia" w:cstheme="minorHAnsi"/>
          <w:lang w:val="en-US" w:eastAsia="zh-CN"/>
        </w:rPr>
      </w:pPr>
      <w:r>
        <w:rPr>
          <w:rStyle w:val="7"/>
        </w:rPr>
        <w:footnoteRef/>
      </w:r>
      <w:r>
        <w:t xml:space="preserve"> </w:t>
      </w:r>
      <w:r>
        <w:rPr>
          <w:rFonts w:hint="eastAsia"/>
          <w:lang w:val="en-US" w:eastAsia="zh-CN"/>
        </w:rPr>
        <w:t>B.S.Makesinis</w:t>
      </w:r>
      <w:r>
        <w:rPr>
          <w:rFonts w:hint="eastAsia" w:ascii="宋体" w:hAnsi="宋体" w:eastAsia="宋体" w:cs="宋体"/>
          <w:lang w:val="en-US" w:eastAsia="zh-CN"/>
        </w:rPr>
        <w:t>&amp;</w:t>
      </w:r>
      <w:r>
        <w:rPr>
          <w:rFonts w:hint="eastAsia" w:cstheme="minorHAnsi"/>
          <w:lang w:val="en-US" w:eastAsia="zh-CN"/>
        </w:rPr>
        <w:t>S.F.Deakin,Tort Lat,</w:t>
      </w:r>
      <w:r>
        <w:rPr>
          <w:rFonts w:hint="eastAsia" w:cstheme="minorHAnsi"/>
          <w:position w:val="-12"/>
          <w:lang w:val="en-US" w:eastAsia="zh-CN"/>
        </w:rPr>
        <w:object>
          <v:shape id="_x0000_i1025" o:spt="75" type="#_x0000_t75" style="height:19.85pt;width:17pt;" o:ole="t" filled="f" o:preferrelative="t" stroked="f" coordsize="21600,21600">
            <v:path/>
            <v:fill on="f" focussize="0,0"/>
            <v:stroke on="f"/>
            <v:imagedata r:id="rId2" o:title=""/>
            <o:lock v:ext="edit" aspectratio="t"/>
            <w10:wrap type="none"/>
            <w10:anchorlock/>
          </v:shape>
          <o:OLEObject Type="Embed" ProgID="Equation.KSEE3" ShapeID="_x0000_i1025" DrawAspect="Content" ObjectID="_1468075725" r:id="rId1">
            <o:LockedField>false</o:LockedField>
          </o:OLEObject>
        </w:object>
      </w:r>
      <w:r>
        <w:rPr>
          <w:rFonts w:hint="eastAsia" w:cstheme="minorHAnsi"/>
          <w:lang w:val="en-US" w:eastAsia="zh-CN"/>
        </w:rPr>
        <w:t>ed,at178-9.</w:t>
      </w:r>
    </w:p>
  </w:footnote>
  <w:footnote w:id="4">
    <w:p>
      <w:pPr>
        <w:pStyle w:val="3"/>
        <w:snapToGrid w:val="0"/>
        <w:rPr>
          <w:rFonts w:hint="default" w:eastAsiaTheme="minorEastAsia"/>
          <w:lang w:val="en-US" w:eastAsia="zh-CN"/>
        </w:rPr>
      </w:pPr>
      <w:r>
        <w:rPr>
          <w:rStyle w:val="7"/>
        </w:rPr>
        <w:footnoteRef/>
      </w:r>
      <w:r>
        <w:t xml:space="preserve"> </w:t>
      </w:r>
      <w:r>
        <w:rPr>
          <w:rFonts w:hint="eastAsia"/>
          <w:lang w:eastAsia="zh-CN"/>
        </w:rPr>
        <w:t>程啸著《侵权责任法》，法律出版社，</w:t>
      </w:r>
      <w:r>
        <w:rPr>
          <w:rFonts w:hint="eastAsia"/>
          <w:lang w:val="en-US" w:eastAsia="zh-CN"/>
        </w:rPr>
        <w:t>2015年9月第2版第238-264页。</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A4BFF"/>
    <w:rsid w:val="004B6152"/>
    <w:rsid w:val="00A13690"/>
    <w:rsid w:val="0BD57180"/>
    <w:rsid w:val="13AF51B2"/>
    <w:rsid w:val="13E81D4E"/>
    <w:rsid w:val="178F32A6"/>
    <w:rsid w:val="18CA4BFF"/>
    <w:rsid w:val="1BAC4D5E"/>
    <w:rsid w:val="1C13265E"/>
    <w:rsid w:val="2BB60CD5"/>
    <w:rsid w:val="30A4524F"/>
    <w:rsid w:val="332B6073"/>
    <w:rsid w:val="33FB335D"/>
    <w:rsid w:val="427C507F"/>
    <w:rsid w:val="4500781C"/>
    <w:rsid w:val="467C591E"/>
    <w:rsid w:val="4CA80747"/>
    <w:rsid w:val="59A11478"/>
    <w:rsid w:val="5CE15EF3"/>
    <w:rsid w:val="642C21EB"/>
    <w:rsid w:val="64C4426C"/>
    <w:rsid w:val="6A0C5E28"/>
    <w:rsid w:val="6F675B43"/>
    <w:rsid w:val="73416BF9"/>
    <w:rsid w:val="7D593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note text"/>
    <w:basedOn w:val="1"/>
    <w:qFormat/>
    <w:uiPriority w:val="0"/>
    <w:pPr>
      <w:snapToGrid w:val="0"/>
      <w:jc w:val="left"/>
    </w:pPr>
    <w:rPr>
      <w:sz w:val="18"/>
    </w:rPr>
  </w:style>
  <w:style w:type="character" w:styleId="6">
    <w:name w:val="endnote reference"/>
    <w:basedOn w:val="5"/>
    <w:qFormat/>
    <w:uiPriority w:val="0"/>
    <w:rPr>
      <w:vertAlign w:val="superscript"/>
    </w:rPr>
  </w:style>
  <w:style w:type="character" w:styleId="7">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2022-04-24T11:20:00Z</dcterms:created>
  <dc:creator>Administrator</dc:creator>
  <cp:lastModifiedBy>Administrator</cp:lastModifiedBy>
  <dcterms:modified xsi:type="dcterms:W3CDTF">2022-05-06T10:03:34Z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