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SSJ-PK74820000a3c-Identity-H"/>
          <w:kern w:val="0"/>
          <w:sz w:val="32"/>
          <w:szCs w:val="32"/>
        </w:rPr>
      </w:pPr>
      <w:r>
        <w:rPr>
          <w:rFonts w:hint="eastAsia" w:ascii="宋体" w:hAnsi="宋体" w:eastAsia="宋体"/>
          <w:sz w:val="32"/>
          <w:szCs w:val="32"/>
          <w:lang w:val="en-US" w:eastAsia="zh-CN"/>
        </w:rPr>
        <w:t>机动车与路旁构筑物发生碰撞造成损害管理人不承担赔偿责任</w:t>
      </w:r>
    </w:p>
    <w:p>
      <w:pPr>
        <w:ind w:firstLine="640" w:firstLineChars="200"/>
        <w:rPr>
          <w:rFonts w:hint="eastAsia" w:ascii="宋体" w:hAnsi="宋体" w:eastAsia="仿宋"/>
          <w:sz w:val="32"/>
          <w:szCs w:val="32"/>
          <w:lang w:val="en-US" w:eastAsia="zh-CN"/>
        </w:rPr>
      </w:pP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郎鸿</w:t>
      </w:r>
      <w:r>
        <w:rPr>
          <w:rFonts w:hint="eastAsia" w:ascii="仿宋" w:hAnsi="仿宋" w:eastAsia="仿宋"/>
          <w:color w:val="000000"/>
          <w:sz w:val="32"/>
          <w:szCs w:val="32"/>
          <w:lang w:eastAsia="zh-CN"/>
        </w:rPr>
        <w:t>诉</w:t>
      </w:r>
      <w:r>
        <w:rPr>
          <w:rFonts w:hint="eastAsia" w:ascii="仿宋" w:hAnsi="仿宋" w:eastAsia="仿宋" w:cs="SSJ-PK74820000a3c-Identity-H"/>
          <w:kern w:val="0"/>
          <w:sz w:val="32"/>
          <w:szCs w:val="32"/>
        </w:rPr>
        <w:t>中国移动通信集团重庆有限公司丰都分公司</w:t>
      </w:r>
      <w:r>
        <w:rPr>
          <w:rFonts w:hint="eastAsia" w:ascii="仿宋" w:hAnsi="仿宋" w:eastAsia="仿宋" w:cs="SSJ-PK74820000a3c-Identity-H"/>
          <w:kern w:val="0"/>
          <w:sz w:val="32"/>
          <w:szCs w:val="32"/>
          <w:lang w:eastAsia="zh-CN"/>
        </w:rPr>
        <w:t>等管理人责任案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宋体" w:hAnsi="宋体" w:eastAsia="宋体"/>
          <w:sz w:val="32"/>
          <w:szCs w:val="32"/>
          <w:lang w:val="en-US" w:eastAsia="zh-CN"/>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案情回放</w:t>
      </w:r>
      <w:r>
        <w:rPr>
          <w:rFonts w:hint="default" w:ascii="Times New Roman" w:hAnsi="Times New Roman" w:eastAsia="黑体" w:cs="Times New Roman"/>
          <w:sz w:val="28"/>
          <w:szCs w:val="28"/>
        </w:rPr>
        <w:t>]</w:t>
      </w:r>
    </w:p>
    <w:p>
      <w:pPr>
        <w:numPr>
          <w:ilvl w:val="0"/>
          <w:numId w:val="0"/>
        </w:numPr>
        <w:ind w:firstLine="1280" w:firstLineChars="400"/>
        <w:rPr>
          <w:rFonts w:hint="eastAsia" w:ascii="黑体" w:hAnsi="黑体" w:eastAsia="黑体" w:cs="黑体"/>
          <w:sz w:val="28"/>
          <w:szCs w:val="28"/>
        </w:rPr>
      </w:pPr>
      <w:r>
        <w:rPr>
          <w:rFonts w:hint="eastAsia" w:ascii="宋体" w:hAnsi="宋体" w:eastAsia="宋体"/>
          <w:sz w:val="32"/>
          <w:szCs w:val="32"/>
          <w:lang w:val="en-US" w:eastAsia="zh-CN"/>
        </w:rPr>
        <w:t xml:space="preserve"> </w:t>
      </w:r>
      <w:r>
        <w:rPr>
          <w:rFonts w:hint="eastAsia" w:ascii="黑体" w:hAnsi="黑体" w:eastAsia="黑体" w:cs="黑体"/>
          <w:sz w:val="28"/>
          <w:szCs w:val="28"/>
          <w:lang w:eastAsia="zh-CN"/>
        </w:rPr>
        <w:t>　　</w:t>
      </w:r>
    </w:p>
    <w:p>
      <w:pPr>
        <w:spacing w:line="540" w:lineRule="exact"/>
        <w:ind w:firstLine="560" w:firstLineChars="200"/>
        <w:rPr>
          <w:rFonts w:hint="default" w:ascii="仿宋" w:hAnsi="仿宋" w:eastAsia="仿宋" w:cs="SSJ-PK74820000a3c-Identity-H"/>
          <w:kern w:val="0"/>
          <w:sz w:val="32"/>
          <w:szCs w:val="32"/>
          <w:lang w:val="en-US" w:eastAsia="zh-CN"/>
        </w:rPr>
      </w:pPr>
      <w:r>
        <w:rPr>
          <w:rFonts w:hint="eastAsia" w:ascii="黑体" w:hAnsi="黑体" w:eastAsia="黑体" w:cs="黑体"/>
          <w:sz w:val="28"/>
          <w:szCs w:val="28"/>
          <w:lang w:eastAsia="zh-CN"/>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原告：</w:t>
      </w:r>
      <w:r>
        <w:rPr>
          <w:rFonts w:hint="eastAsia" w:ascii="仿宋" w:hAnsi="仿宋" w:eastAsia="仿宋" w:cs="SSJ-PK74820000a3c-Identity-H"/>
          <w:kern w:val="0"/>
          <w:sz w:val="32"/>
          <w:szCs w:val="32"/>
        </w:rPr>
        <w:t>郎鸿</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仿宋" w:hAnsi="仿宋" w:eastAsia="仿宋"/>
          <w:color w:val="000000"/>
          <w:kern w:val="0"/>
          <w:sz w:val="32"/>
          <w:szCs w:val="32"/>
          <w:lang w:eastAsia="zh-CN"/>
        </w:rPr>
        <w:t>被告：</w:t>
      </w:r>
      <w:r>
        <w:rPr>
          <w:rFonts w:hint="eastAsia" w:ascii="仿宋" w:hAnsi="仿宋" w:eastAsia="仿宋" w:cs="SSJ-PK74820000a3c-Identity-H"/>
          <w:kern w:val="0"/>
          <w:sz w:val="32"/>
          <w:szCs w:val="32"/>
        </w:rPr>
        <w:t>中国移动通信集团重庆有限公司丰都分公司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w:t>
      </w:r>
    </w:p>
    <w:p>
      <w:pPr>
        <w:spacing w:line="540" w:lineRule="exact"/>
        <w:ind w:firstLine="1280" w:firstLineChars="4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olor w:val="000000"/>
          <w:sz w:val="32"/>
          <w:szCs w:val="32"/>
          <w:lang w:eastAsia="zh-CN"/>
        </w:rPr>
        <w:t>经审理查明：</w:t>
      </w:r>
      <w:r>
        <w:rPr>
          <w:rFonts w:hint="eastAsia" w:ascii="仿宋" w:hAnsi="仿宋" w:eastAsia="仿宋" w:cs="H-SS9-PK74820000a48-Identity-H"/>
          <w:kern w:val="0"/>
          <w:sz w:val="32"/>
          <w:szCs w:val="32"/>
          <w:lang w:val="en-US" w:eastAsia="zh-CN"/>
        </w:rPr>
        <w:t>2019年9月6日17时50分许，</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驾驶自己所有的渝DU3020号摩托车从丰都县武平镇抓壁岩往丰都县武平镇石马河桥方向行驶，当车行驶至丰都县省道406线25km+300m处（小地名，石马河）超车时，因操作不当致渝DU3020号摩托车与道路外左侧边上的电线杆相撞后摔倒滑行至道路右侧车道，造成</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受伤后于</w:t>
      </w:r>
      <w:r>
        <w:rPr>
          <w:rFonts w:hint="eastAsia" w:ascii="仿宋" w:hAnsi="仿宋" w:eastAsia="仿宋" w:cs="H-SS9-PK74820000a48-Identity-H"/>
          <w:kern w:val="0"/>
          <w:sz w:val="32"/>
          <w:szCs w:val="32"/>
          <w:lang w:val="en-US" w:eastAsia="zh-CN"/>
        </w:rPr>
        <w:t>2019年9月6日入住重庆长城医院治疗，同年同月27日出院，出院诊断为，左膝关节囊破裂、左髌骨粉碎性骨折等，出院医嘱为，术后1-2天换药1次，21天行伤口折线等，同日再次入住重庆长城医院治疗，2019年10月16日出院，出院医嘱为休息1月，加强营养，门诊随访。后在丰都县中医院等门诊治疗，</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共计支付治疗费53001.48元，交通费166元。事故经重庆市丰都县公安局交通巡逻警察大队认定，系“弯道……”超车所致，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系城镇居民，其长子</w:t>
      </w:r>
      <w:r>
        <w:rPr>
          <w:rFonts w:hint="eastAsia" w:ascii="仿宋" w:hAnsi="仿宋" w:eastAsia="仿宋" w:cs="SSJ-PK74820000a3c-Identity-H"/>
          <w:kern w:val="0"/>
          <w:sz w:val="32"/>
          <w:szCs w:val="32"/>
          <w:lang w:val="en-US" w:eastAsia="zh-CN"/>
        </w:rPr>
        <w:t>郎荣浩</w:t>
      </w:r>
      <w:r>
        <w:rPr>
          <w:rFonts w:hint="eastAsia" w:ascii="仿宋" w:hAnsi="仿宋" w:eastAsia="仿宋" w:cs="SSJ-PK74820000a3c-Identity-H"/>
          <w:kern w:val="0"/>
          <w:sz w:val="32"/>
          <w:szCs w:val="32"/>
          <w:lang w:eastAsia="zh-CN"/>
        </w:rPr>
        <w:t>生于</w:t>
      </w:r>
      <w:r>
        <w:rPr>
          <w:rFonts w:hint="eastAsia" w:ascii="仿宋" w:hAnsi="仿宋" w:eastAsia="仿宋" w:cs="SSJ-PK74820000a3c-Identity-H"/>
          <w:kern w:val="0"/>
          <w:sz w:val="32"/>
          <w:szCs w:val="32"/>
          <w:lang w:val="en-US" w:eastAsia="zh-CN"/>
        </w:rPr>
        <w:t>2008年8月13日，次女</w:t>
      </w:r>
      <w:r>
        <w:rPr>
          <w:rFonts w:hint="eastAsia" w:ascii="仿宋" w:hAnsi="仿宋" w:eastAsia="仿宋" w:cs="SSJ-PK74820000a3c-Identity-H"/>
          <w:kern w:val="0"/>
          <w:sz w:val="32"/>
          <w:szCs w:val="32"/>
          <w:lang w:eastAsia="zh-CN"/>
        </w:rPr>
        <w:t>郎荣欣</w:t>
      </w:r>
      <w:r>
        <w:rPr>
          <w:rFonts w:hint="eastAsia" w:ascii="仿宋" w:hAnsi="仿宋" w:eastAsia="仿宋" w:cs="SSJ-PK74820000a3c-Identity-H"/>
          <w:kern w:val="0"/>
          <w:sz w:val="32"/>
          <w:szCs w:val="32"/>
          <w:lang w:val="en-US" w:eastAsia="zh-CN"/>
        </w:rPr>
        <w:t>生于2015年1月19日，郎</w:t>
      </w:r>
      <w:r>
        <w:rPr>
          <w:rFonts w:hint="eastAsia" w:ascii="仿宋" w:hAnsi="仿宋" w:eastAsia="仿宋" w:cs="SSJ-PK74820000a3c-Identity-H"/>
          <w:kern w:val="0"/>
          <w:sz w:val="32"/>
          <w:szCs w:val="32"/>
        </w:rPr>
        <w:t>鸿</w:t>
      </w:r>
      <w:r>
        <w:rPr>
          <w:rFonts w:hint="eastAsia" w:ascii="仿宋" w:hAnsi="仿宋" w:eastAsia="仿宋" w:cs="SSJ-PK74820000a3c-Identity-H"/>
          <w:kern w:val="0"/>
          <w:sz w:val="32"/>
          <w:szCs w:val="32"/>
          <w:lang w:eastAsia="zh-CN"/>
        </w:rPr>
        <w:t>所有的</w:t>
      </w:r>
      <w:r>
        <w:rPr>
          <w:rFonts w:hint="eastAsia" w:ascii="仿宋" w:hAnsi="仿宋" w:eastAsia="仿宋" w:cs="H-SS9-PK74820000a48-Identity-H"/>
          <w:kern w:val="0"/>
          <w:sz w:val="32"/>
          <w:szCs w:val="32"/>
          <w:lang w:val="en-US" w:eastAsia="zh-CN"/>
        </w:rPr>
        <w:t>渝DU3020号摩托车于2018年12月购买，价格为7155.17元。渝DU3020号摩托车在事故发生时撞击的丰都县省道406线25km+300m处电线杆为</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丰都分公司所有。</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诉至丰都县人民法院，请求法院判令被告赔偿原告医疗费、残疾赔偿金、误工费、护理费、被扶养人生活费等共计</w:t>
      </w:r>
      <w:r>
        <w:rPr>
          <w:rFonts w:hint="eastAsia" w:ascii="仿宋" w:hAnsi="仿宋" w:eastAsia="仿宋" w:cs="SSJ-PK74820000a3c-Identity-H"/>
          <w:kern w:val="0"/>
          <w:sz w:val="32"/>
          <w:szCs w:val="32"/>
          <w:lang w:val="en-US" w:eastAsia="zh-CN"/>
        </w:rPr>
        <w:t>44008.07元，诉讼费的20%由二被告负担</w:t>
      </w:r>
      <w:r>
        <w:rPr>
          <w:rFonts w:hint="eastAsia" w:ascii="仿宋" w:hAnsi="仿宋" w:eastAsia="仿宋" w:cs="SSJ-PK74820000a3c-Identity-H"/>
          <w:kern w:val="0"/>
          <w:sz w:val="32"/>
          <w:szCs w:val="32"/>
          <w:lang w:eastAsia="zh-CN"/>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黑体" w:hAnsi="黑体" w:eastAsia="黑体" w:cs="黑体"/>
          <w:kern w:val="0"/>
          <w:sz w:val="32"/>
          <w:szCs w:val="32"/>
          <w:lang w:eastAsia="zh-CN"/>
        </w:rPr>
        <w:t>[依法裁判]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w:t>
      </w:r>
      <w:r>
        <w:rPr>
          <w:rFonts w:hint="eastAsia" w:ascii="仿宋" w:hAnsi="仿宋" w:eastAsia="仿宋" w:cs="H-SS9-PK74820000a48-Identity-H"/>
          <w:kern w:val="0"/>
          <w:sz w:val="32"/>
          <w:szCs w:val="32"/>
          <w:lang w:eastAsia="zh-CN"/>
        </w:rPr>
        <w:t>原被告争议的焦点是：一、责任主体问题；二、原告损失金额的确定等问题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以被告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对事故发生时</w:t>
      </w:r>
      <w:r>
        <w:rPr>
          <w:rFonts w:hint="eastAsia" w:ascii="仿宋" w:hAnsi="仿宋" w:eastAsia="仿宋" w:cs="H-SS9-PK74820000a48-Identity-H"/>
          <w:kern w:val="0"/>
          <w:sz w:val="32"/>
          <w:szCs w:val="32"/>
          <w:lang w:val="en-US" w:eastAsia="zh-CN"/>
        </w:rPr>
        <w:t>撞击的电线杆有民事上管理义务为由，提出赔偿请求，从原告举示的证据看，该被告对事故发生路段的电线杆无民事上的权利义务，并非民事上的管理义务人，相应无民事责任，为此不应承担民事赔偿责任，该被告辩称不应承担民事责任的理由成立，本院予以采纳。如原告认为存在行政上的管理责任，不属于本案审理范围，可另案向有管辖权的人民法院提起行政诉讼，由此原告对该被告提出的诉讼请求依法不能成立。就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对被告</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丰都分公司提出的请求看，该被告虽系事故发生时</w:t>
      </w:r>
      <w:r>
        <w:rPr>
          <w:rFonts w:hint="eastAsia" w:ascii="仿宋" w:hAnsi="仿宋" w:eastAsia="仿宋" w:cs="H-SS9-PK74820000a48-Identity-H"/>
          <w:kern w:val="0"/>
          <w:sz w:val="32"/>
          <w:szCs w:val="32"/>
          <w:lang w:val="en-US" w:eastAsia="zh-CN"/>
        </w:rPr>
        <w:t>撞击的电线杆的管理义务人，但该被告安设的电线杆并不在行车道上，而是在道路边上，也没有脱落、倒塌等情况造成行车障碍，影响车辆通行，同时从事故发生的因果关系看，系原告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违规操作，造成</w:t>
      </w:r>
      <w:r>
        <w:rPr>
          <w:rFonts w:hint="eastAsia" w:ascii="仿宋" w:hAnsi="仿宋" w:eastAsia="仿宋" w:cs="H-SS9-PK74820000a48-Identity-H"/>
          <w:kern w:val="0"/>
          <w:sz w:val="32"/>
          <w:szCs w:val="32"/>
          <w:lang w:val="en-US" w:eastAsia="zh-CN"/>
        </w:rPr>
        <w:t>渝DU3020号摩托车在无法控制的情况下，加速撞击在电线杆上造成的损害，即使没有电线杆的存在，此时的渝DU3020号摩托车仍然会撞击在该路段边沟的其他物体上造成损害，甚至可能导致更为严重的损害，因此原告的损害系自己操作不当引起，与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对该电线杆的管理行为之间不存在因果关系，由此，</w:t>
      </w:r>
      <w:r>
        <w:rPr>
          <w:rFonts w:hint="eastAsia" w:ascii="仿宋" w:hAnsi="仿宋" w:eastAsia="仿宋" w:cs="H-SS9-PK74820000a48-Identity-H"/>
          <w:kern w:val="0"/>
          <w:sz w:val="32"/>
          <w:szCs w:val="32"/>
          <w:lang w:val="en-US" w:eastAsia="zh-CN"/>
        </w:rPr>
        <w:t>重庆市丰都县公安局交通巡逻警察大队认定，“弯道……超车所致，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在此次事故中为全部过错，应负事故的全部责任”的分析认定正确。综上分析，被告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在该次道路交通事故中无过错，管理行为也非造成原告损害发生的原因，依法不应承担对原告的损害赔偿责任。原告的损害应由原告自己承担民事责任。另原告主张行车道属于公共场所的理由，根据《</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侵权责任法》第四十八规定，行车道并非公共场所，不适用该法第三十七条规定，其主张理由不能成立。</w:t>
      </w:r>
    </w:p>
    <w:p>
      <w:pPr>
        <w:numPr>
          <w:ilvl w:val="0"/>
          <w:numId w:val="1"/>
        </w:numPr>
        <w:autoSpaceDE w:val="0"/>
        <w:autoSpaceDN w:val="0"/>
        <w:adjustRightInd w:val="0"/>
        <w:ind w:firstLine="640" w:firstLineChars="200"/>
        <w:rPr>
          <w:rFonts w:hint="eastAsia" w:ascii="仿宋" w:hAnsi="仿宋" w:eastAsia="仿宋"/>
          <w:color w:val="000000"/>
          <w:sz w:val="32"/>
          <w:szCs w:val="32"/>
        </w:rPr>
      </w:pPr>
      <w:r>
        <w:rPr>
          <w:rFonts w:hint="eastAsia" w:ascii="仿宋" w:hAnsi="仿宋" w:eastAsia="仿宋" w:cs="H-SS9-PK74820000a48-Identity-H"/>
          <w:kern w:val="0"/>
          <w:sz w:val="32"/>
          <w:szCs w:val="32"/>
          <w:lang w:eastAsia="zh-CN"/>
        </w:rPr>
        <w:t>原告损失金额的确定等问题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1.医疗费据实计算为53001.48元；2.护理费计算为，120元/天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40</w:t>
      </w:r>
      <w:r>
        <w:rPr>
          <w:rFonts w:hint="eastAsia" w:ascii="仿宋" w:hAnsi="仿宋" w:eastAsia="仿宋" w:cs="H-SS9-PK74820000a48-Identity-H"/>
          <w:kern w:val="0"/>
          <w:sz w:val="32"/>
          <w:szCs w:val="32"/>
          <w:lang w:val="en-US" w:eastAsia="zh-CN"/>
        </w:rPr>
        <w:t>天（住院天数）=4800元；3.误工费计算为，100元/天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70</w:t>
      </w:r>
      <w:r>
        <w:rPr>
          <w:rFonts w:hint="eastAsia" w:ascii="仿宋" w:hAnsi="仿宋" w:eastAsia="仿宋" w:cs="H-SS9-PK74820000a48-Identity-H"/>
          <w:kern w:val="0"/>
          <w:sz w:val="32"/>
          <w:szCs w:val="32"/>
          <w:lang w:val="en-US" w:eastAsia="zh-CN"/>
        </w:rPr>
        <w:t>天=7000元；4.营养费酌定为500元；5.交通费酌定为300元；6.残疾辅助器具费，原告未举示相关证据不予计算；7.后继治疗费，原告未举示相关证据不予计算；8.残疾赔偿金，原告未举示相关证据不予计算；9.被扶养人生活费，原告未举示相关伤残的证据不予计算；10.精神损害抚慰金，系原告自己过错造成损害，不予支持；11.车辆损失费，原告未举示实际损失的证据不予计算，12.住院伙食补助费原告未请求不予计算，以上共计损失65601.48元。</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第八十五条、《最高人民法院关于审理人身损害赔偿案件适用法律若干问题的解释》第十七条、第十九条、第二十条、第二十一条、第二十二条、第二十四条、第二十八条、</w:t>
      </w:r>
      <w:r>
        <w:rPr>
          <w:rFonts w:hint="eastAsia" w:ascii="仿宋" w:hAnsi="仿宋" w:eastAsia="仿宋" w:cs="H-SS9-PK74820000a48-Identity-H"/>
          <w:kern w:val="0"/>
          <w:sz w:val="32"/>
          <w:szCs w:val="32"/>
        </w:rPr>
        <w:t>《最高人民法院关于适用〈中华人民共和国民事诉讼法〉的解释》第九十条第二款、第九十一条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驳回原告</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的诉讼请求。</w:t>
      </w: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900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450元，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郎鸿负担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不服一审判决，提出上诉。</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重庆市第三中级人民法院审理认为：同意一审法院意见。</w:t>
      </w:r>
    </w:p>
    <w:p>
      <w:pPr>
        <w:numPr>
          <w:ilvl w:val="0"/>
          <w:numId w:val="0"/>
        </w:numPr>
        <w:spacing w:line="360" w:lineRule="auto"/>
        <w:ind w:leftChars="20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 xml:space="preserve">  依照《中 华人民共和国民事诉讼法》第一百七十条第一款第一项规定， 判决如下： 驳回上诉，维持原判。 本案二审案件受理费900元，由上诉人郎鸿负担。 </w:t>
      </w:r>
    </w:p>
    <w:p>
      <w:pPr>
        <w:autoSpaceDE w:val="0"/>
        <w:autoSpaceDN w:val="0"/>
        <w:adjustRightInd w:val="0"/>
        <w:ind w:firstLine="960" w:firstLineChars="300"/>
        <w:rPr>
          <w:rFonts w:hint="default" w:ascii="黑体" w:hAnsi="黑体" w:eastAsia="黑体" w:cs="黑体"/>
          <w:color w:val="000000"/>
          <w:sz w:val="28"/>
          <w:szCs w:val="28"/>
          <w:lang w:val="en-US" w:eastAsia="zh-CN"/>
        </w:rPr>
      </w:pPr>
      <w:r>
        <w:rPr>
          <w:rFonts w:hint="eastAsia" w:ascii="黑体" w:hAnsi="黑体" w:eastAsia="黑体" w:cs="黑体"/>
          <w:kern w:val="0"/>
          <w:sz w:val="32"/>
          <w:szCs w:val="32"/>
          <w:lang w:eastAsia="zh-CN"/>
        </w:rPr>
        <w:t>[法律评析]</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本案涉及行政侵权责任与民事侵权责任交叉与处理问题，公共场所的认定与管理人责任的承担等问题，下面就相关问题进一步进行法理分析，以解决行民交叉侵权问题的裁判方法。</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政侵权与民事侵权的区分。行政行为是指享有行政权能的组织对行政相对人所作的法律行为。不具有行政权能的组织所作的行为，具有行政权能的组织非运用行政权所作的行为或者非针对行政相对人所作的行为，不具有法律意义的事实行为一般不属于行政行为。[</w:t>
      </w:r>
      <w:r>
        <w:rPr>
          <w:rFonts w:hint="eastAsia" w:ascii="黑体" w:hAnsi="黑体" w:eastAsia="黑体" w:cs="黑体"/>
          <w:color w:val="000000"/>
          <w:sz w:val="28"/>
          <w:szCs w:val="28"/>
          <w:lang w:eastAsia="zh-CN"/>
        </w:rPr>
        <w:footnoteReference w:id="0"/>
      </w:r>
      <w:r>
        <w:rPr>
          <w:rFonts w:hint="eastAsia" w:ascii="黑体" w:hAnsi="黑体" w:eastAsia="黑体" w:cs="黑体"/>
          <w:color w:val="000000"/>
          <w:sz w:val="28"/>
          <w:szCs w:val="28"/>
          <w:lang w:eastAsia="zh-CN"/>
        </w:rPr>
        <w:t>]行政行为有多种分类方法，以行政行为对行政相对人是否有利可分为授益与不利行政行为；以其是否改变法律状态（权利义务）为标准可以分为作为行政行为和不作为行政行为，前者指行政主体积极改变法律状态的行政行为，后者指行政主体消极维护现有法律状态，通常表现为不履行法定职责的行政行为；按照行政相对人是否特定为标准，行政行为可以分为抽象行政行为与具体行政行为，具体行政行为又分为行政处罚、行政强制等，行政强制包括强制拆迁、罚款等。其他分类方法因与本案关联性不大这里不作讨论。行政行为的构成要件有行政权能的存在、行政权的实际运用、法律效果的存在、表示行为的存在四个要素。合法行政行为必须具备行为主体合法、行为权限合法、行为内容合法、行为程序合法、行为形式合法五个要件，其中缺少一个要件可能就成为违法行政行为或者效力待定行政行为或者说是有瑕疵的行政行为。行政侵权行为就是违法行政行为产生的一种侵权行为。行政侵权行为指国家行政机关及其工作人员违法行使职权，侵犯公民、法人、或者其他组织的合法权益造成损害的行为。行政侵权行为的特点，一是行政机关及其工作人员有违法行使职权的行为，包括作为与不作为；二是违法行使职权的行为侵犯了公民、法人、或者其他组织的合法权益；三是损害结果实际发生或者危险已经存在。仅仅理解行政侵权的特点还难以在审判实践中进行责任判定，还必须把握行政侵权责任的归责原则。行政责任归责原则从世界各国行政法发展的历史考量，来源于民事责任归责原则，即过错责任原则、无过错责任原则、公平责任原则，但在行政法的发展过程中有所变化，增加了违法责任原则，各国在制定国家赔偿法或者判例法时有所选择，我国《国家赔偿法》采用的是“违法责任原则”。这里的“违法”一般应当从广义上理解，违反明确的法律规范，违背法律原则，滥用自由裁量权，没履行对特定人的法律义务等行政行为都属于“违法行为”。违法行政归责原则的构成要件有四个，行为主体系行政机关（包括工作人员）、执行职务的行为违法、有损害事实、执行职务的违法行为与损害之间存在因果关系。这里的因果关系一般来说指必然因果关系，但在审判实践中相当因果关系也常常被采纳。民事侵权行为是指民事主体行为人由于过错，或者在法律规定的场合不问过错，违反法律规定的义务，以作为或者不作为的方式，侵害他人人身权利和财产权利及其利益，依法应当承担损害赔偿等法律后果的行为。[</w:t>
      </w:r>
      <w:r>
        <w:rPr>
          <w:rFonts w:hint="eastAsia" w:ascii="黑体" w:hAnsi="黑体" w:eastAsia="黑体" w:cs="黑体"/>
          <w:color w:val="000000"/>
          <w:sz w:val="28"/>
          <w:szCs w:val="28"/>
          <w:lang w:eastAsia="zh-CN"/>
        </w:rPr>
        <w:footnoteReference w:id="1"/>
      </w:r>
      <w:r>
        <w:rPr>
          <w:rFonts w:hint="eastAsia" w:ascii="黑体" w:hAnsi="黑体" w:eastAsia="黑体" w:cs="黑体"/>
          <w:color w:val="000000"/>
          <w:sz w:val="28"/>
          <w:szCs w:val="28"/>
          <w:lang w:eastAsia="zh-CN"/>
        </w:rPr>
        <w:t>]我国侵权责任法采过错责任、过错推定责任、无过错责任归责原则，其中过错责任归责原则是主要的归责原则。侵权责任的构成要件有四个，即违法行为、损害事实、因果关系、过错。因果关系是指违法行为及过错与损害事实之间存在引起与被引起的关系，前者是原因，后者是结果。符合以上构成要件才承担侵权民事责任。以上不难看出行政侵权的归责原则与民事侵权行为的归责原则在我国法律体系上有一定联系也有区别，就民事侵权行为经常适用的过错责任归责原则要件比较，行为主体存在“不平等”与“平等”差别；行为内容的“违法”与“过错”的差别，同时，诉讼的体系上存在行政诉讼和行政复议与民事诉讼当然选择差别，内容上的举证责任差别（民事诉讼以原告负举证责任为一般原则，行政诉讼和行政复议以原告负次要的举证责任，被告负主要的举证责任为原则）。进行体系上区分后，对于单一侵权行为主体的行政或民事的侵权而言，处理方法并不复杂，属于行政侵权行为适用《国家赔偿法》及《行政诉讼法》与《行政复议法》相关规定并结合归责原则及构成要件即可解决问题，属于民事侵权的适用民事实体法与程序法可迎刃而解，然而现实的司法案件并非如此，本文案例就是行政侵权与民事侵权交织的案件，如何处理呢？从现有法律的规范上看，无明确的法律规定，为此还必须从理论上分析整理，才能寻找相应法律方法。</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行政侵权与民事侵权交叉问题的法理分析。行政侵权与民事侵权交叉问题主要体现在两个方面，一是因果关系属性；二是赔偿的程序路径。</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因果关系。现实侵权损害赔偿案件中，引起损害的原因往往不是单一的民事侵权行为，有可能是一个侵权行为既是犯罪行为也是民事侵权行为或者是行政侵权行为；就侵权行为人而言不是一个人的行为引起，而是多个人的行为引起，行为与行为之间存在关联关系。就侵权混合主体而言，有的属于犯罪行为人与民事侵权人的并合，有的属于行政机关与民事侵权人的并合，当然也存在性质相同的主体并合，对于相同性质主体的并合，处理程序上有明确的程序法规定这里不论，只就不同性质混合主体进行分析。就刑事与民事混合而言，刑事责任与民事责任并存，刑事责任承担后同时与民事侵权行为人一并承担民事赔偿责任，法律规定也明确，可以附带民事赔偿，也可以待刑事责任承担后或者承担前与其他民事侵权人一并对受害人按因果关系的性质承担民事赔偿责任，这里也不再赘述。可行政与民事混合主体的侵权情形，由于行政赔偿责任与民事赔偿责任在适用程序法上如何处理，从现有法律规定看，并不明确，必须进行法理上的厘清。理清这个问题，首先应当研究其中的因果关系理论，从行政赔偿的发展上看，历史并不长，仅有一百多年的历史，且从大陆法与普通法两大法系的传统上看，因果关系理论都从民事赔偿的基础理论演变而来，美国的行政赔偿准用的是民事赔偿制度，“联邦侵权赔偿法第</w:t>
      </w:r>
      <w:r>
        <w:rPr>
          <w:rFonts w:hint="eastAsia" w:ascii="黑体" w:hAnsi="黑体" w:eastAsia="黑体" w:cs="黑体"/>
          <w:color w:val="000000"/>
          <w:sz w:val="28"/>
          <w:szCs w:val="28"/>
          <w:lang w:val="en-US" w:eastAsia="zh-CN"/>
        </w:rPr>
        <w:t>1456节（b）规定，国家的赔偿责任适用政府职员行为或者不行为发生对私人在类似情况下规定责任的法律</w:t>
      </w: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lang w:eastAsia="zh-CN"/>
        </w:rPr>
        <w:footnoteReference w:id="2"/>
      </w:r>
      <w:r>
        <w:rPr>
          <w:rFonts w:hint="eastAsia" w:ascii="黑体" w:hAnsi="黑体" w:eastAsia="黑体" w:cs="黑体"/>
          <w:color w:val="000000"/>
          <w:sz w:val="28"/>
          <w:szCs w:val="28"/>
          <w:lang w:eastAsia="zh-CN"/>
        </w:rPr>
        <w:t>]，只是在程序上适用行政赔偿程序。法国行政赔偿的理论与判例也基本适用的是民事赔偿基础理论，我国的行政赔偿制度借鉴了两大法系的精华部分，并根据中国实际，在主体上做了适当的限制，免除少部分行政主体的赔偿责任，但是就基础的理论来说仍然准用了民法的基础赔偿理论。因果关系理论正是属于赔偿基础理论，应套用民事赔偿的因果关系理论。因果关系是指某一个或一些事实引起或造成了另一个事实时，前者是原因，后者是结果，二者存在因果关系。因果关系有两个层面，第一层面的因果关系是指责任成立的因果关系，考察的是加害行为与损害在客观上有无联系，采用的是“条件说”即，无此行为，必不生此损害，有此行为通常足生此损害，这个因果关系是责任范围因果关系的前提，如不存在，第二层面的责任范围因果关系就不成立，解决的是肇因问题；第二层面的因果关系是指责任范围的因果关系，解决的是赔偿范围大小问题，判断的标准通说采“相当因果关系说”，相当因果关系说来源于德国，[</w:t>
      </w:r>
      <w:r>
        <w:rPr>
          <w:rFonts w:hint="eastAsia" w:ascii="黑体" w:hAnsi="黑体" w:eastAsia="黑体" w:cs="黑体"/>
          <w:color w:val="000000"/>
          <w:sz w:val="28"/>
          <w:szCs w:val="28"/>
          <w:lang w:eastAsia="zh-CN"/>
        </w:rPr>
        <w:footnoteReference w:id="3"/>
      </w:r>
      <w:r>
        <w:rPr>
          <w:rFonts w:hint="eastAsia" w:ascii="黑体" w:hAnsi="黑体" w:eastAsia="黑体" w:cs="黑体"/>
          <w:color w:val="000000"/>
          <w:sz w:val="28"/>
          <w:szCs w:val="28"/>
          <w:lang w:eastAsia="zh-CN"/>
        </w:rPr>
        <w:t>]该说的核心是原因事实与损害结果之间在通常情形下存在可能性，即存在因果关系。因果关系分为单一的因果关系与复数因果关系，单一因果关系是一个原因一个结果，复数因果关系是多个原因与结果存在联系，包括多因一果与多因多果的情形。复数因果关系可分为，共同的因果关系、竞合的因果关系、修补的因果关系、择一的因果关系和假设的因果关系等。共同的因果关系指多个行为人分别实施加害行为，给受害人造成同一损害，其中任何一个加害行为均不足以造成部分或全部损害，系加害行为结合造成，各个加害行为可能是故意，也可能是过失，但各加害人之间没有意思联络，承担责任的方式为按份责任。竞合的因果关系指多个加害行为分别实施了加害行为，给加害人造成同一损害，每一个加害行为都可能造成损害全部，我国侵权责任法规定，承担连带赔偿责任。修补的因果关系指对同一受害人造成损害结果的多个原因依次发生，在先原因所造成的损害后果被在后的原因加以改变而形成的因果关系。我国侵权责任法规定，这种因果关系承担的是按份责任。择一的因果关系是指损害是由于多个行为人中的某个或某些人行为所致，但不能确定具体侵权人的因果关系。我国侵权责任法规定这种共同危险行为产生的损害，行为人承担连带责任。假设的因果关系是指这样的情形，损害已因某一加害人之行为发生了，假设该加害行为不存在，也会因为另外一个与加害人无关的原因而发生，即一个是实际引发损害的加害行为，另一个并未实际发生，但如果真发生，也能造成同一损害，假设的原因可能是第三人的行为，受害人自己的行为或者事件。假设的因果关系不影响赔偿责任的成立，但可影响责任的大小或减轻加害人责任。</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因果关系与责任形态的关系。侵权责任形态是指侵权法律关系当事人承担侵权责任的不同表现形式，所研究的内容是侵权责任在当事人之间分配。侵权责任的一般表现形态可分为自己责任与替代责任、单方责任与双方责任、单独责任和共同责任三个序列，自己责任与替代责任是根据行为人责任承担责任与行为人有特定关系，如未成年子女侵权的责任由监护人承担等；单方责任与双方责任是指加害人与受害人一方的责任或是双方均有责任的问题；单独责任与共同责任是指单独加害人和多数加害人承担的责任形态。单独实施侵权行为，由该行为人承担侵权责任，简单明确，不难理解，但是如果加害人为多人，责任承担就很复杂，可能构成连带责任、按份责任、不真正连带责任、补充责任等。理清以上责任必须明确多数人侵权行为的类型，多数人侵权行为分为共同侵权行为、分别侵权行为、竞合侵权行为三种类型，共同侵权行为是二人以上共同实施侵权，造成他人损害的侵权行为，共同指主观上的意思联络关连或者客观上的关连共同，客观关连指原因上的共同性与不可分性，损害结果同一性，对于共同侵权行为承担的责任为连带责任，所谓连带责任是指每一个加害人单独或部分或整体共同对受害人的损失承担全部责任，加害人内部根据过错与原因力大小承担责任的责任形态。分别侵权行为是指数个行为人分别实施侵权行为，既没有共同故意，也没有共同过失，只是由于各自行为在客观上的联系，造成同一个损害结果的多数人侵权行为。[</w:t>
      </w:r>
      <w:r>
        <w:rPr>
          <w:rFonts w:hint="eastAsia" w:ascii="黑体" w:hAnsi="黑体" w:eastAsia="黑体" w:cs="黑体"/>
          <w:color w:val="000000"/>
          <w:sz w:val="28"/>
          <w:szCs w:val="28"/>
          <w:lang w:eastAsia="zh-CN"/>
        </w:rPr>
        <w:footnoteReference w:id="4"/>
      </w:r>
      <w:r>
        <w:rPr>
          <w:rFonts w:hint="eastAsia" w:ascii="黑体" w:hAnsi="黑体" w:eastAsia="黑体" w:cs="黑体"/>
          <w:color w:val="000000"/>
          <w:sz w:val="28"/>
          <w:szCs w:val="28"/>
          <w:lang w:eastAsia="zh-CN"/>
        </w:rPr>
        <w:t>]分别侵权行为分为典型的分别侵权行为、叠加分别侵权行为、半叠加分别侵权行为三种类型，典型的分别侵权行为的各个侵权行为的原因力大小，过错大小对损害结果可以分割，承担责任是按份责任；叠加分别侵权行为，指各个分别实施的侵权行为对损害结果具有</w:t>
      </w:r>
      <w:r>
        <w:rPr>
          <w:rFonts w:hint="eastAsia" w:ascii="黑体" w:hAnsi="黑体" w:eastAsia="黑体" w:cs="黑体"/>
          <w:color w:val="000000"/>
          <w:sz w:val="28"/>
          <w:szCs w:val="28"/>
          <w:lang w:val="en-US" w:eastAsia="zh-CN"/>
        </w:rPr>
        <w:t>100%原因力，产生的损害结果不可分割，我国《侵权责任法》第11条规定承担连带责任，</w:t>
      </w:r>
      <w:r>
        <w:rPr>
          <w:rFonts w:hint="eastAsia" w:ascii="黑体" w:hAnsi="黑体" w:eastAsia="黑体" w:cs="黑体"/>
          <w:color w:val="000000"/>
          <w:sz w:val="28"/>
          <w:szCs w:val="28"/>
          <w:lang w:eastAsia="zh-CN"/>
        </w:rPr>
        <w:t>半叠加分别侵权行为指介于典型的分别侵权行为与叠加分别侵权行为之间的分别侵权行为，这种分别侵权行为，有的行为对损害结果具有部分原因力，有的行为具有全部原因力，这种侵权行为的行为人对损害重合部分承担连带责任，不重合部分承担按份责任。竞合侵权行为指两个以上的民事主体作为侵权人，有的实施直接侵权行为，与损害结果有直接因果关系，有的实施间接侵权行为，与损害结果具有间接因果关系，行为人承担不真正连带责任的侵权行为形态。所谓不真正连带责任是指受害人选择一个侵权行为人承担全部责任，对于受害人而言请求权消灭，而被选择承担责任的行为人，可以向承担终极责任的行为人追偿的责任形态。</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行民交叉侵权可接受的责任形态及诉讼路径。行政侵权行为与民事侵权行为结合产生一个损害结果，笔者认为可以参照民事侵权的分类方法从类型上进行分类整理，仍然可以分为共同侵权行为、分别侵权行为、竞合侵权行为，一是民事主体与行政主体存在共同故意或者过失的侵权这种交叉行为称为共同侵权行为，承担责任的方式为连带责任；二是民事主体与行政主体分别实施侵权行为，可以再细分为典型的分别侵权行为、叠加分别侵权行为、半叠加分别侵权行为三种类型，承担责任的方式分别为按份责任、连带责任、部分连带责任方式，系类推的民法方法；三是民事主体与行政主体竞合侵权行为，适用不真正连带责任形态的解决路径。之所以借鉴民事侵权的分类解决方法，一是因为行政赔偿与民事赔偿其本质都是对受害人人身权利及财产权利损害的救济，落脚点是同一的；二是救济的目的相同，都是对损失的一种填补；三是行政赔偿的起源是从民事赔偿理论发展而来，前面部分已做了相应的证明，且普通法系对于行政赔偿与民事赔偿的填补形式没有严格的区分，只是规定了部分免除事项，大陆法系虽然在诉讼形式上开动了两架马车，但是最终的赔偿仍然属填平的民法方法；四是只有借鉴民事赔偿责任理论，对于侵权人与受害人之间及侵权行为人之间才能实现公平正义。当然，责任构成与责任承担的理论只是实体法上的理论解决方法，从程序上讲，必定是不同的，因为行政赔偿中的责任确定有一个行政行为违法确认程序，是不能直接融会消解于民事诉讼中的，因此有必要在程序处理上进行必要的研究，达到两种程序的贯通。笔者认为可以从两个方向进行，一是行政侵权主体与民事侵权主体的责任存在连带责任（包括部分连带的情形）形态的，通过行政诉讼附带民事赔偿的诉讼解决方法，通过行政诉讼确认行政违法，附带民事诉讼解决对受害人连带赔偿与行政侵权人与民事侵权人的内部负担大小问题，防止两种诉讼分离，审判组织分离产生的判决结果矛盾，达到公平公正；二是行政侵权主体与民事侵权主体的责任存在连带责任分别实施侵权属于按份责任，但责任大小存在统一划分的，仍然按行政诉讼附带民事赔偿的诉讼解决方法，防止审判组织分离产生的判决冲突；三是行政侵权主体与民事侵权主体的责任属于不真正连带责任的，赋予受害人诉讼选择权，可以选择适用行政赔偿程序，追究行政主体的赔偿责任，待行政赔偿后，行政主体有向终极责任人追偿的权利，也可以首先向民事侵权主体主张民事赔偿，待赔偿后向承担终极责任的责任人追偿，终极责任系行政主体的，适用行政赔偿程序的解决方法，向行政主体追偿，不属于行政主体终极责任的，通过民事诉讼程序向有终极责任的民事侵权主体追偿。</w:t>
      </w:r>
    </w:p>
    <w:p>
      <w:pPr>
        <w:numPr>
          <w:ilvl w:val="0"/>
          <w:numId w:val="0"/>
        </w:numPr>
        <w:spacing w:line="360" w:lineRule="auto"/>
        <w:ind w:leftChars="200"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契入案件的分析。从原告的诉讼请求看，原告选择的是基于被告对电线杆这一构筑物未尽管理义务，导致原告健康权受损的侵权损害责任而提起的诉讼，诉讼请求权来源于我国《侵权责任法》第</w:t>
      </w:r>
      <w:r>
        <w:rPr>
          <w:rFonts w:hint="eastAsia" w:ascii="黑体" w:hAnsi="黑体" w:eastAsia="黑体" w:cs="黑体"/>
          <w:color w:val="000000"/>
          <w:sz w:val="28"/>
          <w:szCs w:val="28"/>
          <w:lang w:val="en-US" w:eastAsia="zh-CN"/>
        </w:rPr>
        <w:t>85</w:t>
      </w:r>
      <w:r>
        <w:rPr>
          <w:rFonts w:hint="eastAsia" w:ascii="黑体" w:hAnsi="黑体" w:eastAsia="黑体" w:cs="黑体"/>
          <w:color w:val="000000"/>
          <w:sz w:val="28"/>
          <w:szCs w:val="28"/>
          <w:lang w:eastAsia="zh-CN"/>
        </w:rPr>
        <w:t>条、第</w:t>
      </w:r>
      <w:r>
        <w:rPr>
          <w:rFonts w:hint="eastAsia" w:ascii="黑体" w:hAnsi="黑体" w:eastAsia="黑体" w:cs="黑体"/>
          <w:color w:val="000000"/>
          <w:sz w:val="28"/>
          <w:szCs w:val="28"/>
          <w:lang w:val="en-US" w:eastAsia="zh-CN"/>
        </w:rPr>
        <w:t>86条</w:t>
      </w:r>
      <w:r>
        <w:rPr>
          <w:rFonts w:hint="eastAsia" w:ascii="黑体" w:hAnsi="黑体" w:eastAsia="黑体" w:cs="黑体"/>
          <w:color w:val="000000"/>
          <w:sz w:val="28"/>
          <w:szCs w:val="28"/>
          <w:lang w:eastAsia="zh-CN"/>
        </w:rPr>
        <w:t>规定的，[</w:t>
      </w:r>
      <w:r>
        <w:rPr>
          <w:rFonts w:hint="eastAsia" w:ascii="黑体" w:hAnsi="黑体" w:eastAsia="黑体" w:cs="黑体"/>
          <w:color w:val="000000"/>
          <w:sz w:val="28"/>
          <w:szCs w:val="28"/>
          <w:lang w:eastAsia="zh-CN"/>
        </w:rPr>
        <w:footnoteReference w:id="5"/>
      </w:r>
      <w:r>
        <w:rPr>
          <w:rFonts w:hint="eastAsia" w:ascii="黑体" w:hAnsi="黑体" w:eastAsia="黑体" w:cs="黑体"/>
          <w:color w:val="000000"/>
          <w:sz w:val="28"/>
          <w:szCs w:val="28"/>
          <w:lang w:eastAsia="zh-CN"/>
        </w:rPr>
        <w:t>]所有权人或使用权人对构筑物的倒塌、脱落等未尽管理义务而导致的损害承担民事侵权赔偿责任。这条规定本是基于平等主体之间发生的民事侵权损害赔偿，被告应当是民事主体，但原告在罗列被告时列了两个被告一个是移动丰都分公司，一个是丰都县交通行政执法支队，这两个被告是否均为民事侵权主体呢？就原告与移动丰都分公司之间的主体地位而言双方互不存在内部上的雇佣关系，也不存在外部上行政管理关系，是平等的民事主体，属于适格的民事主体。而与被告丰都县交通行政执法支队主体地位而言，该被告非电线杆的所有人或使用人，只是基于行政管理职责，才与电线杆的所有权或使用权人及第三人发生了权利义务关系，双方之间产生的是行政上的管理与被管理关系，法律地位是不平等的，如未尽行政管理职责，给被管理人或第三人造成损害，承担的是行政侵权责任，其行为无论是积极的或不作为的消极行为都属于行政行为，产生的侵权行为当然为行政侵权行为。显然原告将丰都县交通行政执法支队列入民事共同侵权被告，是不恰当的。但原告既然将两个不同地位的主体列为被告，人为主张了行民交叉侵权损害赔偿请求权，法院的裁判必须予以回应。对于行民交叉侵权，按照上文的分析处理方法有两条路径，一是原告可选择以行政附带民事诉讼提起民事赔偿，这样可以将不同地位的主体纳入诉讼合并进行划责赔偿；二是单独选择民事诉讼对民事侵权行为人追究民事赔偿责任。原告选择哪一种方式，应根据行民侵权交叉的责任形态性质决定。属于共同侵权的，或虽不属于共同侵权，但有分别侵权行为，每一个侵权行为对损害有部分原因力的，需要一并划责，承担按分责任的，原告应选择行政附带民事诉讼提起赔偿的方式。对于行民交叉侵权，但不属于以上情形，而属于竞合因果关系，责任形态属于不真正连带责任的，原告可单独选择一种方式，选择民事诉讼方式的，如民事侵权行为人赔偿后，认为自己不属于终极责任人的，承担责任后可以向终极责任人（包括行政侵权行为人或其他民事侵权行为人）追偿，但受害人只能作一次选择，因为每一种选择均达到完全救济的目的。本案原告在选择赔偿诉讼形式时选择的是第二种形式的诉讼，从形式上看并无不妥，只是在罗列被告时将行政与民事侵权主体混为一谈，实为错误，这种情形下，民事法庭对行政行为是否违法是不作审理的，因为行政诉讼程序才能对行政行为是否违法进行审理，该情形下法院应当行使释明权，又，基于本案形式上的竞合因果关系及不真正连带责任，民事审判程序能够继续推进，法院转入了民事主体实体上是否存在责任的审理，一二审法院在审理后，根据事实，确定原告的事害系其自己的过错造成，与被告的行为不存在事实上的因果关系，最后判决，驳回了原告的诉讼请求，无疑具有程序上的合法适理性与实体上公平正义性。</w:t>
      </w:r>
    </w:p>
    <w:p>
      <w:pPr>
        <w:numPr>
          <w:ilvl w:val="0"/>
          <w:numId w:val="0"/>
        </w:numPr>
        <w:spacing w:line="360" w:lineRule="auto"/>
        <w:ind w:leftChars="200"/>
        <w:rPr>
          <w:rFonts w:hint="eastAsia" w:ascii="黑体" w:hAnsi="黑体" w:eastAsia="黑体" w:cs="黑体"/>
          <w:color w:val="000000"/>
          <w:sz w:val="28"/>
          <w:szCs w:val="28"/>
          <w:lang w:eastAsia="zh-CN"/>
        </w:rPr>
      </w:pPr>
    </w:p>
    <w:p>
      <w:pPr>
        <w:ind w:firstLine="560" w:firstLineChars="200"/>
        <w:rPr>
          <w:rFonts w:hint="default" w:ascii="仿宋" w:hAnsi="仿宋" w:eastAsia="仿宋"/>
          <w:sz w:val="32"/>
          <w:szCs w:val="32"/>
          <w:lang w:val="en-US" w:eastAsia="zh-CN"/>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 xml:space="preserve">案例撰写人  </w:t>
      </w:r>
      <w:r>
        <w:rPr>
          <w:rFonts w:hint="eastAsia" w:ascii="仿宋" w:hAnsi="仿宋" w:eastAsia="仿宋"/>
          <w:sz w:val="32"/>
          <w:szCs w:val="32"/>
          <w:lang w:val="en-US" w:eastAsia="zh-CN"/>
        </w:rPr>
        <w:t>重庆市丰都县人民法院 余孝安，法律硕士 中国法理学研究会会员，员额制四级高级法官，联系电话13372770237，邮政编码408200.身份证号码512324196508230437.银行卡号：中国农业银行6228430477000215377.</w:t>
      </w:r>
    </w:p>
    <w:p>
      <w:pPr>
        <w:numPr>
          <w:ilvl w:val="0"/>
          <w:numId w:val="0"/>
        </w:numPr>
        <w:spacing w:line="360" w:lineRule="auto"/>
        <w:ind w:leftChars="200"/>
        <w:rPr>
          <w:rFonts w:hint="eastAsia" w:ascii="黑体" w:hAnsi="黑体" w:eastAsia="黑体" w:cs="黑体"/>
          <w:color w:val="000000"/>
          <w:sz w:val="28"/>
          <w:szCs w:val="28"/>
        </w:rPr>
      </w:pPr>
      <w:bookmarkStart w:id="0" w:name="_GoBack"/>
      <w:bookmarkEnd w:id="0"/>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5"/>
        </w:rPr>
        <w:t>[</w:t>
      </w:r>
      <w:r>
        <w:rPr>
          <w:rStyle w:val="5"/>
        </w:rPr>
        <w:footnoteRef/>
      </w:r>
      <w:r>
        <w:rPr>
          <w:rStyle w:val="5"/>
        </w:rPr>
        <w:t>]</w:t>
      </w:r>
      <w:r>
        <w:t xml:space="preserve"> </w:t>
      </w:r>
      <w:r>
        <w:rPr>
          <w:rFonts w:hint="eastAsia"/>
          <w:lang w:eastAsia="zh-CN"/>
        </w:rPr>
        <w:t>姜明安主编：《行政法与行政诉讼法》，北京大学出版社</w:t>
      </w:r>
      <w:r>
        <w:rPr>
          <w:rFonts w:hint="eastAsia"/>
          <w:lang w:val="en-US" w:eastAsia="zh-CN"/>
        </w:rPr>
        <w:t>1999年10版，第141页。</w:t>
      </w:r>
    </w:p>
  </w:footnote>
  <w:footnote w:id="1">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王利民</w:t>
      </w:r>
      <w:r>
        <w:rPr>
          <w:rFonts w:hint="eastAsia"/>
          <w:lang w:val="en-US" w:eastAsia="zh-CN"/>
        </w:rPr>
        <w:t xml:space="preserve"> 杨立新 王轶 程啸著：《民法学》法律出版社2020年10月第6版第1039-1040页。</w:t>
      </w:r>
    </w:p>
  </w:footnote>
  <w:footnote w:id="2">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王名扬著：《美国行政法》，中国法制出版社，</w:t>
      </w:r>
      <w:r>
        <w:rPr>
          <w:rFonts w:hint="eastAsia"/>
          <w:lang w:val="en-US" w:eastAsia="zh-CN"/>
        </w:rPr>
        <w:t>1995年1月北京第1版第274页。</w:t>
      </w:r>
    </w:p>
  </w:footnote>
  <w:footnote w:id="3">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程啸著：《侵权责任法》，法律出版社，</w:t>
      </w:r>
      <w:r>
        <w:rPr>
          <w:rFonts w:hint="eastAsia"/>
          <w:lang w:val="en-US" w:eastAsia="zh-CN"/>
        </w:rPr>
        <w:t>2015年9月第2版226页。</w:t>
      </w:r>
    </w:p>
  </w:footnote>
  <w:footnote w:id="4">
    <w:p>
      <w:pPr>
        <w:pStyle w:val="2"/>
        <w:snapToGrid w:val="0"/>
        <w:rPr>
          <w:rFonts w:hint="default" w:eastAsiaTheme="minorEastAsia"/>
          <w:lang w:val="en-US" w:eastAsia="zh-CN"/>
        </w:rPr>
      </w:pPr>
      <w:r>
        <w:rPr>
          <w:rStyle w:val="5"/>
        </w:rPr>
        <w:t>[</w:t>
      </w:r>
      <w:r>
        <w:rPr>
          <w:rStyle w:val="5"/>
        </w:rPr>
        <w:footnoteRef/>
      </w:r>
      <w:r>
        <w:rPr>
          <w:rStyle w:val="5"/>
        </w:rPr>
        <w:t>]</w:t>
      </w:r>
      <w:r>
        <w:t xml:space="preserve"> </w:t>
      </w:r>
      <w:r>
        <w:rPr>
          <w:rFonts w:hint="eastAsia"/>
          <w:lang w:eastAsia="zh-CN"/>
        </w:rPr>
        <w:t>杨立新著：《侵权责任法》，法律出版社</w:t>
      </w:r>
      <w:r>
        <w:rPr>
          <w:rFonts w:hint="eastAsia"/>
          <w:lang w:val="en-US" w:eastAsia="zh-CN"/>
        </w:rPr>
        <w:t>2018年4月第3版第118页。</w:t>
      </w:r>
    </w:p>
  </w:footnote>
  <w:footnote w:id="5">
    <w:p>
      <w:pPr>
        <w:pStyle w:val="2"/>
        <w:snapToGrid w:val="0"/>
        <w:rPr>
          <w:rFonts w:hint="default" w:eastAsiaTheme="minorEastAsia"/>
          <w:lang w:val="en-US" w:eastAsia="zh-CN"/>
        </w:rPr>
      </w:pPr>
      <w:r>
        <w:rPr>
          <w:rStyle w:val="5"/>
        </w:rPr>
        <w:t>[</w:t>
      </w:r>
      <w:r>
        <w:rPr>
          <w:rStyle w:val="5"/>
        </w:rPr>
        <w:footnoteRef/>
      </w:r>
      <w:r>
        <w:rPr>
          <w:rStyle w:val="5"/>
        </w:rPr>
        <w:t>]</w:t>
      </w:r>
      <w:r>
        <w:rPr>
          <w:rFonts w:hint="eastAsia"/>
          <w:lang w:val="en-US" w:eastAsia="zh-CN"/>
        </w:rPr>
        <w:t>《</w:t>
      </w:r>
      <w:r>
        <w:rPr>
          <w:rFonts w:hint="eastAsia"/>
          <w:lang w:eastAsia="zh-CN"/>
        </w:rPr>
        <w:t>民法典</w:t>
      </w:r>
      <w:r>
        <w:rPr>
          <w:rFonts w:hint="eastAsia"/>
          <w:lang w:val="en-US" w:eastAsia="zh-CN"/>
        </w:rPr>
        <w:t>》颁布后为</w:t>
      </w:r>
      <w:r>
        <w:rPr>
          <w:rFonts w:hint="eastAsia"/>
          <w:lang w:eastAsia="zh-CN"/>
        </w:rPr>
        <w:t>第</w:t>
      </w:r>
      <w:r>
        <w:rPr>
          <w:rFonts w:hint="eastAsia"/>
          <w:lang w:val="en-US" w:eastAsia="zh-CN"/>
        </w:rPr>
        <w:t>1252条、1253条。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A86A2"/>
    <w:multiLevelType w:val="singleLevel"/>
    <w:tmpl w:val="B36A86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C0453"/>
    <w:rsid w:val="61D87BB1"/>
    <w:rsid w:val="7317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2021-05-11T12:29:00Z</dcterms:created>
  <dc:creator>Administrator</dc:creator>
  <cp:lastModifiedBy>Administrator</cp:lastModifiedBy>
  <dcterms:modified xsi:type="dcterms:W3CDTF">2021-09-26T13:01:56Z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