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sz w:val="32"/>
          <w:szCs w:val="32"/>
          <w:lang w:eastAsia="zh-CN"/>
        </w:rPr>
      </w:pPr>
      <w:r>
        <w:rPr>
          <w:rFonts w:hint="eastAsia" w:ascii="宋体" w:hAnsi="宋体" w:eastAsia="宋体"/>
          <w:sz w:val="32"/>
          <w:szCs w:val="32"/>
          <w:lang w:eastAsia="zh-CN"/>
        </w:rPr>
        <w:t>获得工伤赔偿后仍可向第三者请求残疾等项赔偿——</w:t>
      </w:r>
    </w:p>
    <w:p>
      <w:pPr>
        <w:rPr>
          <w:rFonts w:ascii="宋体" w:hAnsi="宋体" w:eastAsia="宋体"/>
          <w:sz w:val="32"/>
          <w:szCs w:val="32"/>
        </w:rPr>
      </w:pPr>
      <w:r>
        <w:rPr>
          <w:rFonts w:hint="eastAsia" w:ascii="宋体" w:hAnsi="宋体" w:eastAsia="宋体"/>
          <w:sz w:val="32"/>
          <w:szCs w:val="32"/>
          <w:lang w:eastAsia="zh-CN"/>
        </w:rPr>
        <w:t>彭某华</w:t>
      </w:r>
      <w:r>
        <w:rPr>
          <w:rFonts w:hint="eastAsia" w:ascii="宋体" w:hAnsi="宋体" w:eastAsia="宋体"/>
          <w:kern w:val="0"/>
          <w:sz w:val="32"/>
          <w:szCs w:val="32"/>
        </w:rPr>
        <w:t>与</w:t>
      </w:r>
      <w:r>
        <w:rPr>
          <w:rFonts w:hint="eastAsia" w:ascii="宋体" w:hAnsi="宋体" w:eastAsia="宋体"/>
          <w:sz w:val="32"/>
          <w:szCs w:val="32"/>
        </w:rPr>
        <w:t>丰都县供电分公司触电人身损害责任案</w:t>
      </w:r>
    </w:p>
    <w:p>
      <w:pPr>
        <w:rPr>
          <w:rFonts w:hint="default" w:ascii="宋体" w:hAnsi="宋体" w:eastAsia="宋体"/>
          <w:sz w:val="32"/>
          <w:szCs w:val="32"/>
          <w:lang w:val="en-US" w:eastAsia="zh-CN"/>
        </w:rPr>
      </w:pPr>
      <w:r>
        <w:rPr>
          <w:rFonts w:hint="eastAsia" w:ascii="宋体" w:hAnsi="宋体" w:eastAsia="宋体"/>
          <w:sz w:val="44"/>
          <w:szCs w:val="44"/>
          <w:lang w:val="en-US" w:eastAsia="zh-CN"/>
        </w:rPr>
        <w:t xml:space="preserve">                </w:t>
      </w:r>
      <w:r>
        <w:rPr>
          <w:rFonts w:hint="eastAsia" w:ascii="宋体" w:hAnsi="宋体" w:eastAsia="宋体"/>
          <w:sz w:val="32"/>
          <w:szCs w:val="32"/>
          <w:lang w:val="en-US" w:eastAsia="zh-CN"/>
        </w:rPr>
        <w:t>主审法官 余孝安</w:t>
      </w:r>
    </w:p>
    <w:p>
      <w:pPr>
        <w:ind w:firstLine="315" w:firstLineChars="150"/>
        <w:rPr>
          <w:rFonts w:hint="eastAsia" w:ascii="黑体" w:hAnsi="黑体" w:eastAsia="黑体" w:cs="黑体"/>
          <w:sz w:val="21"/>
          <w:szCs w:val="21"/>
        </w:rPr>
      </w:pPr>
      <w:r>
        <w:rPr>
          <w:rFonts w:hint="eastAsia" w:ascii="黑体" w:hAnsi="黑体" w:eastAsia="黑体" w:cs="黑体"/>
          <w:sz w:val="21"/>
          <w:szCs w:val="21"/>
        </w:rPr>
        <w:t xml:space="preserve"> </w:t>
      </w:r>
      <w:r>
        <w:rPr>
          <w:rFonts w:hint="default" w:ascii="Times New Roman" w:hAnsi="Times New Roman" w:eastAsia="黑体" w:cs="Times New Roman"/>
          <w:sz w:val="21"/>
          <w:szCs w:val="21"/>
        </w:rPr>
        <w:t>[</w:t>
      </w:r>
      <w:r>
        <w:rPr>
          <w:rFonts w:hint="eastAsia" w:ascii="Times New Roman" w:hAnsi="Times New Roman" w:eastAsia="黑体" w:cs="Times New Roman"/>
          <w:sz w:val="21"/>
          <w:szCs w:val="21"/>
          <w:lang w:eastAsia="zh-CN"/>
        </w:rPr>
        <w:t>案件基本信息</w:t>
      </w:r>
      <w:r>
        <w:rPr>
          <w:rFonts w:hint="default" w:ascii="Times New Roman" w:hAnsi="Times New Roman" w:eastAsia="黑体" w:cs="Times New Roman"/>
          <w:sz w:val="21"/>
          <w:szCs w:val="21"/>
        </w:rPr>
        <w:t>]</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1.判决书字号</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重庆市第三中级人民法院（2017）渝03民终1377号。</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2.案由： 触电人身损害责任纠纷</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3.诉讼双方：</w:t>
      </w:r>
    </w:p>
    <w:p>
      <w:pPr>
        <w:spacing w:line="540" w:lineRule="exact"/>
        <w:ind w:firstLine="411" w:firstLineChars="196"/>
        <w:rPr>
          <w:rFonts w:hint="eastAsia" w:ascii="黑体" w:hAnsi="黑体" w:eastAsia="黑体" w:cs="黑体"/>
          <w:sz w:val="21"/>
          <w:szCs w:val="21"/>
          <w:lang w:eastAsia="zh-CN"/>
        </w:rPr>
      </w:pPr>
      <w:r>
        <w:rPr>
          <w:rFonts w:hint="eastAsia" w:ascii="黑体" w:hAnsi="黑体" w:eastAsia="黑体" w:cs="黑体"/>
          <w:sz w:val="21"/>
          <w:szCs w:val="21"/>
        </w:rPr>
        <w:t>上诉人（原审原告）：</w:t>
      </w:r>
      <w:r>
        <w:rPr>
          <w:rFonts w:hint="eastAsia" w:ascii="黑体" w:hAnsi="黑体" w:eastAsia="黑体" w:cs="黑体"/>
          <w:sz w:val="21"/>
          <w:szCs w:val="21"/>
          <w:lang w:eastAsia="zh-CN"/>
        </w:rPr>
        <w:t>彭某华</w:t>
      </w:r>
    </w:p>
    <w:p>
      <w:pPr>
        <w:spacing w:line="540" w:lineRule="exact"/>
        <w:ind w:firstLine="411" w:firstLineChars="196"/>
        <w:rPr>
          <w:rFonts w:hint="eastAsia" w:ascii="黑体" w:hAnsi="黑体" w:eastAsia="黑体" w:cs="黑体"/>
          <w:sz w:val="21"/>
          <w:szCs w:val="21"/>
          <w:lang w:eastAsia="zh-CN"/>
        </w:rPr>
      </w:pPr>
      <w:r>
        <w:rPr>
          <w:rFonts w:hint="eastAsia" w:ascii="黑体" w:hAnsi="黑体" w:eastAsia="黑体" w:cs="黑体"/>
          <w:sz w:val="21"/>
          <w:szCs w:val="21"/>
        </w:rPr>
        <w:t>上诉人（原审被告）：国网重庆市电力公司丰都县供电分公司</w:t>
      </w:r>
      <w:r>
        <w:rPr>
          <w:rFonts w:hint="eastAsia" w:ascii="黑体" w:hAnsi="黑体" w:eastAsia="黑体" w:cs="黑体"/>
          <w:sz w:val="21"/>
          <w:szCs w:val="21"/>
          <w:lang w:eastAsia="zh-CN"/>
        </w:rPr>
        <w:t>。</w:t>
      </w:r>
    </w:p>
    <w:p>
      <w:pPr>
        <w:ind w:firstLine="420" w:firstLineChars="200"/>
        <w:rPr>
          <w:rFonts w:hint="eastAsia" w:ascii="黑体" w:hAnsi="黑体" w:eastAsia="黑体" w:cs="黑体"/>
          <w:sz w:val="21"/>
          <w:szCs w:val="21"/>
        </w:rPr>
      </w:pPr>
      <w:r>
        <w:rPr>
          <w:rFonts w:hint="eastAsia" w:ascii="黑体" w:hAnsi="黑体" w:eastAsia="黑体" w:cs="黑体"/>
          <w:sz w:val="21"/>
          <w:szCs w:val="21"/>
        </w:rPr>
        <w:t>负责人：汪朝军，总经理。</w:t>
      </w:r>
    </w:p>
    <w:p>
      <w:pPr>
        <w:spacing w:line="360" w:lineRule="auto"/>
        <w:ind w:firstLine="315" w:firstLineChars="150"/>
        <w:rPr>
          <w:rFonts w:hint="eastAsia" w:ascii="黑体" w:hAnsi="黑体" w:eastAsia="黑体" w:cs="黑体"/>
          <w:sz w:val="21"/>
          <w:szCs w:val="21"/>
        </w:rPr>
      </w:pPr>
      <w:r>
        <w:rPr>
          <w:rFonts w:hint="default" w:ascii="Times New Roman" w:hAnsi="Times New Roman" w:eastAsia="黑体" w:cs="Times New Roman"/>
          <w:sz w:val="21"/>
          <w:szCs w:val="21"/>
        </w:rPr>
        <w:t>[</w:t>
      </w:r>
      <w:r>
        <w:rPr>
          <w:rFonts w:hint="eastAsia" w:ascii="Times New Roman" w:hAnsi="Times New Roman" w:eastAsia="黑体" w:cs="Times New Roman"/>
          <w:sz w:val="21"/>
          <w:szCs w:val="21"/>
          <w:lang w:eastAsia="zh-CN"/>
        </w:rPr>
        <w:t>基本案情</w:t>
      </w:r>
      <w:r>
        <w:rPr>
          <w:rFonts w:hint="default" w:ascii="Times New Roman" w:hAnsi="Times New Roman" w:eastAsia="黑体" w:cs="Times New Roman"/>
          <w:sz w:val="21"/>
          <w:szCs w:val="21"/>
        </w:rPr>
        <w:t>]</w:t>
      </w:r>
    </w:p>
    <w:p>
      <w:pPr>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2015年9月，原告</w:t>
      </w:r>
      <w:r>
        <w:rPr>
          <w:rFonts w:hint="eastAsia" w:ascii="黑体" w:hAnsi="黑体" w:eastAsia="黑体" w:cs="黑体"/>
          <w:sz w:val="21"/>
          <w:szCs w:val="21"/>
          <w:lang w:eastAsia="zh-CN"/>
        </w:rPr>
        <w:t>彭某华</w:t>
      </w:r>
      <w:r>
        <w:rPr>
          <w:rFonts w:hint="eastAsia" w:ascii="黑体" w:hAnsi="黑体" w:eastAsia="黑体" w:cs="黑体"/>
          <w:sz w:val="21"/>
          <w:szCs w:val="21"/>
        </w:rPr>
        <w:t>受重庆旭鸣信息工程有限公司雇佣，从事折换通信线缆工作。2015年9月29日18时许，原告</w:t>
      </w:r>
      <w:r>
        <w:rPr>
          <w:rFonts w:hint="eastAsia" w:ascii="黑体" w:hAnsi="黑体" w:eastAsia="黑体" w:cs="黑体"/>
          <w:sz w:val="21"/>
          <w:szCs w:val="21"/>
          <w:lang w:eastAsia="zh-CN"/>
        </w:rPr>
        <w:t>彭某华</w:t>
      </w:r>
      <w:r>
        <w:rPr>
          <w:rFonts w:hint="eastAsia" w:ascii="黑体" w:hAnsi="黑体" w:eastAsia="黑体" w:cs="黑体"/>
          <w:sz w:val="21"/>
          <w:szCs w:val="21"/>
        </w:rPr>
        <w:t>在丰都县董家镇中和场村街道折换通信线缆时，被国网重庆市电力公司丰都县供电分公司管理的10千伏高压电击伤，同月30日入住第三军医大学西南医院治疗，入院诊断为：高压电击伤9%Ⅲ°头部及右上肢左足；头枕部软组织缺如；双肺肺炎，同年11月24日治愈出院。后，重庆旭鸣信息工程有限公司按照工伤赔偿了原告</w:t>
      </w:r>
      <w:r>
        <w:rPr>
          <w:rFonts w:hint="eastAsia" w:ascii="黑体" w:hAnsi="黑体" w:eastAsia="黑体" w:cs="黑体"/>
          <w:sz w:val="21"/>
          <w:szCs w:val="21"/>
          <w:lang w:eastAsia="zh-CN"/>
        </w:rPr>
        <w:t>彭某华</w:t>
      </w:r>
      <w:r>
        <w:rPr>
          <w:rFonts w:hint="eastAsia" w:ascii="黑体" w:hAnsi="黑体" w:eastAsia="黑体" w:cs="黑体"/>
          <w:sz w:val="21"/>
          <w:szCs w:val="21"/>
        </w:rPr>
        <w:t>全部损失。2017年2月28日，原告</w:t>
      </w:r>
      <w:r>
        <w:rPr>
          <w:rFonts w:hint="eastAsia" w:ascii="黑体" w:hAnsi="黑体" w:eastAsia="黑体" w:cs="黑体"/>
          <w:sz w:val="21"/>
          <w:szCs w:val="21"/>
          <w:lang w:eastAsia="zh-CN"/>
        </w:rPr>
        <w:t>彭某华</w:t>
      </w:r>
      <w:r>
        <w:rPr>
          <w:rFonts w:hint="eastAsia" w:ascii="黑体" w:hAnsi="黑体" w:eastAsia="黑体" w:cs="黑体"/>
          <w:sz w:val="21"/>
          <w:szCs w:val="21"/>
        </w:rPr>
        <w:t>委托重庆市渝东司法鉴定中心进行了司法鉴定，结论为：</w:t>
      </w:r>
      <w:r>
        <w:rPr>
          <w:rFonts w:hint="eastAsia" w:ascii="黑体" w:hAnsi="黑体" w:eastAsia="黑体" w:cs="黑体"/>
          <w:sz w:val="21"/>
          <w:szCs w:val="21"/>
          <w:lang w:eastAsia="zh-CN"/>
        </w:rPr>
        <w:t>彭某华</w:t>
      </w:r>
      <w:r>
        <w:rPr>
          <w:rFonts w:hint="eastAsia" w:ascii="黑体" w:hAnsi="黑体" w:eastAsia="黑体" w:cs="黑体"/>
          <w:sz w:val="21"/>
          <w:szCs w:val="21"/>
        </w:rPr>
        <w:t>右上肢的伤残程度系五级伤残；头皮无毛发25%以上的伤残程度系九级伤残。</w:t>
      </w:r>
    </w:p>
    <w:p>
      <w:pPr>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原告</w:t>
      </w:r>
      <w:r>
        <w:rPr>
          <w:rFonts w:hint="eastAsia" w:ascii="黑体" w:hAnsi="黑体" w:eastAsia="黑体" w:cs="黑体"/>
          <w:sz w:val="21"/>
          <w:szCs w:val="21"/>
          <w:lang w:eastAsia="zh-CN"/>
        </w:rPr>
        <w:t>彭某华</w:t>
      </w:r>
      <w:r>
        <w:rPr>
          <w:rFonts w:hint="eastAsia" w:ascii="黑体" w:hAnsi="黑体" w:eastAsia="黑体" w:cs="黑体"/>
          <w:sz w:val="21"/>
          <w:szCs w:val="21"/>
        </w:rPr>
        <w:t>在2015年前后均在户籍地外务工。</w:t>
      </w:r>
      <w:r>
        <w:rPr>
          <w:rFonts w:hint="eastAsia" w:ascii="黑体" w:hAnsi="黑体" w:eastAsia="黑体" w:cs="黑体"/>
          <w:sz w:val="21"/>
          <w:szCs w:val="21"/>
          <w:lang w:eastAsia="zh-CN"/>
        </w:rPr>
        <w:t>彭某华</w:t>
      </w:r>
      <w:r>
        <w:rPr>
          <w:rFonts w:hint="eastAsia" w:ascii="黑体" w:hAnsi="黑体" w:eastAsia="黑体" w:cs="黑体"/>
          <w:sz w:val="21"/>
          <w:szCs w:val="21"/>
        </w:rPr>
        <w:t>折换的通信线缆与国网重庆市电力公司丰都县供电分公司管理的丰都县董家镇中和场村的高压线相邻，作业地点在变压器附近，作业时</w:t>
      </w:r>
      <w:r>
        <w:rPr>
          <w:rFonts w:hint="eastAsia" w:ascii="黑体" w:hAnsi="黑体" w:eastAsia="黑体" w:cs="黑体"/>
          <w:sz w:val="21"/>
          <w:szCs w:val="21"/>
          <w:lang w:eastAsia="zh-CN"/>
        </w:rPr>
        <w:t>彭某华</w:t>
      </w:r>
      <w:r>
        <w:rPr>
          <w:rFonts w:hint="eastAsia" w:ascii="黑体" w:hAnsi="黑体" w:eastAsia="黑体" w:cs="黑体"/>
          <w:sz w:val="21"/>
          <w:szCs w:val="21"/>
        </w:rPr>
        <w:t>及重庆旭鸣信息工程有限公司未向国网重庆市电力公司丰都县供电分公司报告作业内容。国网重庆市电力公司丰都县供电分公司未在高压变压器旁边设置警示标志及相应防护装置。</w:t>
      </w:r>
    </w:p>
    <w:p>
      <w:pPr>
        <w:spacing w:line="360" w:lineRule="auto"/>
        <w:ind w:firstLine="420" w:firstLineChars="200"/>
        <w:rPr>
          <w:rFonts w:hint="default" w:ascii="Times New Roman" w:hAnsi="Times New Roman" w:eastAsia="黑体" w:cs="Times New Roman"/>
          <w:sz w:val="21"/>
          <w:szCs w:val="21"/>
        </w:rPr>
      </w:pPr>
      <w:r>
        <w:rPr>
          <w:rFonts w:hint="default" w:ascii="Times New Roman" w:hAnsi="Times New Roman" w:eastAsia="黑体" w:cs="Times New Roman"/>
          <w:sz w:val="21"/>
          <w:szCs w:val="21"/>
        </w:rPr>
        <w:t>[</w:t>
      </w:r>
      <w:r>
        <w:rPr>
          <w:rFonts w:hint="eastAsia" w:ascii="Times New Roman" w:hAnsi="Times New Roman" w:eastAsia="黑体" w:cs="Times New Roman"/>
          <w:sz w:val="21"/>
          <w:szCs w:val="21"/>
          <w:lang w:eastAsia="zh-CN"/>
        </w:rPr>
        <w:t>案件焦点</w:t>
      </w:r>
      <w:r>
        <w:rPr>
          <w:rFonts w:hint="default" w:ascii="Times New Roman" w:hAnsi="Times New Roman" w:eastAsia="黑体" w:cs="Times New Roman"/>
          <w:sz w:val="21"/>
          <w:szCs w:val="21"/>
        </w:rPr>
        <w:t>]</w:t>
      </w:r>
    </w:p>
    <w:p>
      <w:pPr>
        <w:spacing w:line="360" w:lineRule="auto"/>
        <w:ind w:firstLine="420" w:firstLineChars="200"/>
        <w:rPr>
          <w:rFonts w:hint="eastAsia"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t>获得工伤赔偿后是否可以向第三人主张侵权责任赔偿；归责原则上是否适用过错责任归责原则。</w:t>
      </w:r>
    </w:p>
    <w:p>
      <w:pPr>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lang w:eastAsia="zh-CN"/>
        </w:rPr>
        <w:t>重庆市丰都县法院审理</w:t>
      </w:r>
      <w:r>
        <w:rPr>
          <w:rFonts w:hint="eastAsia" w:ascii="黑体" w:hAnsi="黑体" w:eastAsia="黑体" w:cs="黑体"/>
          <w:sz w:val="21"/>
          <w:szCs w:val="21"/>
        </w:rPr>
        <w:t>认为</w:t>
      </w:r>
      <w:r>
        <w:rPr>
          <w:rFonts w:hint="eastAsia" w:ascii="黑体" w:hAnsi="黑体" w:eastAsia="黑体" w:cs="黑体"/>
          <w:sz w:val="21"/>
          <w:szCs w:val="21"/>
          <w:lang w:eastAsia="zh-CN"/>
        </w:rPr>
        <w:t>双方争议的焦点是：</w:t>
      </w:r>
      <w:r>
        <w:rPr>
          <w:rFonts w:hint="eastAsia" w:ascii="黑体" w:hAnsi="黑体" w:eastAsia="黑体" w:cs="黑体"/>
          <w:sz w:val="21"/>
          <w:szCs w:val="21"/>
        </w:rPr>
        <w:t>（1）原告在取得工伤赔偿后能否再向被告主张侵权责任赔偿问题。</w:t>
      </w:r>
      <w:r>
        <w:rPr>
          <w:rFonts w:hint="eastAsia" w:ascii="黑体" w:hAnsi="黑体" w:eastAsia="黑体" w:cs="黑体"/>
          <w:sz w:val="21"/>
          <w:szCs w:val="21"/>
          <w:lang w:eastAsia="zh-CN"/>
        </w:rPr>
        <w:t>根据</w:t>
      </w:r>
      <w:r>
        <w:rPr>
          <w:rFonts w:hint="eastAsia" w:ascii="黑体" w:hAnsi="黑体" w:eastAsia="黑体" w:cs="黑体"/>
          <w:sz w:val="21"/>
          <w:szCs w:val="21"/>
        </w:rPr>
        <w:t>《中华人民共和国社会保险法》第四十二条规定</w:t>
      </w:r>
      <w:r>
        <w:rPr>
          <w:rFonts w:hint="eastAsia" w:ascii="黑体" w:hAnsi="黑体" w:eastAsia="黑体" w:cs="黑体"/>
          <w:sz w:val="21"/>
          <w:szCs w:val="21"/>
          <w:lang w:eastAsia="zh-CN"/>
        </w:rPr>
        <w:t>，</w:t>
      </w:r>
      <w:r>
        <w:rPr>
          <w:rFonts w:hint="eastAsia" w:ascii="黑体" w:hAnsi="黑体" w:eastAsia="黑体" w:cs="黑体"/>
          <w:sz w:val="21"/>
          <w:szCs w:val="21"/>
        </w:rPr>
        <w:t>仅将医疗费排除在可以兼得之外，除此之外可以兼得侵权损害赔偿和工伤保险待遇。为此原告主张的赔偿事项，符合法律规定。（2）归责原则和责任划分问题。《中华人民共和国侵权责任法》是有关侵权损害赔偿的普通法，其他侵权赔偿法律规定才属于特别法，特别法有规定的应当优先适用</w:t>
      </w:r>
      <w:r>
        <w:rPr>
          <w:rFonts w:hint="eastAsia" w:ascii="黑体" w:hAnsi="黑体" w:eastAsia="黑体" w:cs="黑体"/>
          <w:sz w:val="21"/>
          <w:szCs w:val="21"/>
          <w:lang w:eastAsia="zh-CN"/>
        </w:rPr>
        <w:t>。</w:t>
      </w:r>
      <w:r>
        <w:rPr>
          <w:rFonts w:hint="eastAsia" w:ascii="黑体" w:hAnsi="黑体" w:eastAsia="黑体" w:cs="黑体"/>
          <w:sz w:val="21"/>
          <w:szCs w:val="21"/>
        </w:rPr>
        <w:t>《中华人民共和国电力法》已经于2015年4月24日修改，属于后法，也应当优于2010年7月1日起施行的</w:t>
      </w:r>
      <w:r>
        <w:rPr>
          <w:rFonts w:hint="eastAsia" w:ascii="黑体" w:hAnsi="黑体" w:eastAsia="黑体" w:cs="黑体"/>
          <w:sz w:val="21"/>
          <w:szCs w:val="21"/>
          <w:lang w:eastAsia="zh-CN"/>
        </w:rPr>
        <w:t>侵权责任法</w:t>
      </w:r>
      <w:r>
        <w:rPr>
          <w:rFonts w:hint="eastAsia" w:ascii="黑体" w:hAnsi="黑体" w:eastAsia="黑体" w:cs="黑体"/>
          <w:sz w:val="21"/>
          <w:szCs w:val="21"/>
        </w:rPr>
        <w:t>适用。</w:t>
      </w:r>
      <w:r>
        <w:rPr>
          <w:rFonts w:hint="eastAsia" w:ascii="黑体" w:hAnsi="黑体" w:eastAsia="黑体" w:cs="黑体"/>
          <w:sz w:val="21"/>
          <w:szCs w:val="21"/>
          <w:lang w:eastAsia="zh-CN"/>
        </w:rPr>
        <w:t>由</w:t>
      </w:r>
      <w:r>
        <w:rPr>
          <w:rFonts w:hint="eastAsia" w:ascii="黑体" w:hAnsi="黑体" w:eastAsia="黑体" w:cs="黑体"/>
          <w:sz w:val="21"/>
          <w:szCs w:val="21"/>
        </w:rPr>
        <w:t>《中华人民共和国电力法》第六十条</w:t>
      </w:r>
      <w:r>
        <w:rPr>
          <w:rFonts w:hint="eastAsia" w:ascii="黑体" w:hAnsi="黑体" w:eastAsia="黑体" w:cs="黑体"/>
          <w:sz w:val="21"/>
          <w:szCs w:val="21"/>
          <w:lang w:eastAsia="zh-CN"/>
        </w:rPr>
        <w:t>规定</w:t>
      </w:r>
      <w:r>
        <w:rPr>
          <w:rFonts w:hint="eastAsia" w:ascii="黑体" w:hAnsi="黑体" w:eastAsia="黑体" w:cs="黑体"/>
          <w:sz w:val="21"/>
          <w:szCs w:val="21"/>
        </w:rPr>
        <w:t>可以得出适用的是过错责任归责原则，只是在认定过错时采用的是“过错推定”的方式。该法第五十二条第二款</w:t>
      </w:r>
      <w:r>
        <w:rPr>
          <w:rFonts w:hint="eastAsia" w:ascii="黑体" w:hAnsi="黑体" w:eastAsia="黑体" w:cs="黑体"/>
          <w:sz w:val="21"/>
          <w:szCs w:val="21"/>
          <w:lang w:eastAsia="zh-CN"/>
        </w:rPr>
        <w:t>、</w:t>
      </w:r>
      <w:r>
        <w:rPr>
          <w:rFonts w:hint="eastAsia" w:ascii="黑体" w:hAnsi="黑体" w:eastAsia="黑体" w:cs="黑体"/>
          <w:sz w:val="21"/>
          <w:szCs w:val="21"/>
        </w:rPr>
        <w:t>第五十三条</w:t>
      </w:r>
      <w:r>
        <w:rPr>
          <w:rFonts w:hint="eastAsia" w:ascii="黑体" w:hAnsi="黑体" w:eastAsia="黑体" w:cs="黑体"/>
          <w:sz w:val="21"/>
          <w:szCs w:val="21"/>
          <w:lang w:eastAsia="zh-CN"/>
        </w:rPr>
        <w:t>规定，</w:t>
      </w:r>
      <w:r>
        <w:rPr>
          <w:rFonts w:hint="eastAsia" w:ascii="黑体" w:hAnsi="黑体" w:eastAsia="黑体" w:cs="黑体"/>
          <w:sz w:val="21"/>
          <w:szCs w:val="21"/>
        </w:rPr>
        <w:t>在电力设施周围施工作业可能危及设施安全的应当报告电力企业，是行为人的法律义务，在电力设施保护区设立标志是电力管理企业的法律义务。从本案事实上</w:t>
      </w:r>
      <w:r>
        <w:rPr>
          <w:rFonts w:hint="eastAsia" w:ascii="黑体" w:hAnsi="黑体" w:eastAsia="黑体" w:cs="黑体"/>
          <w:sz w:val="21"/>
          <w:szCs w:val="21"/>
          <w:lang w:eastAsia="zh-CN"/>
        </w:rPr>
        <w:t>看</w:t>
      </w:r>
      <w:r>
        <w:rPr>
          <w:rFonts w:hint="eastAsia" w:ascii="黑体" w:hAnsi="黑体" w:eastAsia="黑体" w:cs="黑体"/>
          <w:sz w:val="21"/>
          <w:szCs w:val="21"/>
        </w:rPr>
        <w:t>，造成原告损害的原因有两个，一是原告在电力保护设施附近危险作业，没有向电力管理企业报告，以至于没能断电就对通信线缆折换施工，危险性增加，事故发生的可能性概率增加；二是作为电力管理义务人的被告没有在通电的高压变电器设施周围设置警示标志和采取防护措施，导致原告作业时注意力减弱和保护措施乏力。这两种原因结合导致原告触电受到损害。从原因力上看，基本相当。为此被告应承担原告50%的经济损失赔偿责任，其余由原告自己负担。（3）赔偿的金额问题。残疾赔偿金总额计算为：27239元/年×20年×(50%＋2%)=283285.6元；对精神损害抚慰金确定为15000元。按照责任划分比例，被告国网重庆市电力公司丰都县供电分公司应当赔偿149142.8元。</w:t>
      </w:r>
    </w:p>
    <w:p>
      <w:pPr>
        <w:spacing w:line="540" w:lineRule="exact"/>
        <w:ind w:firstLine="420" w:firstLineChars="200"/>
        <w:rPr>
          <w:rFonts w:hint="eastAsia" w:ascii="黑体" w:hAnsi="黑体" w:eastAsia="黑体" w:cs="黑体"/>
          <w:sz w:val="21"/>
          <w:szCs w:val="21"/>
          <w:lang w:eastAsia="zh-CN"/>
        </w:rPr>
      </w:pPr>
      <w:r>
        <w:rPr>
          <w:rFonts w:hint="eastAsia" w:ascii="黑体" w:hAnsi="黑体" w:eastAsia="黑体" w:cs="黑体"/>
          <w:sz w:val="21"/>
          <w:szCs w:val="21"/>
          <w:lang w:eastAsia="zh-CN"/>
        </w:rPr>
        <w:t>重庆市丰都县人民法院</w:t>
      </w:r>
      <w:r>
        <w:rPr>
          <w:rFonts w:hint="eastAsia" w:ascii="黑体" w:hAnsi="黑体" w:eastAsia="黑体" w:cs="黑体"/>
          <w:sz w:val="21"/>
          <w:szCs w:val="21"/>
        </w:rPr>
        <w:t>依照《中华人民共和国社会保险法》第四十二条、《中华人民共和国侵权责任法》第五条、《中华人民共和国电力法》第五十二条第二款、第五十三条、第六十第一款及第二款、《最高人民法院关于确定民事侵权精神损害赔偿责任若干问题的解释》第十条、第十一条、《最高人民法院关于审理人身损害赔偿案件适用法律若干问题的解释》第二十五条第一款之规定，判决</w:t>
      </w:r>
      <w:r>
        <w:rPr>
          <w:rFonts w:hint="eastAsia" w:ascii="黑体" w:hAnsi="黑体" w:eastAsia="黑体" w:cs="黑体"/>
          <w:sz w:val="21"/>
          <w:szCs w:val="21"/>
          <w:lang w:eastAsia="zh-CN"/>
        </w:rPr>
        <w:t>：</w:t>
      </w:r>
    </w:p>
    <w:p>
      <w:pPr>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（1）、被告国网重庆市电力公司丰都县供电分公司在本判决发生法律效力后十日内支付原告</w:t>
      </w:r>
      <w:r>
        <w:rPr>
          <w:rFonts w:hint="eastAsia" w:ascii="黑体" w:hAnsi="黑体" w:eastAsia="黑体" w:cs="黑体"/>
          <w:sz w:val="21"/>
          <w:szCs w:val="21"/>
          <w:lang w:eastAsia="zh-CN"/>
        </w:rPr>
        <w:t>彭某华</w:t>
      </w:r>
      <w:r>
        <w:rPr>
          <w:rFonts w:hint="eastAsia" w:ascii="黑体" w:hAnsi="黑体" w:eastAsia="黑体" w:cs="黑体"/>
          <w:sz w:val="21"/>
          <w:szCs w:val="21"/>
        </w:rPr>
        <w:t>残疾赔偿金及精神损害抚慰金共计人民币149142.8元。</w:t>
      </w:r>
    </w:p>
    <w:p>
      <w:pPr>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（2）、驳回原告</w:t>
      </w:r>
      <w:r>
        <w:rPr>
          <w:rFonts w:hint="eastAsia" w:ascii="黑体" w:hAnsi="黑体" w:eastAsia="黑体" w:cs="黑体"/>
          <w:sz w:val="21"/>
          <w:szCs w:val="21"/>
          <w:lang w:eastAsia="zh-CN"/>
        </w:rPr>
        <w:t>彭某华</w:t>
      </w:r>
      <w:r>
        <w:rPr>
          <w:rFonts w:hint="eastAsia" w:ascii="黑体" w:hAnsi="黑体" w:eastAsia="黑体" w:cs="黑体"/>
          <w:sz w:val="21"/>
          <w:szCs w:val="21"/>
        </w:rPr>
        <w:t>的其余诉讼请求。</w:t>
      </w:r>
    </w:p>
    <w:p>
      <w:pPr>
        <w:spacing w:line="540" w:lineRule="exact"/>
        <w:ind w:firstLine="411" w:firstLineChars="196"/>
        <w:rPr>
          <w:rFonts w:hint="eastAsia" w:ascii="黑体" w:hAnsi="黑体" w:eastAsia="黑体" w:cs="黑体"/>
          <w:color w:val="000000"/>
          <w:sz w:val="21"/>
          <w:szCs w:val="21"/>
        </w:rPr>
      </w:pPr>
      <w:r>
        <w:rPr>
          <w:rFonts w:hint="eastAsia" w:ascii="黑体" w:hAnsi="黑体" w:eastAsia="黑体" w:cs="黑体"/>
          <w:sz w:val="21"/>
          <w:szCs w:val="21"/>
          <w:lang w:eastAsia="zh-CN"/>
        </w:rPr>
        <w:t>彭某华及</w:t>
      </w:r>
      <w:r>
        <w:rPr>
          <w:rFonts w:hint="eastAsia" w:ascii="黑体" w:hAnsi="黑体" w:eastAsia="黑体" w:cs="黑体"/>
          <w:sz w:val="21"/>
          <w:szCs w:val="21"/>
        </w:rPr>
        <w:t>国网重庆市电力公司丰都县供电分公司</w:t>
      </w:r>
      <w:r>
        <w:rPr>
          <w:rFonts w:hint="eastAsia" w:ascii="黑体" w:hAnsi="黑体" w:eastAsia="黑体" w:cs="黑体"/>
          <w:sz w:val="21"/>
          <w:szCs w:val="21"/>
          <w:lang w:eastAsia="zh-CN"/>
        </w:rPr>
        <w:t>不服一审判决，提出上诉。</w:t>
      </w:r>
      <w:r>
        <w:rPr>
          <w:rFonts w:hint="eastAsia" w:ascii="黑体" w:hAnsi="黑体" w:eastAsia="黑体" w:cs="黑体"/>
          <w:color w:val="000000"/>
          <w:sz w:val="21"/>
          <w:szCs w:val="21"/>
          <w:lang w:eastAsia="zh-CN"/>
        </w:rPr>
        <w:t>重庆市第三中级人民</w:t>
      </w:r>
      <w:r>
        <w:rPr>
          <w:rFonts w:hint="eastAsia" w:ascii="黑体" w:hAnsi="黑体" w:eastAsia="黑体" w:cs="黑体"/>
          <w:color w:val="000000"/>
          <w:sz w:val="21"/>
          <w:szCs w:val="21"/>
        </w:rPr>
        <w:t>法院</w:t>
      </w:r>
      <w:r>
        <w:rPr>
          <w:rFonts w:hint="eastAsia" w:ascii="黑体" w:hAnsi="黑体" w:eastAsia="黑体" w:cs="黑体"/>
          <w:color w:val="000000"/>
          <w:sz w:val="21"/>
          <w:szCs w:val="21"/>
          <w:lang w:eastAsia="zh-CN"/>
        </w:rPr>
        <w:t>审理</w:t>
      </w:r>
      <w:r>
        <w:rPr>
          <w:rFonts w:hint="eastAsia" w:ascii="黑体" w:hAnsi="黑体" w:eastAsia="黑体" w:cs="黑体"/>
          <w:color w:val="000000"/>
          <w:sz w:val="21"/>
          <w:szCs w:val="21"/>
        </w:rPr>
        <w:t>认为，一审判决</w:t>
      </w:r>
      <w:r>
        <w:rPr>
          <w:rFonts w:hint="eastAsia" w:ascii="黑体" w:hAnsi="黑体" w:eastAsia="黑体" w:cs="黑体"/>
          <w:color w:val="000000"/>
          <w:sz w:val="21"/>
          <w:szCs w:val="21"/>
          <w:lang w:eastAsia="zh-CN"/>
        </w:rPr>
        <w:t>彭某华</w:t>
      </w:r>
      <w:r>
        <w:rPr>
          <w:rFonts w:hint="eastAsia" w:ascii="黑体" w:hAnsi="黑体" w:eastAsia="黑体" w:cs="黑体"/>
          <w:color w:val="000000"/>
          <w:sz w:val="21"/>
          <w:szCs w:val="21"/>
        </w:rPr>
        <w:t>与丰都供电分公司各自承担50%的赔偿责任，符合法律规定。重庆旭鸣信息工程有限公司在本次事故中已经承担了工伤赔偿责任，不应再承担民事赔偿责任，可以不列为本案当事人。</w:t>
      </w:r>
    </w:p>
    <w:p>
      <w:pPr>
        <w:spacing w:line="360" w:lineRule="auto"/>
        <w:ind w:firstLine="420" w:firstLineChars="200"/>
        <w:rPr>
          <w:rFonts w:hint="eastAsia" w:ascii="黑体" w:hAnsi="黑体" w:eastAsia="黑体" w:cs="黑体"/>
          <w:color w:val="000000"/>
          <w:sz w:val="21"/>
          <w:szCs w:val="21"/>
        </w:rPr>
      </w:pPr>
      <w:r>
        <w:rPr>
          <w:rFonts w:hint="eastAsia" w:ascii="黑体" w:hAnsi="黑体" w:eastAsia="黑体" w:cs="黑体"/>
          <w:color w:val="000000"/>
          <w:sz w:val="21"/>
          <w:szCs w:val="21"/>
          <w:lang w:eastAsia="zh-CN"/>
        </w:rPr>
        <w:t>重庆市第三中级人民法院</w:t>
      </w:r>
      <w:r>
        <w:rPr>
          <w:rFonts w:hint="eastAsia" w:ascii="黑体" w:hAnsi="黑体" w:eastAsia="黑体" w:cs="黑体"/>
          <w:color w:val="000000"/>
          <w:sz w:val="21"/>
          <w:szCs w:val="21"/>
        </w:rPr>
        <w:t>依照《中华人民共和国民事诉讼法》第一百七十条第一款第一项之规定，判决</w:t>
      </w:r>
      <w:r>
        <w:rPr>
          <w:rFonts w:hint="eastAsia" w:ascii="黑体" w:hAnsi="黑体" w:eastAsia="黑体" w:cs="黑体"/>
          <w:color w:val="000000"/>
          <w:sz w:val="21"/>
          <w:szCs w:val="21"/>
          <w:lang w:eastAsia="zh-CN"/>
        </w:rPr>
        <w:t>：</w:t>
      </w:r>
      <w:r>
        <w:rPr>
          <w:rFonts w:hint="eastAsia" w:ascii="黑体" w:hAnsi="黑体" w:eastAsia="黑体" w:cs="黑体"/>
          <w:color w:val="000000"/>
          <w:sz w:val="21"/>
          <w:szCs w:val="21"/>
        </w:rPr>
        <w:t>驳回上诉，维持原判。</w:t>
      </w:r>
    </w:p>
    <w:p>
      <w:pPr>
        <w:spacing w:line="360" w:lineRule="auto"/>
        <w:ind w:firstLine="420" w:firstLineChars="200"/>
        <w:rPr>
          <w:rFonts w:hint="eastAsia" w:ascii="黑体" w:hAnsi="黑体" w:eastAsia="黑体" w:cs="黑体"/>
          <w:color w:val="000000"/>
          <w:sz w:val="21"/>
          <w:szCs w:val="21"/>
        </w:rPr>
      </w:pPr>
      <w:r>
        <w:rPr>
          <w:rFonts w:hint="default" w:ascii="Times New Roman" w:hAnsi="Times New Roman" w:eastAsia="黑体" w:cs="Times New Roman"/>
          <w:color w:val="000000"/>
          <w:sz w:val="21"/>
          <w:szCs w:val="21"/>
        </w:rPr>
        <w:t>[</w:t>
      </w:r>
      <w:r>
        <w:rPr>
          <w:rFonts w:hint="eastAsia" w:ascii="Times New Roman" w:hAnsi="Times New Roman" w:eastAsia="黑体" w:cs="Times New Roman"/>
          <w:color w:val="000000"/>
          <w:sz w:val="21"/>
          <w:szCs w:val="21"/>
          <w:lang w:eastAsia="zh-CN"/>
        </w:rPr>
        <w:t>法官后语</w:t>
      </w:r>
      <w:r>
        <w:rPr>
          <w:rFonts w:hint="default" w:ascii="Times New Roman" w:hAnsi="Times New Roman" w:eastAsia="黑体" w:cs="Times New Roman"/>
          <w:color w:val="000000"/>
          <w:sz w:val="21"/>
          <w:szCs w:val="21"/>
        </w:rPr>
        <w:t>]</w:t>
      </w:r>
    </w:p>
    <w:p>
      <w:pPr>
        <w:spacing w:line="360" w:lineRule="auto"/>
        <w:ind w:firstLine="420" w:firstLineChars="200"/>
        <w:rPr>
          <w:rFonts w:hint="eastAsia" w:ascii="黑体" w:hAnsi="黑体" w:eastAsia="黑体" w:cs="黑体"/>
          <w:color w:val="000000"/>
          <w:sz w:val="21"/>
          <w:szCs w:val="21"/>
        </w:rPr>
      </w:pPr>
      <w:r>
        <w:rPr>
          <w:rFonts w:hint="eastAsia" w:ascii="黑体" w:hAnsi="黑体" w:eastAsia="黑体" w:cs="黑体"/>
          <w:color w:val="000000"/>
          <w:sz w:val="21"/>
          <w:szCs w:val="21"/>
          <w:lang w:eastAsia="zh-CN"/>
        </w:rPr>
        <w:t>一、</w:t>
      </w:r>
      <w:r>
        <w:rPr>
          <w:rFonts w:hint="eastAsia" w:ascii="黑体" w:hAnsi="黑体" w:eastAsia="黑体" w:cs="黑体"/>
          <w:color w:val="000000"/>
          <w:sz w:val="21"/>
          <w:szCs w:val="21"/>
        </w:rPr>
        <w:t>本案的责任属于不真正连带责任。杨立新教授在《侵权</w:t>
      </w:r>
      <w:r>
        <w:rPr>
          <w:rFonts w:hint="eastAsia" w:ascii="黑体" w:hAnsi="黑体" w:eastAsia="黑体" w:cs="黑体"/>
          <w:color w:val="000000"/>
          <w:sz w:val="21"/>
          <w:szCs w:val="21"/>
          <w:lang w:eastAsia="zh-CN"/>
        </w:rPr>
        <w:t>责任</w:t>
      </w:r>
      <w:r>
        <w:rPr>
          <w:rFonts w:hint="eastAsia" w:ascii="黑体" w:hAnsi="黑体" w:eastAsia="黑体" w:cs="黑体"/>
          <w:color w:val="000000"/>
          <w:sz w:val="21"/>
          <w:szCs w:val="21"/>
        </w:rPr>
        <w:t>法》中的定义是，“不真正连带责任是指多数行为人违反法定义务，对一个受害人施加害行为，或者不同的行为人基于不同的行为致使受害人的权利受到损害，各个行为人产生的同一内容的侵权责任，各负全部赔偿责任，并因行为人之一的履行而使全体责任人的责任归于消灭</w:t>
      </w:r>
      <w:r>
        <w:rPr>
          <w:rFonts w:hint="eastAsia" w:ascii="黑体" w:hAnsi="黑体" w:eastAsia="黑体" w:cs="黑体"/>
          <w:color w:val="000000"/>
          <w:sz w:val="21"/>
          <w:szCs w:val="21"/>
          <w:lang w:eastAsia="zh-CN"/>
        </w:rPr>
        <w:t>或者依照特别规定多少责任人均应当承担部分或者全部</w:t>
      </w:r>
      <w:r>
        <w:rPr>
          <w:rFonts w:hint="eastAsia" w:ascii="黑体" w:hAnsi="黑体" w:eastAsia="黑体" w:cs="黑体"/>
          <w:color w:val="000000"/>
          <w:sz w:val="21"/>
          <w:szCs w:val="21"/>
        </w:rPr>
        <w:t>的侵权责任形态。”</w:t>
      </w:r>
      <w:r>
        <w:rPr>
          <w:rStyle w:val="6"/>
          <w:rFonts w:hint="eastAsia" w:ascii="黑体" w:hAnsi="黑体" w:eastAsia="黑体" w:cs="黑体"/>
          <w:color w:val="000000"/>
          <w:sz w:val="21"/>
          <w:szCs w:val="21"/>
        </w:rPr>
        <w:footnoteReference w:id="0"/>
      </w:r>
      <w:r>
        <w:rPr>
          <w:rFonts w:hint="eastAsia" w:ascii="黑体" w:hAnsi="黑体" w:eastAsia="黑体" w:cs="黑体"/>
          <w:color w:val="000000"/>
          <w:sz w:val="21"/>
          <w:szCs w:val="21"/>
        </w:rPr>
        <w:t>。不真正连带责任是基于不同法律关系下产生的赔偿责任，对于受害人而言，可选择不同法律规定下的不同责任赔偿形式而获得赔偿，被受害人首选的赔偿义务主体，一般情形下，可向终局的赔偿义务主体追偿。赔偿的义务主体之间不存在连带责任关系。就受害人而言，每一个赔偿义务主体的赔偿，均可达到圆满的程度。典型的类型案件有用人单位与雇员之间，雇员在工作过程中因第三人的侵权行为，导致的雇员受害。雇员可按照工伤保险的相关法律规定获得工伤赔偿，也可直接选择《侵权责任法》相关规定，以生命健康权等受害为由，向第三人索赔。由于，每一个法律关系下的赔偿程序法和实体法规定不同，其举证责任、程序要求是不一致的，当事人如何选择由当事人根据自己情况决定。每一个法律关系下的赔偿主体之间，不属于共同诉讼，不是同案适格主体，其理由是每一个法律关系下的侵权行为属于一个行为，每一个行为之间是竟合关系，不是聚合关系，这</w:t>
      </w:r>
      <w:r>
        <w:rPr>
          <w:rFonts w:hint="eastAsia" w:ascii="黑体" w:hAnsi="黑体" w:eastAsia="黑体" w:cs="黑体"/>
          <w:color w:val="000000"/>
          <w:sz w:val="21"/>
          <w:szCs w:val="21"/>
          <w:lang w:eastAsia="zh-CN"/>
        </w:rPr>
        <w:t>里的</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是指</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概念上可界定为，两个民事主体作为侵权人，有的实施直接侵权行为，与损害结果有直接因果关系，有的实施间接侵权行为，与损害结果的发生有间接因果关系，行为人承担不真正连带责任的侵权行为形态。</w:t>
      </w:r>
      <w:r>
        <w:rPr>
          <w:rStyle w:val="6"/>
          <w:rFonts w:hint="eastAsia" w:ascii="黑体" w:hAnsi="黑体" w:eastAsia="黑体" w:cs="黑体"/>
          <w:color w:val="000000"/>
          <w:sz w:val="21"/>
          <w:szCs w:val="21"/>
          <w:lang w:eastAsia="zh-CN"/>
        </w:rPr>
        <w:footnoteReference w:id="1"/>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侵权行为分为：提供条件的</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侵权行为；提供条件加政策的</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侵权行为；提供机会的</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侵权行为；提供平台的</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侵权行为四种，第一种指两个行为中的从行为与主行为竞合方式，从行为为主行为提供了必要的条件，没有从行为的实施，主行为不能造成损害后果的</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侵权行为；第二种是指符合第一种的要求，但是基于政策考量，规定间接侵权人先承担中间责任，之后向直接直接侵权人追偿以实现最终责任的</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第三种是指两个竞合行为，从行为为主行为的实施提供了机会，使主行为的实施能够顺利完成的竞合侵权行为；第四种是指从行为为主行为提供了一个服务平台，使主行为的实施能够顺利进行的竞合侵权行为，《消费者权益保护法》第</w:t>
      </w:r>
      <w:r>
        <w:rPr>
          <w:rFonts w:hint="eastAsia" w:ascii="黑体" w:hAnsi="黑体" w:eastAsia="黑体" w:cs="黑体"/>
          <w:color w:val="000000"/>
          <w:sz w:val="21"/>
          <w:szCs w:val="21"/>
          <w:lang w:val="en-US" w:eastAsia="zh-CN"/>
        </w:rPr>
        <w:t>43条及第44条规定的侵权行为就是典型的</w:t>
      </w:r>
      <w:r>
        <w:rPr>
          <w:rFonts w:hint="eastAsia" w:ascii="黑体" w:hAnsi="黑体" w:eastAsia="黑体" w:cs="黑体"/>
          <w:color w:val="000000"/>
          <w:sz w:val="21"/>
          <w:szCs w:val="21"/>
          <w:lang w:eastAsia="zh-CN"/>
        </w:rPr>
        <w:t>提供条件的</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侵权行为，按照以上</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侵权行为类型，结合案件事实，本案的侵权行为属于提供条件的</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w:t>
      </w:r>
      <w:r>
        <w:rPr>
          <w:rFonts w:hint="eastAsia" w:ascii="黑体" w:hAnsi="黑体" w:eastAsia="黑体" w:cs="黑体"/>
          <w:color w:val="000000"/>
          <w:sz w:val="21"/>
          <w:szCs w:val="21"/>
        </w:rPr>
        <w:t>竟合</w:t>
      </w:r>
      <w:r>
        <w:rPr>
          <w:rFonts w:hint="eastAsia" w:ascii="黑体" w:hAnsi="黑体" w:eastAsia="黑体" w:cs="黑体"/>
          <w:color w:val="000000"/>
          <w:sz w:val="21"/>
          <w:szCs w:val="21"/>
          <w:lang w:eastAsia="zh-CN"/>
        </w:rPr>
        <w:t>侵权行为</w:t>
      </w:r>
      <w:r>
        <w:rPr>
          <w:rFonts w:hint="eastAsia" w:ascii="黑体" w:hAnsi="黑体" w:eastAsia="黑体" w:cs="黑体"/>
          <w:color w:val="000000"/>
          <w:sz w:val="21"/>
          <w:szCs w:val="21"/>
        </w:rPr>
        <w:t>与共同侵权</w:t>
      </w:r>
      <w:r>
        <w:rPr>
          <w:rFonts w:hint="eastAsia" w:ascii="黑体" w:hAnsi="黑体" w:eastAsia="黑体" w:cs="黑体"/>
          <w:color w:val="000000"/>
          <w:sz w:val="21"/>
          <w:szCs w:val="21"/>
          <w:lang w:eastAsia="zh-CN"/>
        </w:rPr>
        <w:t>行为</w:t>
      </w:r>
      <w:r>
        <w:rPr>
          <w:rFonts w:hint="eastAsia" w:ascii="黑体" w:hAnsi="黑体" w:eastAsia="黑体" w:cs="黑体"/>
          <w:color w:val="000000"/>
          <w:sz w:val="21"/>
          <w:szCs w:val="21"/>
        </w:rPr>
        <w:t>不同，共同侵权行为是多个侵权人的侵权行为作为部分聚合成为一个侵权行为，并且共同侵权行为也是一个侵权行为，并非多个侵权行为，因此不能将不同责任关系下的行为人列为共同被告，即使案件因事实需要，也只能以证人地位下的第三人出现，是否列为第三人由法院决定。结合本案，一二审均未将重庆旭鸣信息工程有限公司列为被告或者第三人，符合法律规定。</w:t>
      </w:r>
    </w:p>
    <w:p>
      <w:pPr>
        <w:spacing w:line="360" w:lineRule="auto"/>
        <w:ind w:firstLine="420" w:firstLineChars="200"/>
        <w:rPr>
          <w:rFonts w:hint="eastAsia" w:ascii="黑体" w:hAnsi="黑体" w:eastAsia="黑体" w:cs="黑体"/>
          <w:color w:val="000000"/>
          <w:sz w:val="21"/>
          <w:szCs w:val="21"/>
        </w:rPr>
      </w:pPr>
      <w:r>
        <w:rPr>
          <w:rFonts w:hint="eastAsia" w:ascii="黑体" w:hAnsi="黑体" w:eastAsia="黑体" w:cs="黑体"/>
          <w:color w:val="000000"/>
          <w:sz w:val="21"/>
          <w:szCs w:val="21"/>
          <w:lang w:eastAsia="zh-CN"/>
        </w:rPr>
        <w:t>二、</w:t>
      </w:r>
      <w:r>
        <w:rPr>
          <w:rFonts w:hint="eastAsia" w:ascii="黑体" w:hAnsi="黑体" w:eastAsia="黑体" w:cs="黑体"/>
          <w:color w:val="000000"/>
          <w:sz w:val="21"/>
          <w:szCs w:val="21"/>
        </w:rPr>
        <w:t>工伤保险赔偿具有特殊性。依不真正连带责任的法理，受害人是不能选择了一个法律关系的责任赔偿后，又基于另一个法律关系请求另外的责任主体进行赔偿的，因为赔偿是基于损失的填补，填补后，就不再存在损失的问题，事实上我国的赔偿制度，因为计算方法的不同，民事赔偿、行政赔偿、工伤赔偿从一定意义上说是限额赔偿，因此一种赔偿项下的赔偿，不能达到圆满的程度，因此我国法律也进行了区别对待，工伤赔偿就是一种特殊的赔偿。依照</w:t>
      </w:r>
      <w:r>
        <w:rPr>
          <w:rFonts w:hint="eastAsia" w:ascii="黑体" w:hAnsi="黑体" w:eastAsia="黑体" w:cs="黑体"/>
          <w:sz w:val="21"/>
          <w:szCs w:val="21"/>
        </w:rPr>
        <w:t>《中华人民共和国社会保险法》第四十二条规定：“由于第三人的原因造成工伤</w:t>
      </w:r>
      <w:r>
        <w:rPr>
          <w:rFonts w:hint="eastAsia" w:ascii="黑体" w:hAnsi="黑体" w:eastAsia="黑体" w:cs="黑体"/>
          <w:sz w:val="21"/>
          <w:szCs w:val="21"/>
          <w:lang w:eastAsia="zh-CN"/>
        </w:rPr>
        <w:t>，第三人不支付工伤医疗费用或者无法确定第三人的，由工伤保险基金先行支付。工伤保险先行支付后，有权向第三人追偿</w:t>
      </w:r>
      <w:r>
        <w:rPr>
          <w:rFonts w:hint="eastAsia" w:ascii="黑体" w:hAnsi="黑体" w:eastAsia="黑体" w:cs="黑体"/>
          <w:sz w:val="21"/>
          <w:szCs w:val="21"/>
        </w:rPr>
        <w:t>”</w:t>
      </w:r>
      <w:r>
        <w:rPr>
          <w:rFonts w:hint="eastAsia" w:ascii="黑体" w:hAnsi="黑体" w:eastAsia="黑体" w:cs="黑体"/>
          <w:sz w:val="21"/>
          <w:szCs w:val="21"/>
          <w:lang w:eastAsia="zh-CN"/>
        </w:rPr>
        <w:t>，该规定</w:t>
      </w:r>
      <w:r>
        <w:rPr>
          <w:rFonts w:hint="eastAsia" w:ascii="黑体" w:hAnsi="黑体" w:eastAsia="黑体" w:cs="黑体"/>
          <w:sz w:val="21"/>
          <w:szCs w:val="21"/>
        </w:rPr>
        <w:t>仅将医疗费排除在可以兼得之外，因此除此之外可以兼得侵权损害赔偿和工伤保险待遇。这个问题虽然在司法实务界和学术界存在争议，但是</w:t>
      </w:r>
      <w:r>
        <w:rPr>
          <w:rFonts w:hint="eastAsia" w:ascii="黑体" w:hAnsi="黑体" w:eastAsia="黑体" w:cs="黑体"/>
          <w:sz w:val="21"/>
          <w:szCs w:val="21"/>
          <w:lang w:eastAsia="zh-CN"/>
        </w:rPr>
        <w:t>最高人民法院于</w:t>
      </w:r>
      <w:r>
        <w:rPr>
          <w:rFonts w:hint="eastAsia" w:ascii="黑体" w:hAnsi="黑体" w:eastAsia="黑体" w:cs="黑体"/>
          <w:sz w:val="21"/>
          <w:szCs w:val="21"/>
          <w:lang w:val="en-US" w:eastAsia="zh-CN"/>
        </w:rPr>
        <w:t>2006年12月28日就该问题有明确的答复意见，[2006]行他字第12号答复“新疆维吾尔自治区高级人民法院生产建设兵团分院：你院&lt;关于因第三人造成工伤死亡的亲属在获得高于工伤保险待遇的民事赔偿后是否可以获得工伤保险补偿问题的请示报告&gt;收悉，经研究，答复如下，原则同意你院审判委员会的倾向性意见，即根据&lt;安全生产法&gt;第48条以及最高人民法院&lt;人身损害赔偿解释&gt;第12条的规定，可以在按照&lt;工伤保险条例&gt;第37条的规定，向工伤保险机构申请工伤保险待遇补偿。”</w:t>
      </w:r>
      <w:r>
        <w:rPr>
          <w:rStyle w:val="6"/>
          <w:rFonts w:hint="eastAsia" w:ascii="黑体" w:hAnsi="黑体" w:eastAsia="黑体" w:cs="黑体"/>
          <w:sz w:val="21"/>
          <w:szCs w:val="21"/>
          <w:lang w:val="en-US" w:eastAsia="zh-CN"/>
        </w:rPr>
        <w:footnoteReference w:id="2"/>
      </w:r>
      <w:r>
        <w:rPr>
          <w:rFonts w:hint="eastAsia" w:ascii="黑体" w:hAnsi="黑体" w:eastAsia="黑体" w:cs="黑体"/>
          <w:sz w:val="21"/>
          <w:szCs w:val="21"/>
          <w:lang w:val="en-US" w:eastAsia="zh-CN"/>
        </w:rPr>
        <w:t>，该司法解释虽然是对“死亡补偿金”与“死亡赔偿金”是否可以重复获得进行的肯定答复，没有对残疾补偿金与残疾赔偿金是否可以兼得作解释答复，其原因是基于一案一复，请示报告中没有涉及该问题，但死亡赔偿金或死亡补偿金与残疾赔偿金或残疾补偿金都兼有对受害人或者近亲属的精神抚慰和物质补偿性，且属于限额赔偿，因此具有参照的司法适用价值，可以类推适用。这里之所以称限额赔偿和补偿，是因为现有的《侵权责任法》与《工伤保险条例》对死亡赔偿与死亡补偿推定的是工资或收入的20年或20倍，假如一个在受害时20岁的人，未来收入仅20年吗？即使60岁退休，退休前也应当是40年，且退休后仍然有退休工资，显然这样的赔偿或补偿属于有限的。残疾赔偿与补偿存在同样的问题，如现有《工伤保险条例》第三十五条规定，一级</w:t>
      </w:r>
      <w:r>
        <w:rPr>
          <w:rFonts w:hint="eastAsia" w:ascii="黑体" w:hAnsi="黑体" w:eastAsia="黑体" w:cs="黑体"/>
          <w:sz w:val="21"/>
          <w:szCs w:val="21"/>
          <w:lang w:val="en-US" w:eastAsia="zh-CN"/>
        </w:rPr>
        <w:fldChar w:fldCharType="begin"/>
      </w:r>
      <w:r>
        <w:rPr>
          <w:rFonts w:hint="eastAsia" w:ascii="黑体" w:hAnsi="黑体" w:eastAsia="黑体" w:cs="黑体"/>
          <w:sz w:val="21"/>
          <w:szCs w:val="21"/>
          <w:lang w:val="en-US" w:eastAsia="zh-CN"/>
        </w:rPr>
        <w:instrText xml:space="preserve"> HYPERLINK "http://www.64365.com/baike/sc/" \o "伤残" \t "http://www.64365.com/zs/_blank" </w:instrText>
      </w:r>
      <w:r>
        <w:rPr>
          <w:rFonts w:hint="eastAsia" w:ascii="黑体" w:hAnsi="黑体" w:eastAsia="黑体" w:cs="黑体"/>
          <w:sz w:val="21"/>
          <w:szCs w:val="21"/>
          <w:lang w:val="en-US" w:eastAsia="zh-CN"/>
        </w:rPr>
        <w:fldChar w:fldCharType="separate"/>
      </w:r>
      <w:r>
        <w:rPr>
          <w:rFonts w:hint="eastAsia" w:ascii="黑体" w:hAnsi="黑体" w:eastAsia="黑体" w:cs="黑体"/>
          <w:sz w:val="21"/>
          <w:szCs w:val="21"/>
          <w:lang w:val="en-US" w:eastAsia="zh-CN"/>
        </w:rPr>
        <w:t>伤残</w:t>
      </w:r>
      <w:r>
        <w:rPr>
          <w:rFonts w:hint="eastAsia" w:ascii="黑体" w:hAnsi="黑体" w:eastAsia="黑体" w:cs="黑体"/>
          <w:sz w:val="21"/>
          <w:szCs w:val="21"/>
          <w:lang w:val="en-US" w:eastAsia="zh-CN"/>
        </w:rPr>
        <w:fldChar w:fldCharType="end"/>
      </w:r>
      <w:r>
        <w:rPr>
          <w:rFonts w:hint="eastAsia" w:ascii="黑体" w:hAnsi="黑体" w:eastAsia="黑体" w:cs="黑体"/>
          <w:sz w:val="21"/>
          <w:szCs w:val="21"/>
          <w:lang w:val="en-US" w:eastAsia="zh-CN"/>
        </w:rPr>
        <w:t>为27个月的本人工资，二级伤残为25个月的本人工资，三级伤残为23个月的本人工资，四级伤残为21个月的本人工资，《侵权责任法》是按规定的年限与伤残等级确定的百分比及责任比例的积计算的，以上两种计算可以看出明显是限额赔偿，不属于完全赔偿。正是由于《侵权责任法》与《工伤保险条例》中规定的赔偿属于限额赔偿，</w:t>
      </w:r>
      <w:r>
        <w:rPr>
          <w:rFonts w:hint="eastAsia" w:ascii="黑体" w:hAnsi="黑体" w:eastAsia="黑体" w:cs="黑体"/>
          <w:sz w:val="21"/>
          <w:szCs w:val="21"/>
        </w:rPr>
        <w:t>《中华人民共和国社会保险法》第四十二条</w:t>
      </w:r>
      <w:r>
        <w:rPr>
          <w:rFonts w:hint="eastAsia" w:ascii="黑体" w:hAnsi="黑体" w:eastAsia="黑体" w:cs="黑体"/>
          <w:sz w:val="21"/>
          <w:szCs w:val="21"/>
          <w:lang w:eastAsia="zh-CN"/>
        </w:rPr>
        <w:t>才没有将侵权责任产生的死亡伤残赔偿金与工伤保险的死亡伤残补偿金额兼得问题排除开来，这无疑彰显了法律的正义价值，立法者对未来的预见。重庆市高级人民法院基于司法正义的考量，</w:t>
      </w:r>
      <w:r>
        <w:rPr>
          <w:rFonts w:hint="eastAsia" w:ascii="黑体" w:hAnsi="黑体" w:eastAsia="黑体" w:cs="黑体"/>
          <w:sz w:val="21"/>
          <w:szCs w:val="21"/>
        </w:rPr>
        <w:t>在重庆辖区进行了司法规范，通过渝高法〔2013〕7号规范性文件及指导性案例的形式明确受害人可以兼得侵权损害赔偿和工伤保险待遇，笔者认为这样</w:t>
      </w:r>
      <w:r>
        <w:rPr>
          <w:rFonts w:hint="eastAsia" w:ascii="黑体" w:hAnsi="黑体" w:eastAsia="黑体" w:cs="黑体"/>
          <w:sz w:val="21"/>
          <w:szCs w:val="21"/>
          <w:lang w:eastAsia="zh-CN"/>
        </w:rPr>
        <w:t>的</w:t>
      </w:r>
      <w:r>
        <w:rPr>
          <w:rFonts w:hint="eastAsia" w:ascii="黑体" w:hAnsi="黑体" w:eastAsia="黑体" w:cs="黑体"/>
          <w:sz w:val="21"/>
          <w:szCs w:val="21"/>
        </w:rPr>
        <w:t>司法</w:t>
      </w:r>
      <w:r>
        <w:rPr>
          <w:rFonts w:hint="eastAsia" w:ascii="黑体" w:hAnsi="黑体" w:eastAsia="黑体" w:cs="黑体"/>
          <w:sz w:val="21"/>
          <w:szCs w:val="21"/>
          <w:lang w:eastAsia="zh-CN"/>
        </w:rPr>
        <w:t>统一产生的</w:t>
      </w:r>
      <w:r>
        <w:rPr>
          <w:rFonts w:hint="eastAsia" w:ascii="黑体" w:hAnsi="黑体" w:eastAsia="黑体" w:cs="黑体"/>
          <w:sz w:val="21"/>
          <w:szCs w:val="21"/>
        </w:rPr>
        <w:t>判决，解决了当下各种赔偿标准不一造成的赔偿不均</w:t>
      </w:r>
      <w:r>
        <w:rPr>
          <w:rFonts w:hint="eastAsia" w:ascii="黑体" w:hAnsi="黑体" w:eastAsia="黑体" w:cs="黑体"/>
          <w:sz w:val="21"/>
          <w:szCs w:val="21"/>
          <w:lang w:eastAsia="zh-CN"/>
        </w:rPr>
        <w:t>，赔偿不足</w:t>
      </w:r>
      <w:r>
        <w:rPr>
          <w:rFonts w:hint="eastAsia" w:ascii="黑体" w:hAnsi="黑体" w:eastAsia="黑体" w:cs="黑体"/>
          <w:sz w:val="21"/>
          <w:szCs w:val="21"/>
        </w:rPr>
        <w:t>的</w:t>
      </w:r>
      <w:r>
        <w:rPr>
          <w:rFonts w:hint="eastAsia" w:ascii="黑体" w:hAnsi="黑体" w:eastAsia="黑体" w:cs="黑体"/>
          <w:sz w:val="21"/>
          <w:szCs w:val="21"/>
          <w:lang w:eastAsia="zh-CN"/>
        </w:rPr>
        <w:t>现实</w:t>
      </w:r>
      <w:r>
        <w:rPr>
          <w:rFonts w:hint="eastAsia" w:ascii="黑体" w:hAnsi="黑体" w:eastAsia="黑体" w:cs="黑体"/>
          <w:sz w:val="21"/>
          <w:szCs w:val="21"/>
        </w:rPr>
        <w:t>问题，</w:t>
      </w:r>
      <w:r>
        <w:rPr>
          <w:rFonts w:hint="eastAsia" w:ascii="黑体" w:hAnsi="黑体" w:eastAsia="黑体" w:cs="黑体"/>
          <w:sz w:val="21"/>
          <w:szCs w:val="21"/>
          <w:lang w:eastAsia="zh-CN"/>
        </w:rPr>
        <w:t>有效</w:t>
      </w:r>
      <w:r>
        <w:rPr>
          <w:rFonts w:hint="eastAsia" w:ascii="黑体" w:hAnsi="黑体" w:eastAsia="黑体" w:cs="黑体"/>
          <w:sz w:val="21"/>
          <w:szCs w:val="21"/>
        </w:rPr>
        <w:t>实现了司法的公平公正。</w:t>
      </w:r>
    </w:p>
    <w:p>
      <w:pPr>
        <w:spacing w:line="360" w:lineRule="auto"/>
        <w:ind w:firstLine="420" w:firstLineChars="200"/>
        <w:rPr>
          <w:rFonts w:hint="eastAsia" w:ascii="黑体" w:hAnsi="黑体" w:eastAsia="黑体" w:cs="黑体"/>
          <w:color w:val="000000"/>
          <w:sz w:val="21"/>
          <w:szCs w:val="21"/>
          <w:lang w:eastAsia="zh-CN"/>
        </w:rPr>
      </w:pPr>
      <w:r>
        <w:rPr>
          <w:rFonts w:hint="eastAsia" w:ascii="黑体" w:hAnsi="黑体" w:eastAsia="黑体" w:cs="黑体"/>
          <w:color w:val="000000"/>
          <w:sz w:val="21"/>
          <w:szCs w:val="21"/>
          <w:lang w:eastAsia="zh-CN"/>
        </w:rPr>
        <w:t>（本案例被选为《中国法院</w:t>
      </w:r>
      <w:r>
        <w:rPr>
          <w:rFonts w:hint="eastAsia" w:ascii="黑体" w:hAnsi="黑体" w:eastAsia="黑体" w:cs="黑体"/>
          <w:color w:val="000000"/>
          <w:sz w:val="21"/>
          <w:szCs w:val="21"/>
          <w:lang w:val="en-US" w:eastAsia="zh-CN"/>
        </w:rPr>
        <w:t>2019年度案例</w:t>
      </w:r>
      <w:r>
        <w:rPr>
          <w:rFonts w:hint="eastAsia" w:ascii="黑体" w:hAnsi="黑体" w:eastAsia="黑体" w:cs="黑体"/>
          <w:color w:val="000000"/>
          <w:sz w:val="21"/>
          <w:szCs w:val="21"/>
          <w:lang w:eastAsia="zh-CN"/>
        </w:rPr>
        <w:t>》（侵权赔偿纠纷））</w:t>
      </w:r>
    </w:p>
    <w:p>
      <w:pPr>
        <w:rPr>
          <w:rFonts w:hint="eastAsia" w:ascii="黑体" w:hAnsi="黑体" w:eastAsia="黑体" w:cs="黑体"/>
          <w:sz w:val="21"/>
          <w:szCs w:val="21"/>
        </w:rPr>
      </w:pPr>
    </w:p>
    <w:p>
      <w:pPr>
        <w:rPr>
          <w:rFonts w:hint="eastAsia" w:ascii="黑体" w:hAnsi="黑体" w:eastAsia="黑体" w:cs="黑体"/>
          <w:sz w:val="21"/>
          <w:szCs w:val="21"/>
        </w:rPr>
      </w:pPr>
    </w:p>
    <w:p>
      <w:pPr>
        <w:rPr>
          <w:rFonts w:hint="eastAsia" w:ascii="黑体" w:hAnsi="黑体" w:eastAsia="黑体" w:cs="黑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default" w:eastAsiaTheme="minorEastAsia"/>
          <w:lang w:val="en-US" w:eastAsia="zh-CN"/>
        </w:rPr>
      </w:pPr>
      <w:r>
        <w:rPr>
          <w:rStyle w:val="6"/>
        </w:rPr>
        <w:footnoteRef/>
      </w:r>
      <w:r>
        <w:t xml:space="preserve"> </w:t>
      </w:r>
      <w:r>
        <w:rPr>
          <w:rFonts w:hint="eastAsia"/>
          <w:lang w:eastAsia="zh-CN"/>
        </w:rPr>
        <w:t>杨立新：《侵权责任法》，法律出版社，</w:t>
      </w:r>
      <w:r>
        <w:rPr>
          <w:rFonts w:hint="eastAsia"/>
          <w:lang w:val="en-US" w:eastAsia="zh-CN"/>
        </w:rPr>
        <w:t>2018年第3版，第122页。</w:t>
      </w:r>
    </w:p>
  </w:footnote>
  <w:footnote w:id="1">
    <w:p>
      <w:pPr>
        <w:pStyle w:val="2"/>
        <w:snapToGrid w:val="0"/>
        <w:rPr>
          <w:rFonts w:hint="default" w:eastAsiaTheme="minorEastAsia"/>
          <w:lang w:val="en-US" w:eastAsia="zh-CN"/>
        </w:rPr>
      </w:pPr>
      <w:r>
        <w:rPr>
          <w:rStyle w:val="6"/>
        </w:rPr>
        <w:footnoteRef/>
      </w:r>
      <w:r>
        <w:t xml:space="preserve"> </w:t>
      </w:r>
      <w:r>
        <w:rPr>
          <w:rFonts w:hint="eastAsia"/>
          <w:lang w:eastAsia="zh-CN"/>
        </w:rPr>
        <w:t>同上：第</w:t>
      </w:r>
      <w:r>
        <w:rPr>
          <w:rFonts w:hint="eastAsia"/>
          <w:lang w:val="en-US" w:eastAsia="zh-CN"/>
        </w:rPr>
        <w:t>121页。</w:t>
      </w:r>
    </w:p>
  </w:footnote>
  <w:footnote w:id="2">
    <w:p>
      <w:pPr>
        <w:pStyle w:val="2"/>
        <w:snapToGrid w:val="0"/>
        <w:rPr>
          <w:rFonts w:hint="default" w:eastAsiaTheme="minorEastAsia"/>
          <w:lang w:val="en-US" w:eastAsia="zh-CN"/>
        </w:rPr>
      </w:pPr>
      <w:r>
        <w:rPr>
          <w:rStyle w:val="6"/>
        </w:rPr>
        <w:footnoteRef/>
      </w:r>
      <w:r>
        <w:t xml:space="preserve"> </w:t>
      </w:r>
      <w:r>
        <w:rPr>
          <w:rFonts w:hint="eastAsia"/>
          <w:lang w:eastAsia="zh-CN"/>
        </w:rPr>
        <w:t>人民法院出版社编：《最高人民法院司法观点集成》（民事卷</w:t>
      </w:r>
      <w:r>
        <w:rPr>
          <w:rFonts w:hint="eastAsia"/>
          <w:lang w:val="en-US" w:eastAsia="zh-CN"/>
        </w:rPr>
        <w:t>1</w:t>
      </w:r>
      <w:bookmarkStart w:id="0" w:name="_GoBack"/>
      <w:bookmarkEnd w:id="0"/>
      <w:r>
        <w:rPr>
          <w:rFonts w:hint="eastAsia"/>
          <w:lang w:eastAsia="zh-CN"/>
        </w:rPr>
        <w:t>），人民法院出版社</w:t>
      </w:r>
      <w:r>
        <w:rPr>
          <w:rFonts w:hint="eastAsia"/>
          <w:lang w:val="en-US" w:eastAsia="zh-CN"/>
        </w:rPr>
        <w:t>2017年8月第3版第514页。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D7D00"/>
    <w:rsid w:val="038C2404"/>
    <w:rsid w:val="060D7CC1"/>
    <w:rsid w:val="09096F61"/>
    <w:rsid w:val="09716D3B"/>
    <w:rsid w:val="0CDB521F"/>
    <w:rsid w:val="0CE752F0"/>
    <w:rsid w:val="0D4B4E9B"/>
    <w:rsid w:val="10470A3B"/>
    <w:rsid w:val="14D241FA"/>
    <w:rsid w:val="16E60842"/>
    <w:rsid w:val="19CD7D00"/>
    <w:rsid w:val="1C2B22D7"/>
    <w:rsid w:val="1E31249C"/>
    <w:rsid w:val="206652D3"/>
    <w:rsid w:val="21386CA0"/>
    <w:rsid w:val="2713744D"/>
    <w:rsid w:val="2B533639"/>
    <w:rsid w:val="2C3B27F9"/>
    <w:rsid w:val="317205DA"/>
    <w:rsid w:val="35C557A9"/>
    <w:rsid w:val="36901A2C"/>
    <w:rsid w:val="4529297E"/>
    <w:rsid w:val="46B067A7"/>
    <w:rsid w:val="535300BD"/>
    <w:rsid w:val="57DD2EB6"/>
    <w:rsid w:val="5A3939D3"/>
    <w:rsid w:val="5BD007E4"/>
    <w:rsid w:val="5CBC5777"/>
    <w:rsid w:val="60BE0C75"/>
    <w:rsid w:val="63AE7BB2"/>
    <w:rsid w:val="65182B84"/>
    <w:rsid w:val="6E421B31"/>
    <w:rsid w:val="6EAE006E"/>
    <w:rsid w:val="722A0CEF"/>
    <w:rsid w:val="75B635B8"/>
    <w:rsid w:val="783D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Hyperlink"/>
    <w:basedOn w:val="4"/>
    <w:qFormat/>
    <w:uiPriority w:val="0"/>
    <w:rPr>
      <w:color w:val="0000FF"/>
      <w:u w:val="single"/>
    </w:rPr>
  </w:style>
  <w:style w:type="character" w:styleId="6">
    <w:name w:val="footnote reference"/>
    <w:basedOn w:val="4"/>
    <w:qFormat/>
    <w:uiPriority w:val="0"/>
    <w:rPr>
      <w:vertAlign w:val="superscript"/>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2018-06-08T07:47:00Z</dcterms:created>
  <dc:creator>Administrator</dc:creator>
  <cp:lastModifiedBy>Administrator</cp:lastModifiedBy>
  <dcterms:modified xsi:type="dcterms:W3CDTF">2020-01-14T12:39:55Z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