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rPr>
          <w:rFonts w:hint="default"/>
          <w:sz w:val="44"/>
          <w:szCs w:val="44"/>
          <w:lang w:val="en-US" w:eastAsia="zh-CN"/>
        </w:rPr>
      </w:pPr>
      <w:r>
        <w:rPr>
          <w:rFonts w:hint="eastAsia"/>
          <w:sz w:val="44"/>
          <w:szCs w:val="44"/>
          <w:lang w:eastAsia="zh-CN"/>
        </w:rPr>
        <w:t>正义裁判的型构逻辑——</w:t>
      </w:r>
    </w:p>
    <w:p>
      <w:pPr>
        <w:ind w:firstLine="1760" w:firstLineChars="400"/>
        <w:rPr>
          <w:rFonts w:hint="eastAsia"/>
          <w:sz w:val="44"/>
          <w:szCs w:val="44"/>
          <w:lang w:eastAsia="zh-CN"/>
        </w:rPr>
      </w:pPr>
      <w:r>
        <w:rPr>
          <w:rFonts w:hint="eastAsia"/>
          <w:sz w:val="44"/>
          <w:szCs w:val="44"/>
          <w:lang w:eastAsia="zh-CN"/>
        </w:rPr>
        <w:t>以典型案例为视域的观测</w:t>
      </w:r>
    </w:p>
    <w:p>
      <w:pPr>
        <w:ind w:firstLine="56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32"/>
          <w:szCs w:val="32"/>
          <w:lang w:val="en-US" w:eastAsia="zh-CN"/>
        </w:rPr>
        <w:t>引  言</w:t>
      </w:r>
    </w:p>
    <w:p>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在千千万万的司法案例中，司法可能实现了万分之九千九百九十九的司法正义，然那不幸的万分之一，却可能是不正义的，或者说是没有证成是正义的。也正是这万分之一引发了社会不同阶层对司法正义的合理怀疑，将司法推到社会的风口浪尖，以至产生对司法的极度不信任，如许霆案、彭宇案等。这样的结果很大程度上掩埋了那些已经实现了的司法公平正义。如何才能让人民群众感受到每一个案件的裁判都是正义的，成了未决的司法方法疑难，笔者试图从正义裁判的证明逻辑上寻求突破。讨论裁判的事实正义证成与结果正义证成的逻辑型构。</w:t>
      </w:r>
    </w:p>
    <w:p>
      <w:pPr>
        <w:numPr>
          <w:ilvl w:val="0"/>
          <w:numId w:val="1"/>
        </w:num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典型案例的反向与正向：逻辑不恰与逻辑自恰</w:t>
      </w:r>
    </w:p>
    <w:p>
      <w:pPr>
        <w:numPr>
          <w:ilvl w:val="0"/>
          <w:numId w:val="2"/>
        </w:numPr>
        <w:ind w:left="480" w:leftChars="0" w:firstLine="0" w:firstLineChars="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反向案例暴露的逻辑不恰</w:t>
      </w:r>
    </w:p>
    <w:p>
      <w:pPr>
        <w:numPr>
          <w:ilvl w:val="0"/>
          <w:numId w:val="3"/>
        </w:numPr>
        <w:ind w:firstLine="640" w:firstLineChars="200"/>
        <w:rPr>
          <w:rFonts w:hint="eastAsia" w:ascii="Arial" w:hAnsi="Arial" w:cs="Arial"/>
          <w:sz w:val="32"/>
          <w:szCs w:val="32"/>
          <w:lang w:val="en-US" w:eastAsia="zh-CN"/>
        </w:rPr>
      </w:pPr>
      <w:r>
        <w:rPr>
          <w:rFonts w:hint="eastAsia" w:asciiTheme="minorEastAsia" w:hAnsiTheme="minorEastAsia" w:cstheme="minorEastAsia"/>
          <w:sz w:val="32"/>
          <w:szCs w:val="32"/>
          <w:lang w:val="en-US" w:eastAsia="zh-CN"/>
        </w:rPr>
        <w:t>演绎推理并非都能保障司法结果的正义。司法裁判运用最广泛的逻辑证明方法就是三段论逻辑证明方法即演绎推理方法，其过程是：（1）假使构成要件T为任何法律事实所充分，那么法律效果R应用于该法律事实（大前提）；（2）某具体的法律事实S已充分了该要件T，即该法律事实是该构成要件所指称的法律事实（小前提）；（3）则该法律效果R应适用于该具体的法律事实S。公式表示为T</w:t>
      </w:r>
      <w:r>
        <w:rPr>
          <w:rFonts w:hint="default" w:ascii="Arial" w:hAnsi="Arial" w:cs="Arial"/>
          <w:sz w:val="32"/>
          <w:szCs w:val="32"/>
          <w:lang w:val="en-US" w:eastAsia="zh-CN"/>
        </w:rPr>
        <w:t>→</w:t>
      </w:r>
      <w:r>
        <w:rPr>
          <w:rFonts w:hint="eastAsia" w:asciiTheme="minorEastAsia" w:hAnsiTheme="minorEastAsia" w:cstheme="minorEastAsia"/>
          <w:sz w:val="32"/>
          <w:szCs w:val="32"/>
          <w:lang w:val="en-US" w:eastAsia="zh-CN"/>
        </w:rPr>
        <w:t>R，S</w:t>
      </w:r>
      <w:r>
        <w:rPr>
          <w:rFonts w:hint="default" w:ascii="Arial" w:hAnsi="Arial" w:cs="Arial"/>
          <w:sz w:val="32"/>
          <w:szCs w:val="32"/>
          <w:lang w:val="en-US" w:eastAsia="zh-CN"/>
        </w:rPr>
        <w:t>→</w:t>
      </w:r>
      <w:r>
        <w:rPr>
          <w:rFonts w:hint="eastAsia" w:ascii="Arial" w:hAnsi="Arial" w:cs="Arial"/>
          <w:sz w:val="32"/>
          <w:szCs w:val="32"/>
          <w:lang w:val="en-US" w:eastAsia="zh-CN"/>
        </w:rPr>
        <w:t>T，S</w:t>
      </w:r>
      <w:r>
        <w:rPr>
          <w:rFonts w:hint="default" w:ascii="Arial" w:hAnsi="Arial" w:cs="Arial"/>
          <w:sz w:val="32"/>
          <w:szCs w:val="32"/>
          <w:lang w:val="en-US" w:eastAsia="zh-CN"/>
        </w:rPr>
        <w:t>→</w:t>
      </w:r>
      <w:r>
        <w:rPr>
          <w:rFonts w:hint="eastAsia" w:ascii="Arial" w:hAnsi="Arial" w:cs="Arial"/>
          <w:sz w:val="32"/>
          <w:szCs w:val="32"/>
          <w:lang w:val="en-US" w:eastAsia="zh-CN"/>
        </w:rPr>
        <w:t>R。从演绎推理表面看，逻辑上是自恰的，但生活中的案件事实往往与法律规范所拟定的抽象事实存在偏差，或者由于规范本身的非正义，导出的法律效果也属非正义。不妨以许霆案为例。2006年4月21日2时许，被告人许霆伙同郭安山窜至天河区的广州市商业银行ATM取款机，利用该机系统出错机，多次从该机取款，至次日23时，取款175000元，之后携款潜逃，赃款被花光（许霆取款的卡上有存款175元）。一审法院审理认为，被告许霆以非法占有为目的，伙同同同案人采用秘密手段盗窃金融机构，数额特别巨大，其行为构成盗窃罪，并依照《刑法》第二百六十四条第一款、第五十七条、第五十九条、第六十四条判处被告人许霆无期徒刑，剥夺政治权利终身并处没收全部财产。一审法院宣判后，判决结果受到了媒体及社会不同阶层的广泛关注与质疑，“不公正”之声像铺天盖地的海啸席卷了司法界。后经许霆上诉后，发回原审法院重审，改判为，被告人许霆犯盗窃罪，判处有期徒刑五年。这里对质疑的各种问题不一一评析，只是从论证的逻辑为视域进行分析，从原审（一审）的论证逻辑上看，采用的是演绎推理方法，大前提中的法律要件事实T指向的是《刑法》第二百六十四条第一款“盗窃金融机构，数额特别巨大的”，法律效果R指向的是“处无期徒刑或者死刑，并处没收财产”；小前提S是“被告人许霆伙同郭安山窜至天河区的广州市商业银行ATM取款机，利用该机系统出错机，多次从该机取款，至次日23时，取款175000元”,被大前提T涵摄；所以法律效果R适用S。以上逻辑推理除T中的“数额特别巨大”需要补充一个法律要件事实规范对“数额特别巨大”解释外，尚无其他争议的逻辑瑕疵要素，且案件事发时，最高人民法院解释将3万元至10万元以上确定为“数额特别巨大”，由此逻辑推理的论者，可以通过受体（或者公众）自我补充的形式修正这一瑕疵。但尽管如此，社会仍然无法接受“因ATM出错，行为人借此超额提款17万余元，被判无期徒刑剥夺政治权利终身……”这个结果。原因何在呢？因为在公民的心里，法律是正义的，且是平等的正义，在公民看来，一个贪污受贿数百万元，盗窃除金融机构外的其他公私财产几十上百万元，情节更为严重的，也就判个有期徒刑，然“顺手牵羊”的行为却判处无期徒刑这样极为严重的刑罚，公平吗？由此看来原审法院欠缺了正义这个价值判断，陷入了一种简单的演绎逻辑。本案在重审时，正是基于正义的考量，适用《刑法》总则“调节阀”条款第六十三条，判处被告人五年有期徒刑，基本达到了罚当其罪。这无疑引发出一个需要证明的论题，正义的裁判如何在逻辑上实现呢？社会主义核心价值观中的公平正义如何融入司法的具体案件，并通过归纳、演绎、类比等推理方法实现高强度的逻辑证明呢？</w:t>
      </w:r>
    </w:p>
    <w:p>
      <w:pPr>
        <w:numPr>
          <w:ilvl w:val="0"/>
          <w:numId w:val="3"/>
        </w:numPr>
        <w:ind w:firstLine="640" w:firstLineChars="200"/>
        <w:rPr>
          <w:rFonts w:hint="default" w:ascii="Arial" w:hAnsi="Arial" w:cs="Arial"/>
          <w:sz w:val="32"/>
          <w:szCs w:val="32"/>
          <w:lang w:val="en-US" w:eastAsia="zh-CN"/>
        </w:rPr>
      </w:pPr>
      <w:r>
        <w:rPr>
          <w:rFonts w:hint="eastAsia" w:ascii="Arial" w:hAnsi="Arial" w:cs="Arial"/>
          <w:sz w:val="32"/>
          <w:szCs w:val="32"/>
          <w:lang w:val="en-US" w:eastAsia="zh-CN"/>
        </w:rPr>
        <w:t>法官内心确认的事实需要怎样的逻辑证明。裁判文书认定的事实是通过诉讼当事人双方举证，法官审核认定的事实，也称法律事实，法律事实与有效的证据之间，具有逻辑上的关联性，否则可能陷入主观主义的泥潭，让公众产生对司法的信任危机。如彭宇健康权纠纷案。该案在一审审理过程中，作为原告的徐某（老年人）诉称，彭宇在乘坐公交车出车门时将自己撞倒摔伤，并请求判令彭宇赔偿其经济损失十余万元。徐某举示的证据有：民警所作的询问笔录（事发次日所作）复印件，该询问笔录中彭宇否认自己撞倒徐某，反而是徐某撞上自己摔倒受伤；民警的证言，证明事发次日确实做了笔录。庭审中，彭宇抗辩，徐某是其他下车乘客撞倒徐某致伤，自己是做好事将其扶起，送医院并给付200元让其看病。一审法院在认定事实时作了以下分析，原告摔倒存在有两种可能，一是来自他人的外力因素；二是来自于绊倒、滑倒等自身原因，但是双方在庭审中均未陈述系绊倒、滑倒等自身原因，所以属于他人撞倒的外力情形。彭宇系第一个下车的人，相撞可能性较大，派出所的询问笔录，双方未否认发生了碰撞，只是彭宇认为是徐某撞了自己，因此认定徐某是被彭宇撞倒受伤。</w:t>
      </w:r>
      <w:r>
        <w:rPr>
          <w:rStyle w:val="6"/>
          <w:rFonts w:hint="eastAsia" w:ascii="Arial" w:hAnsi="Arial" w:cs="Arial"/>
          <w:sz w:val="32"/>
          <w:szCs w:val="32"/>
          <w:lang w:val="en-US" w:eastAsia="zh-CN"/>
        </w:rPr>
        <w:footnoteReference w:id="0"/>
      </w:r>
      <w:r>
        <w:rPr>
          <w:rFonts w:hint="eastAsia" w:ascii="Arial" w:hAnsi="Arial" w:cs="Arial"/>
          <w:sz w:val="32"/>
          <w:szCs w:val="32"/>
          <w:lang w:val="en-US" w:eastAsia="zh-CN"/>
        </w:rPr>
        <w:t>后一审法院按公平责任归责原则判决彭宇赔偿徐某4.5万余元。判决后引发了公众舆情。本案的问题在哪里？笔者认为最大的问题是在事实的逻辑证明上，民事案件事实的认定，采用的优势证据规则，事实的高度盖然性认定规则，举证责任规则。在事实与证据之间有其自身的逻辑证明方法。未达逻辑证明要求，判决是难以被公众接受的。本案的事实认定问题正在于此。从逻辑上看，存在以下问题，（1）设定的命题不周延。判决将徐某的摔倒受伤设定为两种情形，一是他人的外力因素；二是自身原因，这样的划分在逻辑上是不周延的，因还存在意外事故这种情形，且“他人的外力因素”与“自身原因”两种情形并非概念外延上的全异关系，即A与-A，可能存在交叉关系即在部分外延上交叉；（2）在证明方法上错误适用矛盾律。徐某在派出所陈述是彭宇撞倒自己，彭宇陈述是徐某自己撞到彭宇，系反作用力导致摔倒受伤，从逻辑视角考量，双方的陈述都存在一定程度的可能性，甚至还存在两人之外的他人等其他因素导致的可能性，派出所的询问笔录无法排除或者无法否定对方的陈述，怎么能用矛盾律来肯定一个命题为真，另一个命题必然为假呢？由此一审法官错误适用了逻辑证明规则，得出的结论只能是或然性的，没有达到逻辑强度要求，或者说设定的命题根本没有获得逻辑证明。以上案例说明一个问题，在事实与证据之间，存在一个正确的逻辑证明方法。那么在怎样的内在逻辑证明之下，法院认定的事实才能被社会所接受呢？</w:t>
      </w:r>
    </w:p>
    <w:p>
      <w:pPr>
        <w:numPr>
          <w:ilvl w:val="0"/>
          <w:numId w:val="2"/>
        </w:numPr>
        <w:ind w:left="480" w:leftChars="0" w:firstLine="0" w:firstLineChars="0"/>
        <w:rPr>
          <w:rFonts w:hint="eastAsia" w:ascii="Arial" w:hAnsi="Arial" w:cs="Arial"/>
          <w:sz w:val="32"/>
          <w:szCs w:val="32"/>
          <w:lang w:val="en-US" w:eastAsia="zh-CN"/>
        </w:rPr>
      </w:pPr>
      <w:r>
        <w:rPr>
          <w:rFonts w:hint="eastAsia" w:ascii="Arial" w:hAnsi="Arial" w:cs="Arial"/>
          <w:sz w:val="32"/>
          <w:szCs w:val="32"/>
          <w:lang w:val="en-US" w:eastAsia="zh-CN"/>
        </w:rPr>
        <w:t>正向案例呈现的逻辑结构</w:t>
      </w:r>
    </w:p>
    <w:p>
      <w:pPr>
        <w:numPr>
          <w:ilvl w:val="0"/>
          <w:numId w:val="0"/>
        </w:numPr>
        <w:ind w:firstLine="640" w:firstLineChars="200"/>
        <w:rPr>
          <w:rFonts w:hint="eastAsia" w:ascii="Arial" w:hAnsi="Arial" w:cs="Arial"/>
          <w:sz w:val="32"/>
          <w:szCs w:val="32"/>
          <w:lang w:val="en-US" w:eastAsia="zh-CN"/>
        </w:rPr>
      </w:pPr>
      <w:r>
        <w:rPr>
          <w:rFonts w:hint="eastAsia" w:ascii="Arial" w:hAnsi="Arial" w:cs="Arial"/>
          <w:sz w:val="32"/>
          <w:szCs w:val="32"/>
          <w:lang w:val="en-US" w:eastAsia="zh-CN"/>
        </w:rPr>
        <w:t>反向案例暴露了多向度逻辑证明问题，为逻辑的该当性提出了一个亟待化解的逻辑命题。正向案例是司法正义实践的经验集成，为逻辑证成的理论构建提供了点点滴滴的构建要素。这里挑选一二从逻辑视角进行考察。</w:t>
      </w:r>
    </w:p>
    <w:p>
      <w:pPr>
        <w:numPr>
          <w:ilvl w:val="0"/>
          <w:numId w:val="4"/>
        </w:numPr>
        <w:ind w:firstLine="640" w:firstLineChars="200"/>
        <w:rPr>
          <w:rFonts w:hint="eastAsia" w:ascii="Arial" w:hAnsi="Arial" w:cs="Arial"/>
          <w:sz w:val="32"/>
          <w:szCs w:val="32"/>
          <w:lang w:val="en-US" w:eastAsia="zh-CN"/>
        </w:rPr>
      </w:pPr>
      <w:r>
        <w:rPr>
          <w:rFonts w:hint="eastAsia" w:ascii="Arial" w:hAnsi="Arial" w:cs="Arial"/>
          <w:sz w:val="32"/>
          <w:szCs w:val="32"/>
          <w:lang w:val="en-US" w:eastAsia="zh-CN"/>
        </w:rPr>
        <w:t>林森浩故意杀人罪案。简要案情：被告人林森浩与黄洋同为2010级医学专业研究生，同住421室。林森浩因日常琐事对黄洋不满，决意采用投放毒物的方式加害黄洋。2013年3月31日下午，林森浩以取物为借口，从他人处借得钥匙，进入204影像医学实验室，取出动物实验后存放此处的二甲基消安原液（剧毒物质）试剂瓶及注射器，装入袋中离开实验室，同日17时50分许，回到421室，乘无人之机，将二甲基消安原液注入该室饮水机内。4月1日9时许，黄洋接饮水机水饮用后，出现呕吐，当日到中山医院就诊。次日病情加重，4月3日转重症监护室就治。4月11日，林森浩在接受调查时未说出实情，12日林森浩被传唤后，如实供述了在421室饮水机投放二甲基消安的事实。4月16日，黄洋经抢救无效死亡。经法医鉴定黄洋因二甲基消安中毒致肝坏死引起急性肝功能，继发多器官功能衰竭死亡。</w:t>
      </w:r>
      <w:r>
        <w:rPr>
          <w:rStyle w:val="6"/>
          <w:rFonts w:hint="eastAsia" w:ascii="Arial" w:hAnsi="Arial" w:cs="Arial"/>
          <w:sz w:val="32"/>
          <w:szCs w:val="32"/>
          <w:lang w:val="en-US" w:eastAsia="zh-CN"/>
        </w:rPr>
        <w:footnoteReference w:id="1"/>
      </w:r>
      <w:r>
        <w:rPr>
          <w:rFonts w:hint="eastAsia" w:ascii="Arial" w:hAnsi="Arial" w:cs="Arial"/>
          <w:sz w:val="32"/>
          <w:szCs w:val="32"/>
          <w:lang w:val="en-US" w:eastAsia="zh-CN"/>
        </w:rPr>
        <w:t>裁定书在认定上诉事实时，按照顺序将以上认定事实划分为七个部分，每一部分将相应的证据证明的要点事实进行证据证明，证据之间环环相扣形成一个封闭的证据链条，同时回应了辩方提出的疑点。由于裁判对事实认定精确，并正确运用演绎推理方法，以相应法律规定为大前提，以认定的事实为小前提，推导出构成故意杀人罪，判处死刑的结论。这个案例无疑说明一个问题，正确运用逻辑规则在保证前提真的前提下，结论必然真。</w:t>
      </w:r>
    </w:p>
    <w:p>
      <w:pPr>
        <w:numPr>
          <w:ilvl w:val="0"/>
          <w:numId w:val="4"/>
        </w:numPr>
        <w:ind w:firstLine="640" w:firstLineChars="200"/>
        <w:rPr>
          <w:rFonts w:hint="default" w:ascii="Arial" w:hAnsi="Arial" w:cs="Arial"/>
          <w:sz w:val="32"/>
          <w:szCs w:val="32"/>
          <w:lang w:val="en-US" w:eastAsia="zh-CN"/>
        </w:rPr>
      </w:pPr>
      <w:r>
        <w:rPr>
          <w:rFonts w:hint="eastAsia" w:ascii="Arial" w:hAnsi="Arial" w:cs="Arial"/>
          <w:sz w:val="32"/>
          <w:szCs w:val="32"/>
          <w:lang w:val="en-US" w:eastAsia="zh-CN"/>
        </w:rPr>
        <w:t>俞梁典当案。案情：</w:t>
      </w:r>
      <w:r>
        <w:rPr>
          <w:rFonts w:hint="default" w:ascii="Arial" w:hAnsi="Arial" w:cs="Arial"/>
          <w:sz w:val="32"/>
          <w:szCs w:val="32"/>
          <w:lang w:val="en-US" w:eastAsia="zh-CN"/>
        </w:rPr>
        <w:t>俞梁有田九亩三步，开禧二年典与戴士壬，计钱八十七贯。俞梁死于绍定二年，并无子孙，仅有女俞百六娘，赘陈应龙为夫，当是之时，阿俞夫妇亦未知此田为或典或卖。至嘉熙二年二月，始经县陈诉取赎。而戴士壬者称于绍定元年内，俞梁续将上件田作价钱四十五贯，已行断卖，坚不伏退赎。展转五年，互诉于县，两经县判，谓士壬执出俞梁典卖契字分明，应龙夫妇不应取赎。</w:t>
      </w:r>
      <w:r>
        <w:rPr>
          <w:rStyle w:val="6"/>
          <w:rFonts w:hint="default" w:ascii="Arial" w:hAnsi="Arial" w:cs="Arial"/>
          <w:sz w:val="32"/>
          <w:szCs w:val="32"/>
          <w:lang w:val="en-US" w:eastAsia="zh-CN"/>
        </w:rPr>
        <w:footnoteReference w:id="2"/>
      </w:r>
      <w:r>
        <w:rPr>
          <w:rFonts w:hint="eastAsia" w:ascii="Arial" w:hAnsi="Arial" w:cs="Arial"/>
          <w:sz w:val="32"/>
          <w:szCs w:val="32"/>
          <w:lang w:val="en-US" w:eastAsia="zh-CN"/>
        </w:rPr>
        <w:t>法官查明典为真，绝卖为伪造。后法官撰写判词如下：</w:t>
      </w:r>
      <w:r>
        <w:rPr>
          <w:rFonts w:hint="default" w:ascii="Arial" w:hAnsi="Arial" w:cs="Arial"/>
          <w:sz w:val="32"/>
          <w:szCs w:val="32"/>
          <w:lang w:val="en-US" w:eastAsia="zh-CN"/>
        </w:rPr>
        <w:t>准令：户绝财产尽给在室诸女，而归宗女减半。今俞梁身后既别无男女，仅有俞百六娘一人在家，坐当招应龙为夫，此外又别无财产，此田合听俞百六娘夫妇照典契取赎，庶合理法。所有假伪卖契，当官毁抹。但应龙既欲取赎此田，当念士壬培壅之功，盖已年深，亦有当参酌人情者。开禧田价，律今倍有所增；开禧会价，较今不无所损。观应龙为人，破落浇浮，亦岂真有钱赎田，必有一等欲炙之徒资给之，所以兴连年之讼。欲监陈应龙当官备十八界官会八十七贯，还戴士壬，却与给还一宗契字照业。俞梁既别无子孙，仰以续祭祀者惟俞百六娘而已，赎回此田，所当永远存留，充岁时祭祀之用，责状在官，不许卖与外人。如应龙辄敢出卖，许士壬陈首，即与拘籍入官，庶可存继绝之美意，又可杜应龙贱赎贵卖之私谋，士壬愤嫉之心，亦少平矣！</w:t>
      </w:r>
      <w:r>
        <w:rPr>
          <w:rFonts w:hint="eastAsia" w:ascii="Arial" w:hAnsi="Arial" w:cs="Arial"/>
          <w:sz w:val="32"/>
          <w:szCs w:val="32"/>
          <w:lang w:val="en-US" w:eastAsia="zh-CN"/>
        </w:rPr>
        <w:t>以上判词可谓经典。以精练的语言叙写，并用三段论逻辑方法展开，导出判决结果——“</w:t>
      </w:r>
      <w:r>
        <w:rPr>
          <w:rFonts w:hint="default" w:ascii="Arial" w:hAnsi="Arial" w:cs="Arial"/>
          <w:sz w:val="32"/>
          <w:szCs w:val="32"/>
          <w:lang w:val="en-US" w:eastAsia="zh-CN"/>
        </w:rPr>
        <w:t>监陈应龙当官备十八界官会八十七贯，还戴士壬，却与给还一宗契字照业</w:t>
      </w:r>
      <w:r>
        <w:rPr>
          <w:rFonts w:hint="eastAsia" w:ascii="Arial" w:hAnsi="Arial" w:cs="Arial"/>
          <w:sz w:val="32"/>
          <w:szCs w:val="32"/>
          <w:lang w:val="en-US" w:eastAsia="zh-CN"/>
        </w:rPr>
        <w:t>”。后为平息事端，加判，不许买与他人，并符合情理地阐明道义上的理由。</w:t>
      </w:r>
    </w:p>
    <w:p>
      <w:pPr>
        <w:numPr>
          <w:ilvl w:val="0"/>
          <w:numId w:val="1"/>
        </w:numPr>
        <w:ind w:left="0" w:leftChars="0" w:firstLine="640" w:firstLineChars="200"/>
        <w:rPr>
          <w:rFonts w:hint="default" w:ascii="Arial" w:hAnsi="Arial" w:cs="Arial"/>
          <w:sz w:val="32"/>
          <w:szCs w:val="32"/>
          <w:lang w:val="en-US" w:eastAsia="zh-CN"/>
        </w:rPr>
      </w:pPr>
      <w:r>
        <w:rPr>
          <w:rFonts w:hint="eastAsia" w:ascii="Arial" w:hAnsi="Arial" w:cs="Arial"/>
          <w:sz w:val="32"/>
          <w:szCs w:val="32"/>
          <w:lang w:val="en-US" w:eastAsia="zh-CN"/>
        </w:rPr>
        <w:t>裁判中事实认定与裁判结果的证明问题</w:t>
      </w:r>
    </w:p>
    <w:p>
      <w:pPr>
        <w:numPr>
          <w:numId w:val="0"/>
        </w:numPr>
        <w:ind w:firstLine="640" w:firstLineChars="200"/>
        <w:rPr>
          <w:rFonts w:hint="default" w:ascii="Arial" w:hAnsi="Arial" w:cs="Arial"/>
          <w:sz w:val="32"/>
          <w:szCs w:val="32"/>
          <w:lang w:val="en-US" w:eastAsia="zh-CN"/>
        </w:rPr>
      </w:pPr>
      <w:r>
        <w:rPr>
          <w:rFonts w:hint="eastAsia" w:ascii="Arial" w:hAnsi="Arial" w:cs="Arial"/>
          <w:sz w:val="32"/>
          <w:szCs w:val="32"/>
          <w:lang w:val="en-US" w:eastAsia="zh-CN"/>
        </w:rPr>
        <w:t>作为法官其裁判的内容不外乎有两项，一是对法律事实的认定；二是对原告请求事项支持与否判定。对于前者法官是通过诉辩双方举示的证据，通过庭审举证，质证，认证的方式确定那些证据被采信，那些证据被否定，然后通过采信的证据来确定案件事实，因此在证据与事实之间必然存在逻辑上的构成关系，这个逻辑关系的理清就是法官职责所在，梳理逻辑关系的过程，就是法官的论证。对于后者，是法官将确定的事实，纳入现有法律的规范中，再构造一个逻辑框架，获得有效的逻辑支持，对于复杂的案件，法官还需要进行法律解释与续造才能回归逻辑体系，获得结论，这个过程也是一个逻辑证明过程。由此，可以导出裁判中的问题，除语言表达、实践经验等不足外，主要应当是逻辑证明方法没有把握好，或者欠缺逻辑知识所导致。下面就现实裁判中的逻辑问题进行归纳。</w:t>
      </w:r>
      <w:bookmarkStart w:id="0" w:name="_GoBack"/>
      <w:bookmarkEnd w:id="0"/>
    </w:p>
    <w:p>
      <w:pPr>
        <w:numPr>
          <w:ilvl w:val="0"/>
          <w:numId w:val="1"/>
        </w:numPr>
        <w:ind w:left="0" w:leftChars="0" w:firstLine="640" w:firstLineChars="200"/>
        <w:rPr>
          <w:rFonts w:hint="default" w:ascii="Arial" w:hAnsi="Arial" w:cs="Arial"/>
          <w:sz w:val="32"/>
          <w:szCs w:val="32"/>
          <w:lang w:val="en-US" w:eastAsia="zh-CN"/>
        </w:rPr>
      </w:pPr>
      <w:r>
        <w:rPr>
          <w:rFonts w:hint="eastAsia" w:ascii="Arial" w:hAnsi="Arial" w:cs="Arial"/>
          <w:sz w:val="32"/>
          <w:szCs w:val="32"/>
          <w:lang w:val="en-US" w:eastAsia="zh-CN"/>
        </w:rPr>
        <w:t>认定事实的逻辑途径</w:t>
      </w:r>
    </w:p>
    <w:p>
      <w:pPr>
        <w:numPr>
          <w:ilvl w:val="0"/>
          <w:numId w:val="1"/>
        </w:numPr>
        <w:ind w:left="0" w:leftChars="0" w:firstLine="640" w:firstLineChars="200"/>
        <w:rPr>
          <w:rFonts w:hint="default" w:ascii="Arial" w:hAnsi="Arial" w:cs="Arial"/>
          <w:sz w:val="32"/>
          <w:szCs w:val="32"/>
          <w:lang w:val="en-US" w:eastAsia="zh-CN"/>
        </w:rPr>
      </w:pPr>
      <w:r>
        <w:rPr>
          <w:rFonts w:hint="eastAsia" w:ascii="Arial" w:hAnsi="Arial" w:cs="Arial"/>
          <w:sz w:val="32"/>
          <w:szCs w:val="32"/>
          <w:lang w:val="en-US" w:eastAsia="zh-CN"/>
        </w:rPr>
        <w:t>裁判说理不同径路：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default" w:eastAsiaTheme="minorEastAsia"/>
          <w:lang w:val="en-US" w:eastAsia="zh-CN"/>
        </w:rPr>
      </w:pPr>
      <w:r>
        <w:rPr>
          <w:rStyle w:val="6"/>
        </w:rPr>
        <w:footnoteRef/>
      </w:r>
      <w:r>
        <w:t xml:space="preserve"> </w:t>
      </w:r>
      <w:r>
        <w:rPr>
          <w:rFonts w:hint="eastAsia"/>
          <w:lang w:eastAsia="zh-CN"/>
        </w:rPr>
        <w:t>参见（</w:t>
      </w:r>
      <w:r>
        <w:rPr>
          <w:rFonts w:hint="eastAsia"/>
          <w:lang w:val="en-US" w:eastAsia="zh-CN"/>
        </w:rPr>
        <w:t>2007</w:t>
      </w:r>
      <w:r>
        <w:rPr>
          <w:rFonts w:hint="eastAsia"/>
          <w:lang w:eastAsia="zh-CN"/>
        </w:rPr>
        <w:t>）鼓民一初字第</w:t>
      </w:r>
      <w:r>
        <w:rPr>
          <w:rFonts w:hint="eastAsia"/>
          <w:lang w:val="en-US" w:eastAsia="zh-CN"/>
        </w:rPr>
        <w:t>212号判决书。</w:t>
      </w:r>
    </w:p>
  </w:footnote>
  <w:footnote w:id="1">
    <w:p>
      <w:pPr>
        <w:pStyle w:val="2"/>
        <w:snapToGrid w:val="0"/>
      </w:pPr>
      <w:r>
        <w:rPr>
          <w:rStyle w:val="6"/>
        </w:rPr>
        <w:footnoteRef/>
      </w:r>
      <w:r>
        <w:t xml:space="preserve"> </w:t>
      </w:r>
      <w:r>
        <w:rPr>
          <w:rFonts w:hint="eastAsia"/>
          <w:lang w:eastAsia="zh-CN"/>
        </w:rPr>
        <w:t>参见</w:t>
      </w:r>
      <w:r>
        <w:rPr>
          <w:rFonts w:hint="eastAsia"/>
          <w:lang w:val="en-US" w:eastAsia="zh-CN"/>
        </w:rPr>
        <w:t>《中华人民共和国最高人民法院刑事裁定书》[（2015）刑三复3525133号]。该裁定为死刑复核裁定，犯罪构成不复杂，不需要进行逻辑上的分析，笔者不去评析。</w:t>
      </w:r>
    </w:p>
  </w:footnote>
  <w:footnote w:id="2">
    <w:p>
      <w:pPr>
        <w:pStyle w:val="2"/>
        <w:snapToGrid w:val="0"/>
      </w:pPr>
      <w:r>
        <w:rPr>
          <w:rStyle w:val="6"/>
        </w:rPr>
        <w:footnoteRef/>
      </w:r>
      <w:r>
        <w:t xml:space="preserve"> </w:t>
      </w:r>
      <w:r>
        <w:rPr>
          <w:rFonts w:hint="eastAsia"/>
          <w:lang w:eastAsia="zh-CN"/>
        </w:rPr>
        <w:t>参见</w:t>
      </w:r>
      <w:r>
        <w:rPr>
          <w:rFonts w:hint="default"/>
          <w:lang w:val="en-US" w:eastAsia="zh-CN"/>
        </w:rPr>
        <w:t>《名公书判清明集》卷9，《户婚门·违法交易》</w:t>
      </w:r>
      <w:r>
        <w:rPr>
          <w:rFonts w:hint="eastAsia"/>
          <w:lang w:val="en-US"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9A68F"/>
    <w:multiLevelType w:val="singleLevel"/>
    <w:tmpl w:val="9459A68F"/>
    <w:lvl w:ilvl="0" w:tentative="0">
      <w:start w:val="1"/>
      <w:numFmt w:val="decimal"/>
      <w:lvlText w:val="%1."/>
      <w:lvlJc w:val="left"/>
      <w:pPr>
        <w:tabs>
          <w:tab w:val="left" w:pos="312"/>
        </w:tabs>
      </w:pPr>
    </w:lvl>
  </w:abstractNum>
  <w:abstractNum w:abstractNumId="1">
    <w:nsid w:val="99C55DB9"/>
    <w:multiLevelType w:val="singleLevel"/>
    <w:tmpl w:val="99C55DB9"/>
    <w:lvl w:ilvl="0" w:tentative="0">
      <w:start w:val="1"/>
      <w:numFmt w:val="chineseCounting"/>
      <w:suff w:val="nothing"/>
      <w:lvlText w:val="（%1）"/>
      <w:lvlJc w:val="left"/>
      <w:pPr>
        <w:ind w:left="480" w:leftChars="0" w:firstLine="0" w:firstLineChars="0"/>
      </w:pPr>
      <w:rPr>
        <w:rFonts w:hint="eastAsia"/>
      </w:rPr>
    </w:lvl>
  </w:abstractNum>
  <w:abstractNum w:abstractNumId="2">
    <w:nsid w:val="6865B86F"/>
    <w:multiLevelType w:val="singleLevel"/>
    <w:tmpl w:val="6865B86F"/>
    <w:lvl w:ilvl="0" w:tentative="0">
      <w:start w:val="1"/>
      <w:numFmt w:val="decimal"/>
      <w:lvlText w:val="%1."/>
      <w:lvlJc w:val="left"/>
      <w:pPr>
        <w:tabs>
          <w:tab w:val="left" w:pos="312"/>
        </w:tabs>
      </w:pPr>
    </w:lvl>
  </w:abstractNum>
  <w:abstractNum w:abstractNumId="3">
    <w:nsid w:val="7E04370F"/>
    <w:multiLevelType w:val="singleLevel"/>
    <w:tmpl w:val="7E04370F"/>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06470"/>
    <w:rsid w:val="01415020"/>
    <w:rsid w:val="046663D7"/>
    <w:rsid w:val="133C3A26"/>
    <w:rsid w:val="17F644DF"/>
    <w:rsid w:val="1E2B7C1B"/>
    <w:rsid w:val="20D770AF"/>
    <w:rsid w:val="29FF4EA6"/>
    <w:rsid w:val="2E481065"/>
    <w:rsid w:val="33A43ED7"/>
    <w:rsid w:val="3A272E7B"/>
    <w:rsid w:val="3A6855E8"/>
    <w:rsid w:val="3FC74B1B"/>
    <w:rsid w:val="45806470"/>
    <w:rsid w:val="531E5BF2"/>
    <w:rsid w:val="55961972"/>
    <w:rsid w:val="66A259AD"/>
    <w:rsid w:val="6E9C17D2"/>
    <w:rsid w:val="7C271475"/>
    <w:rsid w:val="7FEA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2022-05-26T13:24:00Z</dcterms:created>
  <dc:creator>Administrator</dc:creator>
  <cp:lastModifiedBy>Administrator</cp:lastModifiedBy>
  <dcterms:modified xsi:type="dcterms:W3CDTF">2022-06-22T13:01:54Z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