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sz w:val="32"/>
          <w:szCs w:val="32"/>
          <w:lang w:eastAsia="zh-CN"/>
        </w:rPr>
      </w:pPr>
      <w:r>
        <w:rPr>
          <w:rFonts w:hint="eastAsia"/>
          <w:sz w:val="32"/>
          <w:szCs w:val="32"/>
          <w:lang w:val="en-US" w:eastAsia="zh-CN"/>
        </w:rPr>
        <w:t>旅游服务提供者夸大宣传误导游客造成损害应承担连带责任——邓某萍</w:t>
      </w:r>
      <w:r>
        <w:rPr>
          <w:rFonts w:hint="eastAsia" w:asciiTheme="minorEastAsia" w:hAnsiTheme="minorEastAsia"/>
          <w:sz w:val="32"/>
          <w:szCs w:val="32"/>
        </w:rPr>
        <w:t>与</w:t>
      </w:r>
      <w:r>
        <w:rPr>
          <w:rFonts w:hint="eastAsia" w:asciiTheme="minorEastAsia" w:hAnsiTheme="minorEastAsia"/>
          <w:sz w:val="32"/>
          <w:szCs w:val="32"/>
          <w:lang w:eastAsia="zh-CN"/>
        </w:rPr>
        <w:t>重庆嵩悦有限公司等公共场所管理人责任案</w:t>
      </w:r>
    </w:p>
    <w:p>
      <w:pPr>
        <w:rPr>
          <w:rFonts w:ascii="Times New Roman" w:hAnsi="仿宋" w:eastAsia="仿宋" w:cs="Times New Roman"/>
          <w:sz w:val="32"/>
          <w:szCs w:val="32"/>
        </w:rPr>
      </w:pPr>
      <w:r>
        <w:rPr>
          <w:rFonts w:hint="eastAsia" w:asciiTheme="minorEastAsia" w:hAnsiTheme="minorEastAsia"/>
          <w:sz w:val="44"/>
          <w:szCs w:val="44"/>
        </w:rPr>
        <w:t xml:space="preserve">  </w:t>
      </w:r>
      <w:r>
        <w:rPr>
          <w:rFonts w:hint="eastAsia" w:asciiTheme="minorEastAsia" w:hAnsiTheme="minorEastAsia"/>
          <w:sz w:val="28"/>
          <w:szCs w:val="28"/>
        </w:rPr>
        <w:t xml:space="preserve"> </w:t>
      </w:r>
      <w:r>
        <w:rPr>
          <w:rFonts w:hint="default" w:ascii="Times New Roman" w:hAnsi="Times New Roman" w:cs="Times New Roman"/>
          <w:sz w:val="28"/>
          <w:szCs w:val="28"/>
        </w:rPr>
        <w:t>[</w:t>
      </w:r>
      <w:r>
        <w:rPr>
          <w:rFonts w:hint="eastAsia" w:ascii="Times New Roman" w:hAnsi="Times New Roman" w:cs="Times New Roman"/>
          <w:sz w:val="28"/>
          <w:szCs w:val="28"/>
          <w:lang w:eastAsia="zh-CN"/>
        </w:rPr>
        <w:t>案件基本信息</w:t>
      </w:r>
      <w:r>
        <w:rPr>
          <w:rFonts w:hint="default" w:ascii="Times New Roman" w:hAnsi="Times New Roman" w:cs="Times New Roman"/>
          <w:sz w:val="28"/>
          <w:szCs w:val="28"/>
        </w:rPr>
        <w:t>]</w:t>
      </w:r>
      <w:r>
        <w:rPr>
          <w:rFonts w:hint="eastAsia" w:asciiTheme="minorEastAsia" w:hAnsiTheme="minorEastAsia"/>
          <w:sz w:val="28"/>
          <w:szCs w:val="28"/>
        </w:rPr>
        <w:t xml:space="preserve">  </w:t>
      </w:r>
      <w:r>
        <w:rPr>
          <w:rFonts w:hint="eastAsia" w:asciiTheme="minorEastAsia" w:hAnsiTheme="minorEastAsia"/>
          <w:sz w:val="44"/>
          <w:szCs w:val="44"/>
        </w:rPr>
        <w:t xml:space="preserve">      </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w:t>
      </w:r>
      <w:r>
        <w:rPr>
          <w:rFonts w:ascii="Times New Roman" w:hAnsi="仿宋" w:eastAsia="仿宋" w:cs="Times New Roman"/>
          <w:sz w:val="28"/>
          <w:szCs w:val="28"/>
        </w:rPr>
        <w:t>、判决书字号</w:t>
      </w:r>
    </w:p>
    <w:p>
      <w:pPr>
        <w:ind w:firstLine="560" w:firstLineChars="200"/>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eastAsia="zh-CN"/>
        </w:rPr>
        <w:t>重庆市第三中级人民法院（</w:t>
      </w:r>
      <w:r>
        <w:rPr>
          <w:rFonts w:hint="eastAsia" w:ascii="Times New Roman" w:hAnsi="Times New Roman" w:eastAsia="仿宋" w:cs="Times New Roman"/>
          <w:sz w:val="28"/>
          <w:szCs w:val="28"/>
          <w:lang w:val="en-US" w:eastAsia="zh-CN"/>
        </w:rPr>
        <w:t>2020</w:t>
      </w:r>
      <w:r>
        <w:rPr>
          <w:rFonts w:hint="eastAsia" w:ascii="Times New Roman" w:hAnsi="Times New Roman" w:eastAsia="仿宋" w:cs="Times New Roman"/>
          <w:sz w:val="28"/>
          <w:szCs w:val="28"/>
          <w:lang w:eastAsia="zh-CN"/>
        </w:rPr>
        <w:t>）渝</w:t>
      </w:r>
      <w:r>
        <w:rPr>
          <w:rFonts w:hint="eastAsia" w:ascii="Times New Roman" w:hAnsi="Times New Roman" w:eastAsia="仿宋" w:cs="Times New Roman"/>
          <w:sz w:val="28"/>
          <w:szCs w:val="28"/>
          <w:lang w:val="en-US" w:eastAsia="zh-CN"/>
        </w:rPr>
        <w:t>03民终129号</w:t>
      </w:r>
    </w:p>
    <w:p>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w:t>
      </w:r>
      <w:r>
        <w:rPr>
          <w:rFonts w:ascii="Times New Roman" w:hAnsi="仿宋" w:eastAsia="仿宋" w:cs="Times New Roman"/>
          <w:sz w:val="28"/>
          <w:szCs w:val="28"/>
        </w:rPr>
        <w:t>、案由：</w:t>
      </w:r>
      <w:r>
        <w:rPr>
          <w:rFonts w:hint="eastAsia" w:asciiTheme="minorEastAsia" w:hAnsiTheme="minorEastAsia"/>
          <w:sz w:val="32"/>
          <w:szCs w:val="32"/>
          <w:lang w:eastAsia="zh-CN"/>
        </w:rPr>
        <w:t>公共场所管理人责任纠纷案</w:t>
      </w:r>
    </w:p>
    <w:p>
      <w:pPr>
        <w:ind w:firstLine="560" w:firstLineChars="200"/>
        <w:rPr>
          <w:rFonts w:hint="eastAsia" w:ascii="Times New Roman" w:hAnsi="Times New Roman" w:eastAsia="仿宋" w:cs="Times New Roman"/>
          <w:sz w:val="28"/>
          <w:szCs w:val="28"/>
          <w:lang w:eastAsia="zh-CN"/>
        </w:rPr>
      </w:pPr>
      <w:r>
        <w:rPr>
          <w:rFonts w:ascii="Times New Roman" w:hAnsi="Times New Roman" w:eastAsia="仿宋" w:cs="Times New Roman"/>
          <w:sz w:val="28"/>
          <w:szCs w:val="28"/>
        </w:rPr>
        <w:t>3</w:t>
      </w:r>
      <w:r>
        <w:rPr>
          <w:rFonts w:ascii="Times New Roman" w:hAnsi="仿宋" w:eastAsia="仿宋" w:cs="Times New Roman"/>
          <w:sz w:val="28"/>
          <w:szCs w:val="28"/>
        </w:rPr>
        <w:t>、</w:t>
      </w:r>
      <w:r>
        <w:rPr>
          <w:rFonts w:hint="eastAsia" w:ascii="Times New Roman" w:hAnsi="仿宋" w:eastAsia="仿宋" w:cs="Times New Roman"/>
          <w:sz w:val="28"/>
          <w:szCs w:val="28"/>
          <w:lang w:eastAsia="zh-CN"/>
        </w:rPr>
        <w:t>当事人</w:t>
      </w:r>
    </w:p>
    <w:p>
      <w:pPr>
        <w:spacing w:line="578"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原</w:t>
      </w:r>
      <w:r>
        <w:rPr>
          <w:rFonts w:hint="eastAsia" w:ascii="仿宋" w:hAnsi="仿宋" w:eastAsia="仿宋" w:cs="仿宋"/>
          <w:color w:val="000000"/>
          <w:sz w:val="32"/>
          <w:szCs w:val="32"/>
        </w:rPr>
        <w:t>告（上诉人）：</w:t>
      </w:r>
      <w:r>
        <w:rPr>
          <w:rFonts w:hint="eastAsia" w:ascii="仿宋" w:hAnsi="仿宋" w:eastAsia="仿宋" w:cs="仿宋"/>
          <w:color w:val="000000"/>
          <w:sz w:val="32"/>
          <w:szCs w:val="32"/>
          <w:lang w:eastAsia="zh-CN"/>
        </w:rPr>
        <w:t>邓某萍</w:t>
      </w:r>
      <w:r>
        <w:rPr>
          <w:rFonts w:hint="eastAsia" w:ascii="仿宋" w:hAnsi="仿宋" w:eastAsia="仿宋" w:cs="仿宋"/>
          <w:color w:val="000000"/>
          <w:sz w:val="32"/>
          <w:szCs w:val="32"/>
        </w:rPr>
        <w:t>。</w:t>
      </w:r>
    </w:p>
    <w:p>
      <w:pPr>
        <w:spacing w:line="578"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被</w:t>
      </w:r>
      <w:r>
        <w:rPr>
          <w:rFonts w:hint="eastAsia" w:ascii="仿宋" w:hAnsi="仿宋" w:eastAsia="仿宋" w:cs="仿宋"/>
          <w:color w:val="000000"/>
          <w:sz w:val="32"/>
          <w:szCs w:val="32"/>
        </w:rPr>
        <w:t>告（</w:t>
      </w:r>
      <w:r>
        <w:rPr>
          <w:rFonts w:hint="eastAsia" w:ascii="仿宋" w:hAnsi="仿宋" w:eastAsia="仿宋" w:cs="仿宋"/>
          <w:color w:val="000000"/>
          <w:sz w:val="32"/>
          <w:szCs w:val="32"/>
          <w:lang w:val="en-US" w:eastAsia="zh-CN"/>
        </w:rPr>
        <w:t>被</w:t>
      </w:r>
      <w:r>
        <w:rPr>
          <w:rFonts w:hint="eastAsia" w:ascii="仿宋" w:hAnsi="仿宋" w:eastAsia="仿宋" w:cs="仿宋"/>
          <w:color w:val="000000"/>
          <w:sz w:val="32"/>
          <w:szCs w:val="32"/>
        </w:rPr>
        <w:t>上诉人）：重庆嵩悦旅游有限公司</w:t>
      </w:r>
      <w:r>
        <w:rPr>
          <w:rFonts w:hint="eastAsia" w:ascii="仿宋" w:hAnsi="仿宋" w:eastAsia="仿宋" w:cs="仿宋"/>
          <w:color w:val="000000"/>
          <w:sz w:val="32"/>
          <w:szCs w:val="32"/>
          <w:lang w:eastAsia="zh-CN"/>
        </w:rPr>
        <w:t>。</w:t>
      </w:r>
    </w:p>
    <w:p>
      <w:pPr>
        <w:spacing w:line="578"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被</w:t>
      </w:r>
      <w:r>
        <w:rPr>
          <w:rFonts w:hint="eastAsia" w:ascii="仿宋" w:hAnsi="仿宋" w:eastAsia="仿宋" w:cs="仿宋"/>
          <w:color w:val="000000"/>
          <w:sz w:val="32"/>
          <w:szCs w:val="32"/>
        </w:rPr>
        <w:t>告（</w:t>
      </w:r>
      <w:r>
        <w:rPr>
          <w:rFonts w:hint="eastAsia" w:ascii="仿宋" w:hAnsi="仿宋" w:eastAsia="仿宋" w:cs="仿宋"/>
          <w:color w:val="000000"/>
          <w:sz w:val="32"/>
          <w:szCs w:val="32"/>
          <w:lang w:val="en-US" w:eastAsia="zh-CN"/>
        </w:rPr>
        <w:t>被</w:t>
      </w:r>
      <w:r>
        <w:rPr>
          <w:rFonts w:hint="eastAsia" w:ascii="仿宋" w:hAnsi="仿宋" w:eastAsia="仿宋" w:cs="仿宋"/>
          <w:color w:val="000000"/>
          <w:sz w:val="32"/>
          <w:szCs w:val="32"/>
        </w:rPr>
        <w:t>上诉人）：重庆枳江旅游有限公司。</w:t>
      </w:r>
    </w:p>
    <w:p>
      <w:pPr>
        <w:spacing w:line="578" w:lineRule="exact"/>
        <w:ind w:left="638" w:leftChars="304" w:firstLine="0" w:firstLineChars="0"/>
        <w:rPr>
          <w:rFonts w:hint="eastAsia" w:ascii="仿宋" w:hAnsi="仿宋" w:eastAsia="仿宋" w:cs="仿宋"/>
          <w:b w:val="0"/>
          <w:bCs w:val="0"/>
          <w:color w:val="000000"/>
          <w:sz w:val="32"/>
          <w:szCs w:val="32"/>
        </w:rPr>
      </w:pPr>
      <w:r>
        <w:rPr>
          <w:rFonts w:hint="eastAsia" w:ascii="仿宋" w:hAnsi="仿宋" w:eastAsia="仿宋" w:cs="仿宋"/>
          <w:color w:val="000000"/>
          <w:sz w:val="32"/>
          <w:szCs w:val="32"/>
          <w:lang w:val="en-US" w:eastAsia="zh-CN"/>
        </w:rPr>
        <w:t>被</w:t>
      </w:r>
      <w:r>
        <w:rPr>
          <w:rFonts w:hint="eastAsia" w:ascii="仿宋" w:hAnsi="仿宋" w:eastAsia="仿宋" w:cs="仿宋"/>
          <w:color w:val="000000"/>
          <w:sz w:val="32"/>
          <w:szCs w:val="32"/>
        </w:rPr>
        <w:t>告（</w:t>
      </w:r>
      <w:r>
        <w:rPr>
          <w:rFonts w:hint="eastAsia" w:ascii="仿宋" w:hAnsi="仿宋" w:eastAsia="仿宋" w:cs="仿宋"/>
          <w:color w:val="000000"/>
          <w:sz w:val="32"/>
          <w:szCs w:val="32"/>
          <w:lang w:val="en-US" w:eastAsia="zh-CN"/>
        </w:rPr>
        <w:t>被</w:t>
      </w:r>
      <w:r>
        <w:rPr>
          <w:rFonts w:hint="eastAsia" w:ascii="仿宋" w:hAnsi="仿宋" w:eastAsia="仿宋" w:cs="仿宋"/>
          <w:color w:val="000000"/>
          <w:sz w:val="32"/>
          <w:szCs w:val="32"/>
        </w:rPr>
        <w:t>上诉人）：</w:t>
      </w:r>
      <w:r>
        <w:rPr>
          <w:rFonts w:hint="eastAsia" w:ascii="仿宋" w:hAnsi="仿宋" w:eastAsia="仿宋" w:cs="仿宋"/>
          <w:b w:val="0"/>
          <w:bCs w:val="0"/>
          <w:color w:val="000000"/>
          <w:sz w:val="32"/>
          <w:szCs w:val="32"/>
        </w:rPr>
        <w:t>重庆微旅国际旅行社有限公司</w:t>
      </w:r>
      <w:r>
        <w:rPr>
          <w:rFonts w:hint="eastAsia" w:ascii="仿宋" w:hAnsi="仿宋" w:eastAsia="仿宋" w:cs="仿宋"/>
          <w:b w:val="0"/>
          <w:bCs w:val="0"/>
          <w:color w:val="000000"/>
          <w:sz w:val="32"/>
          <w:szCs w:val="32"/>
          <w:lang w:eastAsia="zh-CN"/>
        </w:rPr>
        <w:t>。</w:t>
      </w:r>
    </w:p>
    <w:p>
      <w:pPr>
        <w:spacing w:line="360" w:lineRule="auto"/>
        <w:ind w:firstLine="420" w:firstLineChars="150"/>
        <w:rPr>
          <w:rFonts w:ascii="Times New Roman" w:hAnsi="Times New Roman" w:eastAsia="仿宋" w:cs="Times New Roman"/>
          <w:sz w:val="28"/>
          <w:szCs w:val="28"/>
        </w:rPr>
      </w:pPr>
      <w:r>
        <w:rPr>
          <w:rFonts w:hint="default" w:ascii="Times New Roman" w:hAnsi="Times New Roman" w:eastAsia="仿宋" w:cs="Times New Roman"/>
          <w:sz w:val="28"/>
          <w:szCs w:val="28"/>
        </w:rPr>
        <w:t>[</w:t>
      </w:r>
      <w:r>
        <w:rPr>
          <w:rFonts w:hint="eastAsia" w:ascii="Times New Roman" w:hAnsi="Times New Roman" w:eastAsia="仿宋" w:cs="Times New Roman"/>
          <w:sz w:val="28"/>
          <w:szCs w:val="28"/>
          <w:lang w:eastAsia="zh-CN"/>
        </w:rPr>
        <w:t>基本案情</w:t>
      </w:r>
      <w:r>
        <w:rPr>
          <w:rFonts w:hint="default" w:ascii="Times New Roman" w:hAnsi="Times New Roman" w:eastAsia="仿宋" w:cs="Times New Roman"/>
          <w:sz w:val="28"/>
          <w:szCs w:val="28"/>
        </w:rPr>
        <w:t>]</w:t>
      </w:r>
    </w:p>
    <w:p>
      <w:pPr>
        <w:keepNext w:val="0"/>
        <w:keepLines w:val="0"/>
        <w:widowControl/>
        <w:suppressLineNumbers w:val="0"/>
        <w:ind w:firstLine="560" w:firstLineChars="200"/>
        <w:jc w:val="left"/>
      </w:pPr>
      <w:r>
        <w:rPr>
          <w:rFonts w:hint="default" w:ascii="Times New Roman" w:hAnsi="Times New Roman" w:eastAsia="仿宋" w:cs="Times New Roman"/>
          <w:color w:val="000000"/>
          <w:sz w:val="28"/>
          <w:szCs w:val="28"/>
        </w:rPr>
        <w:t>[</w:t>
      </w:r>
      <w:r>
        <w:rPr>
          <w:rFonts w:hint="eastAsia" w:ascii="仿宋" w:hAnsi="仿宋" w:eastAsia="仿宋" w:cs="SSJ-PK74820000a3c-Identity-H"/>
          <w:kern w:val="0"/>
          <w:sz w:val="32"/>
          <w:szCs w:val="32"/>
        </w:rPr>
        <w:t>2018年</w:t>
      </w:r>
      <w:r>
        <w:rPr>
          <w:rFonts w:hint="eastAsia" w:ascii="仿宋" w:hAnsi="仿宋" w:eastAsia="仿宋" w:cs="E-BZ9-PK74888-Identity-H"/>
          <w:kern w:val="0"/>
          <w:sz w:val="32"/>
          <w:szCs w:val="32"/>
        </w:rPr>
        <w:t>嵩悦公司决定举办“雪地跨年电音节”商业演出活动，时间为2018年12月31日19:00-24:00，地点：重庆市丰都县南天湖国际滑雪场</w:t>
      </w:r>
      <w:r>
        <w:rPr>
          <w:rFonts w:hint="eastAsia" w:ascii="仿宋" w:hAnsi="仿宋" w:eastAsia="仿宋" w:cs="H-SS9-PK74820000a48-Identity-H"/>
          <w:kern w:val="0"/>
          <w:sz w:val="32"/>
          <w:szCs w:val="32"/>
        </w:rPr>
        <w:t>。并在媒体上进行广泛宣传，宣传的广告用语为“DJ电音、雪地烤羊、篝火晚会、跨年烟花、夜场滑雪表演、浪漫雪地帐篷、小丑表演”。</w:t>
      </w:r>
      <w:r>
        <w:rPr>
          <w:rFonts w:hint="eastAsia" w:ascii="仿宋" w:hAnsi="仿宋" w:eastAsia="仿宋" w:cs="E-BZ9-PK74888-Identity-H"/>
          <w:kern w:val="0"/>
          <w:sz w:val="32"/>
          <w:szCs w:val="32"/>
        </w:rPr>
        <w:t>微旅公司协助办理该次商业旅游活动，并由其工作人员办理收取服务费用等事宜，在收取服务费时标明，68元一个人，含大巴车、换乘车、导服、保险、景区门票、看演出、戏雪、欣赏烟花表</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"javascript:;" \t "_self"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fldChar w:fldCharType="end"/>
      </w:r>
    </w:p>
    <w:p>
      <w:pPr>
        <w:keepNext w:val="0"/>
        <w:keepLines w:val="0"/>
        <w:widowControl/>
        <w:suppressLineNumbers w:val="0"/>
        <w:jc w:val="left"/>
      </w:pPr>
      <w:r>
        <w:rPr>
          <w:rFonts w:hint="eastAsia" w:ascii="仿宋" w:hAnsi="仿宋" w:eastAsia="仿宋" w:cs="E-BZ9-PK74888-Identity-H"/>
          <w:kern w:val="0"/>
          <w:sz w:val="32"/>
          <w:szCs w:val="32"/>
        </w:rPr>
        <w:t>演，免费品尝高山羊肉，小吃。</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lang w:eastAsia="zh-CN"/>
        </w:rPr>
        <w:t>邓某萍</w:t>
      </w:r>
      <w:r>
        <w:rPr>
          <w:rFonts w:hint="eastAsia" w:ascii="仿宋" w:hAnsi="仿宋" w:eastAsia="仿宋" w:cs="E-BZ9-PK74888-Identity-H"/>
          <w:kern w:val="0"/>
          <w:sz w:val="32"/>
          <w:szCs w:val="32"/>
        </w:rPr>
        <w:t>知晓该次活动后，</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"javascript:;" \t "_self"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fldChar w:fldCharType="end"/>
      </w:r>
    </w:p>
    <w:p>
      <w:pPr>
        <w:autoSpaceDE w:val="0"/>
        <w:autoSpaceDN w:val="0"/>
        <w:adjustRightInd w:val="0"/>
        <w:spacing w:line="560" w:lineRule="exact"/>
        <w:rPr>
          <w:rFonts w:ascii="仿宋" w:hAnsi="仿宋" w:eastAsia="仿宋" w:cs="E-BZ9-PK74888-Identity-H"/>
          <w:kern w:val="0"/>
          <w:sz w:val="32"/>
          <w:szCs w:val="32"/>
        </w:rPr>
      </w:pPr>
      <w:r>
        <w:rPr>
          <w:rFonts w:hint="eastAsia" w:ascii="仿宋" w:hAnsi="仿宋" w:eastAsia="仿宋" w:cs="E-BZ9-PK74888-Identity-H"/>
          <w:kern w:val="0"/>
          <w:sz w:val="32"/>
          <w:szCs w:val="32"/>
        </w:rPr>
        <w:t>支付了68元</w:t>
      </w:r>
      <w:r>
        <w:rPr>
          <w:rFonts w:hint="eastAsia" w:ascii="仿宋" w:hAnsi="仿宋" w:eastAsia="仿宋" w:cs="E-BZ9-PK74888-Identity-H"/>
          <w:kern w:val="0"/>
          <w:sz w:val="32"/>
          <w:szCs w:val="32"/>
          <w:lang w:eastAsia="zh-CN"/>
        </w:rPr>
        <w:t>费用后</w:t>
      </w:r>
      <w:r>
        <w:rPr>
          <w:rFonts w:hint="eastAsia" w:ascii="仿宋" w:hAnsi="仿宋" w:eastAsia="仿宋" w:cs="E-BZ9-PK74888-Identity-H"/>
          <w:kern w:val="0"/>
          <w:sz w:val="32"/>
          <w:szCs w:val="32"/>
        </w:rPr>
        <w:t>参与旅游活动。2018年12月31日，微旅公司按照与枳江公司的协议将交费参与的游客</w:t>
      </w:r>
      <w:r>
        <w:rPr>
          <w:rFonts w:hint="eastAsia" w:ascii="仿宋" w:hAnsi="仿宋" w:eastAsia="仿宋" w:cs="E-BZ9-PK74888-Identity-H"/>
          <w:kern w:val="0"/>
          <w:sz w:val="32"/>
          <w:szCs w:val="32"/>
          <w:lang w:eastAsia="zh-CN"/>
        </w:rPr>
        <w:t>邓某萍</w:t>
      </w:r>
      <w:r>
        <w:rPr>
          <w:rFonts w:hint="eastAsia" w:ascii="仿宋" w:hAnsi="仿宋" w:eastAsia="仿宋" w:cs="E-BZ9-PK74888-Identity-H"/>
          <w:kern w:val="0"/>
          <w:sz w:val="32"/>
          <w:szCs w:val="32"/>
        </w:rPr>
        <w:t>等多人交给枳江公司接待运送，2018年12月31日19:00许，枳江公司将</w:t>
      </w:r>
      <w:r>
        <w:rPr>
          <w:rFonts w:hint="eastAsia" w:ascii="仿宋" w:hAnsi="仿宋" w:eastAsia="仿宋" w:cs="E-BZ9-PK74888-Identity-H"/>
          <w:kern w:val="0"/>
          <w:sz w:val="32"/>
          <w:szCs w:val="32"/>
          <w:lang w:eastAsia="zh-CN"/>
        </w:rPr>
        <w:t>邓某萍</w:t>
      </w:r>
      <w:r>
        <w:rPr>
          <w:rFonts w:hint="eastAsia" w:ascii="仿宋" w:hAnsi="仿宋" w:eastAsia="仿宋" w:cs="E-BZ9-PK74888-Identity-H"/>
          <w:kern w:val="0"/>
          <w:sz w:val="32"/>
          <w:szCs w:val="32"/>
        </w:rPr>
        <w:t>等多人用大巴车运送到重庆市丰都县南天湖国际滑雪场，因尚未到20时30分开演时间，枳江公司决定此段时间为游客自由活动时间，</w:t>
      </w:r>
      <w:r>
        <w:rPr>
          <w:rFonts w:hint="eastAsia" w:ascii="仿宋" w:hAnsi="仿宋" w:eastAsia="仿宋" w:cs="E-BZ9-PK74888-Identity-H"/>
          <w:kern w:val="0"/>
          <w:sz w:val="32"/>
          <w:szCs w:val="32"/>
          <w:lang w:eastAsia="zh-CN"/>
        </w:rPr>
        <w:t>邓某萍</w:t>
      </w:r>
      <w:r>
        <w:rPr>
          <w:rFonts w:hint="eastAsia" w:ascii="仿宋" w:hAnsi="仿宋" w:eastAsia="仿宋" w:cs="E-BZ9-PK74888-Identity-H"/>
          <w:kern w:val="0"/>
          <w:sz w:val="32"/>
          <w:szCs w:val="32"/>
        </w:rPr>
        <w:t>见滑雪场入门关闭，但围栏有破损的缺口，夜色中有少量游客在滑雪，自己擅自决定从缺口处入场滑雪，入场后见没有滑雪板和工作人员，就自己寻找了防撞垫铺，开始滑雪，在滑雪的过程中，撞在滑雪场的铁柱上受伤，后被送往丰都县人民医院等住院治疗，诊断为鼻骨骨折，面部挫裂伤等，住院93天，花去住院医疗费及门诊医疗费共计37056.83元，其中原告</w:t>
      </w:r>
      <w:r>
        <w:rPr>
          <w:rFonts w:hint="eastAsia" w:ascii="仿宋" w:hAnsi="仿宋" w:eastAsia="仿宋" w:cs="E-BZ9-PK74888-Identity-H"/>
          <w:kern w:val="0"/>
          <w:sz w:val="32"/>
          <w:szCs w:val="32"/>
          <w:lang w:eastAsia="zh-CN"/>
        </w:rPr>
        <w:t>邓某萍</w:t>
      </w:r>
      <w:r>
        <w:rPr>
          <w:rFonts w:hint="eastAsia" w:ascii="仿宋" w:hAnsi="仿宋" w:eastAsia="仿宋" w:cs="E-BZ9-PK74888-Identity-H"/>
          <w:kern w:val="0"/>
          <w:sz w:val="32"/>
          <w:szCs w:val="32"/>
        </w:rPr>
        <w:t>支付医疗费等 5070元，被告微旅公司、枳江公司、嵩悦公司三被告共计支付医疗费31986.83元，护理费900元。原告</w:t>
      </w:r>
      <w:r>
        <w:rPr>
          <w:rFonts w:hint="eastAsia" w:ascii="仿宋" w:hAnsi="仿宋" w:eastAsia="仿宋" w:cs="E-BZ9-PK74888-Identity-H"/>
          <w:kern w:val="0"/>
          <w:sz w:val="32"/>
          <w:szCs w:val="32"/>
          <w:lang w:eastAsia="zh-CN"/>
        </w:rPr>
        <w:t>邓某萍</w:t>
      </w:r>
      <w:r>
        <w:rPr>
          <w:rFonts w:hint="eastAsia" w:ascii="仿宋" w:hAnsi="仿宋" w:eastAsia="仿宋" w:cs="E-BZ9-PK74888-Identity-H"/>
          <w:kern w:val="0"/>
          <w:sz w:val="32"/>
          <w:szCs w:val="32"/>
        </w:rPr>
        <w:t>的交通费发票计118.5元。2019年4月29日原告</w:t>
      </w:r>
      <w:r>
        <w:rPr>
          <w:rFonts w:hint="eastAsia" w:ascii="仿宋" w:hAnsi="仿宋" w:eastAsia="仿宋" w:cs="E-BZ9-PK74888-Identity-H"/>
          <w:kern w:val="0"/>
          <w:sz w:val="32"/>
          <w:szCs w:val="32"/>
          <w:lang w:eastAsia="zh-CN"/>
        </w:rPr>
        <w:t>邓某萍</w:t>
      </w:r>
      <w:r>
        <w:rPr>
          <w:rFonts w:hint="eastAsia" w:ascii="仿宋" w:hAnsi="仿宋" w:eastAsia="仿宋" w:cs="E-BZ9-PK74888-Identity-H"/>
          <w:kern w:val="0"/>
          <w:sz w:val="32"/>
          <w:szCs w:val="32"/>
        </w:rPr>
        <w:t>委托重庆市法医学会鉴定，2019年5月20日该所作出司法鉴定意见，意见为，误工期限为90日；护理期限60日；营养时限60日；续医费需10000元，原告</w:t>
      </w:r>
      <w:r>
        <w:rPr>
          <w:rFonts w:hint="eastAsia" w:ascii="仿宋" w:hAnsi="仿宋" w:eastAsia="仿宋" w:cs="E-BZ9-PK74888-Identity-H"/>
          <w:kern w:val="0"/>
          <w:sz w:val="32"/>
          <w:szCs w:val="32"/>
          <w:lang w:eastAsia="zh-CN"/>
        </w:rPr>
        <w:t>邓某萍</w:t>
      </w:r>
      <w:r>
        <w:rPr>
          <w:rFonts w:hint="eastAsia" w:ascii="仿宋" w:hAnsi="仿宋" w:eastAsia="仿宋" w:cs="E-BZ9-PK74888-Identity-H"/>
          <w:kern w:val="0"/>
          <w:sz w:val="32"/>
          <w:szCs w:val="32"/>
        </w:rPr>
        <w:t>支付鉴定费1670元。本案在审理过程中被告嵩悦公司申请对原告</w:t>
      </w:r>
      <w:r>
        <w:rPr>
          <w:rFonts w:hint="eastAsia" w:ascii="仿宋" w:hAnsi="仿宋" w:eastAsia="仿宋" w:cs="E-BZ9-PK74888-Identity-H"/>
          <w:kern w:val="0"/>
          <w:sz w:val="32"/>
          <w:szCs w:val="32"/>
          <w:lang w:eastAsia="zh-CN"/>
        </w:rPr>
        <w:t>邓某萍</w:t>
      </w:r>
      <w:r>
        <w:rPr>
          <w:rFonts w:hint="eastAsia" w:ascii="仿宋" w:hAnsi="仿宋" w:eastAsia="仿宋" w:cs="E-BZ9-PK74888-Identity-H"/>
          <w:kern w:val="0"/>
          <w:sz w:val="32"/>
          <w:szCs w:val="32"/>
        </w:rPr>
        <w:t>的续医费等事项重新鉴定，本院委托重庆法医验伤所对申请事项进行了重新鉴定，2019年9月27日该司法鉴定所作出司法鉴定意见，意见为1.</w:t>
      </w:r>
      <w:r>
        <w:rPr>
          <w:rFonts w:hint="eastAsia" w:ascii="仿宋" w:hAnsi="仿宋" w:eastAsia="仿宋" w:cs="E-BZ9-PK74888-Identity-H"/>
          <w:kern w:val="0"/>
          <w:sz w:val="32"/>
          <w:szCs w:val="32"/>
          <w:lang w:eastAsia="zh-CN"/>
        </w:rPr>
        <w:t>邓某萍</w:t>
      </w:r>
      <w:r>
        <w:rPr>
          <w:rFonts w:hint="eastAsia" w:ascii="仿宋" w:hAnsi="仿宋" w:eastAsia="仿宋" w:cs="E-BZ9-PK74888-Identity-H"/>
          <w:kern w:val="0"/>
          <w:sz w:val="32"/>
          <w:szCs w:val="32"/>
        </w:rPr>
        <w:t>鼻部后续治疗费用5000元左右；2.</w:t>
      </w:r>
      <w:r>
        <w:rPr>
          <w:rFonts w:hint="eastAsia" w:ascii="仿宋" w:hAnsi="仿宋" w:eastAsia="仿宋" w:cs="E-BZ9-PK74888-Identity-H"/>
          <w:kern w:val="0"/>
          <w:sz w:val="32"/>
          <w:szCs w:val="32"/>
          <w:lang w:eastAsia="zh-CN"/>
        </w:rPr>
        <w:t>邓某萍</w:t>
      </w:r>
      <w:r>
        <w:rPr>
          <w:rFonts w:hint="eastAsia" w:ascii="仿宋" w:hAnsi="仿宋" w:eastAsia="仿宋" w:cs="E-BZ9-PK74888-Identity-H"/>
          <w:kern w:val="0"/>
          <w:sz w:val="32"/>
          <w:szCs w:val="32"/>
        </w:rPr>
        <w:t>误工期限60-90日左右，护理30-60日，营养30-60日。嵩悦公司支付本次鉴定费2030元。</w:t>
      </w:r>
    </w:p>
    <w:p>
      <w:pPr>
        <w:autoSpaceDE w:val="0"/>
        <w:autoSpaceDN w:val="0"/>
        <w:adjustRightInd w:val="0"/>
        <w:spacing w:line="56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w:t>
      </w:r>
      <w:r>
        <w:rPr>
          <w:rFonts w:hint="eastAsia" w:ascii="黑体" w:hAnsi="黑体" w:eastAsia="黑体" w:cs="黑体"/>
          <w:kern w:val="0"/>
          <w:sz w:val="32"/>
          <w:szCs w:val="32"/>
          <w:lang w:eastAsia="zh-CN"/>
        </w:rPr>
        <w:t>案件焦点</w:t>
      </w:r>
      <w:r>
        <w:rPr>
          <w:rFonts w:hint="eastAsia" w:ascii="黑体" w:hAnsi="黑体" w:eastAsia="黑体" w:cs="黑体"/>
          <w:kern w:val="0"/>
          <w:sz w:val="32"/>
          <w:szCs w:val="32"/>
        </w:rPr>
        <w:t>]</w:t>
      </w:r>
    </w:p>
    <w:p>
      <w:pPr>
        <w:autoSpaceDE w:val="0"/>
        <w:autoSpaceDN w:val="0"/>
        <w:adjustRightInd w:val="0"/>
        <w:spacing w:line="560" w:lineRule="exact"/>
        <w:ind w:firstLine="640" w:firstLineChars="200"/>
        <w:rPr>
          <w:rFonts w:hint="eastAsia" w:asciiTheme="minorEastAsia" w:hAnsiTheme="minorEastAsia" w:cstheme="minorEastAsia"/>
          <w:kern w:val="0"/>
          <w:sz w:val="32"/>
          <w:szCs w:val="32"/>
          <w:lang w:eastAsia="zh-CN"/>
        </w:rPr>
      </w:pPr>
      <w:r>
        <w:rPr>
          <w:rFonts w:hint="eastAsia" w:asciiTheme="minorEastAsia" w:hAnsiTheme="minorEastAsia" w:cstheme="minorEastAsia"/>
          <w:kern w:val="0"/>
          <w:sz w:val="32"/>
          <w:szCs w:val="32"/>
          <w:lang w:eastAsia="zh-CN"/>
        </w:rPr>
        <w:t>多个旅游服务公司联合服务误导宣传，造成损害是否应承担共同侵权责任。</w:t>
      </w:r>
    </w:p>
    <w:p>
      <w:pPr>
        <w:autoSpaceDE w:val="0"/>
        <w:autoSpaceDN w:val="0"/>
        <w:adjustRightInd w:val="0"/>
        <w:spacing w:line="560" w:lineRule="exact"/>
        <w:ind w:firstLine="640" w:firstLineChars="200"/>
        <w:rPr>
          <w:rFonts w:hint="eastAsia" w:asciiTheme="minorEastAsia" w:hAnsiTheme="minorEastAsia" w:cstheme="minorEastAsia"/>
          <w:kern w:val="0"/>
          <w:sz w:val="32"/>
          <w:szCs w:val="32"/>
          <w:lang w:eastAsia="zh-CN"/>
        </w:rPr>
      </w:pPr>
      <w:r>
        <w:rPr>
          <w:rFonts w:hint="eastAsia" w:ascii="黑体" w:hAnsi="黑体" w:eastAsia="黑体" w:cs="黑体"/>
          <w:kern w:val="0"/>
          <w:sz w:val="32"/>
          <w:szCs w:val="32"/>
        </w:rPr>
        <w:t>[</w:t>
      </w:r>
      <w:r>
        <w:rPr>
          <w:rFonts w:hint="eastAsia" w:ascii="黑体" w:hAnsi="黑体" w:eastAsia="黑体" w:cs="黑体"/>
          <w:kern w:val="0"/>
          <w:sz w:val="32"/>
          <w:szCs w:val="32"/>
          <w:lang w:eastAsia="zh-CN"/>
        </w:rPr>
        <w:t>法院裁判要旨</w:t>
      </w:r>
      <w:r>
        <w:rPr>
          <w:rFonts w:hint="eastAsia" w:ascii="黑体" w:hAnsi="黑体" w:eastAsia="黑体" w:cs="黑体"/>
          <w:kern w:val="0"/>
          <w:sz w:val="32"/>
          <w:szCs w:val="32"/>
        </w:rPr>
        <w:t>]</w:t>
      </w:r>
    </w:p>
    <w:p>
      <w:pPr>
        <w:snapToGrid w:val="0"/>
        <w:spacing w:line="578"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olor w:val="000000"/>
          <w:sz w:val="32"/>
          <w:szCs w:val="32"/>
          <w:lang w:eastAsia="zh-CN"/>
        </w:rPr>
        <w:t>重庆市丰都县人民法院审理</w:t>
      </w:r>
      <w:r>
        <w:rPr>
          <w:rFonts w:hint="eastAsia" w:ascii="仿宋" w:hAnsi="仿宋" w:eastAsia="仿宋"/>
          <w:color w:val="000000"/>
          <w:sz w:val="32"/>
          <w:szCs w:val="32"/>
        </w:rPr>
        <w:t>认为，</w:t>
      </w:r>
      <w:r>
        <w:rPr>
          <w:rFonts w:hint="eastAsia" w:ascii="仿宋" w:hAnsi="仿宋" w:eastAsia="仿宋" w:cs="仿宋"/>
          <w:color w:val="000000"/>
          <w:sz w:val="32"/>
          <w:szCs w:val="32"/>
          <w:lang w:val="en-US" w:eastAsia="zh-CN"/>
        </w:rPr>
        <w:t>案件</w:t>
      </w:r>
      <w:r>
        <w:rPr>
          <w:rFonts w:hint="eastAsia" w:ascii="仿宋" w:hAnsi="仿宋" w:eastAsia="仿宋" w:cs="仿宋"/>
          <w:color w:val="000000"/>
          <w:sz w:val="32"/>
          <w:szCs w:val="32"/>
        </w:rPr>
        <w:t>争议的焦点是：</w:t>
      </w:r>
      <w:r>
        <w:rPr>
          <w:rFonts w:hint="eastAsia" w:ascii="仿宋" w:hAnsi="仿宋" w:eastAsia="仿宋" w:cs="仿宋"/>
          <w:color w:val="000000"/>
          <w:sz w:val="32"/>
          <w:szCs w:val="32"/>
          <w:lang w:val="en-US" w:eastAsia="zh-CN"/>
        </w:rPr>
        <w:t>1.责任主体及责任形态等问题；2.损失金额的确定等问题。</w:t>
      </w:r>
    </w:p>
    <w:p>
      <w:pPr>
        <w:snapToGrid w:val="0"/>
        <w:spacing w:line="578"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一、责任主体及责任形态等问题</w:t>
      </w:r>
    </w:p>
    <w:p>
      <w:pPr>
        <w:snapToGrid w:val="0"/>
        <w:spacing w:line="578"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嵩悦公司主办“DJ电音、雪地烤羊、篝火晚会、跨年烟花、夜场滑雪表演、浪漫雪地帐篷、小丑表演”商业集会活动，并进行广告宣传组织集会，该活动嵩悦公司依法对参与活动的游客有安全保障的义务，如实告知详细活动安全注意内容的义务。嵩悦公司在组织集会过程中未尽夜场滑雪表演及游客戏雪内容说明义务及安全保障义务，误导游客可滑雪，诱发</w:t>
      </w:r>
      <w:r>
        <w:rPr>
          <w:rFonts w:hint="eastAsia" w:ascii="仿宋" w:hAnsi="仿宋" w:eastAsia="仿宋" w:cs="仿宋"/>
          <w:color w:val="000000"/>
          <w:sz w:val="32"/>
          <w:szCs w:val="32"/>
          <w:lang w:eastAsia="zh-CN"/>
        </w:rPr>
        <w:t>邓某萍</w:t>
      </w:r>
      <w:r>
        <w:rPr>
          <w:rFonts w:hint="eastAsia" w:ascii="仿宋" w:hAnsi="仿宋" w:eastAsia="仿宋" w:cs="仿宋"/>
          <w:color w:val="000000"/>
          <w:sz w:val="32"/>
          <w:szCs w:val="32"/>
          <w:lang w:val="en-US" w:eastAsia="zh-CN"/>
        </w:rPr>
        <w:t>擅自从破损的拦网处进入滑雪场滑雪，以致撞倒受伤，嵩悦公司存在过失的过错行为，依法应当承担过错赔偿责任。微旅公司的工作人员，以微旅公司名义进行旅游服务销售活动，其行为属于协助嵩悦公司承办集会的职务行为，其工作人员在履行职务过程中存在未尽如实告知夜场滑雪表演及游客戏雪内容说明义务，误导游客可滑雪，以致</w:t>
      </w:r>
      <w:r>
        <w:rPr>
          <w:rFonts w:hint="eastAsia" w:ascii="仿宋" w:hAnsi="仿宋" w:eastAsia="仿宋" w:cs="仿宋"/>
          <w:color w:val="000000"/>
          <w:sz w:val="32"/>
          <w:szCs w:val="32"/>
          <w:lang w:eastAsia="zh-CN"/>
        </w:rPr>
        <w:t>邓某萍</w:t>
      </w:r>
      <w:r>
        <w:rPr>
          <w:rFonts w:hint="eastAsia" w:ascii="仿宋" w:hAnsi="仿宋" w:eastAsia="仿宋" w:cs="仿宋"/>
          <w:color w:val="000000"/>
          <w:sz w:val="32"/>
          <w:szCs w:val="32"/>
          <w:lang w:val="en-US" w:eastAsia="zh-CN"/>
        </w:rPr>
        <w:t>参与滑雪撞倒受伤，存在过失的过错责任，该责任依法应当由微旅公司承担。枳江公司在接受微旅公司委托，承担游客接待运输与游客自由活动的管理过程中，存在未尽如实告知夜场滑雪表演及游客戏雪内容说明义务，误导游客可滑雪，存在过失的过错责任，同时未对游客进行有效管理存在过失，依法应当承担过错赔偿责任。以上分析可知，嵩悦公司、微旅公司、枳江公司存在未尽安全保障义务的共同过失依法应当承担连带赔偿责任。</w:t>
      </w:r>
      <w:r>
        <w:rPr>
          <w:rFonts w:hint="eastAsia" w:ascii="仿宋" w:hAnsi="仿宋" w:eastAsia="仿宋" w:cs="仿宋"/>
          <w:color w:val="000000"/>
          <w:sz w:val="32"/>
          <w:szCs w:val="32"/>
          <w:lang w:eastAsia="zh-CN"/>
        </w:rPr>
        <w:t>邓某萍</w:t>
      </w:r>
      <w:r>
        <w:rPr>
          <w:rFonts w:hint="eastAsia" w:ascii="仿宋" w:hAnsi="仿宋" w:eastAsia="仿宋" w:cs="仿宋"/>
          <w:color w:val="000000"/>
          <w:sz w:val="32"/>
          <w:szCs w:val="32"/>
          <w:lang w:val="en-US" w:eastAsia="zh-CN"/>
        </w:rPr>
        <w:t>在滑雪过程中，明知晚上滑雪存在较大风险，同时在滑雪场未开放无安全保护的条件下，擅自从破损的围栏缺口处进入滑雪场滑雪，以致撞倒受伤，自己存在明显过错，应当承担民事责任。综上，以嵩悦公司、微旅公司、枳江公司共同承担</w:t>
      </w:r>
      <w:r>
        <w:rPr>
          <w:rFonts w:hint="eastAsia" w:ascii="仿宋" w:hAnsi="仿宋" w:eastAsia="仿宋" w:cs="仿宋"/>
          <w:color w:val="000000"/>
          <w:sz w:val="32"/>
          <w:szCs w:val="32"/>
          <w:lang w:eastAsia="zh-CN"/>
        </w:rPr>
        <w:t>邓某萍</w:t>
      </w:r>
      <w:r>
        <w:rPr>
          <w:rFonts w:hint="eastAsia" w:ascii="仿宋" w:hAnsi="仿宋" w:eastAsia="仿宋" w:cs="仿宋"/>
          <w:color w:val="000000"/>
          <w:sz w:val="32"/>
          <w:szCs w:val="32"/>
          <w:lang w:val="en-US" w:eastAsia="zh-CN"/>
        </w:rPr>
        <w:t>经济损失55%赔偿责任(其中嵩悦公司、枳江公司各负担20%，微旅公司负担15%赔偿责任)，</w:t>
      </w:r>
      <w:r>
        <w:rPr>
          <w:rFonts w:hint="eastAsia" w:ascii="仿宋" w:hAnsi="仿宋" w:eastAsia="仿宋" w:cs="仿宋"/>
          <w:color w:val="000000"/>
          <w:sz w:val="32"/>
          <w:szCs w:val="32"/>
          <w:lang w:eastAsia="zh-CN"/>
        </w:rPr>
        <w:t>邓某萍</w:t>
      </w:r>
      <w:r>
        <w:rPr>
          <w:rFonts w:hint="eastAsia" w:ascii="仿宋" w:hAnsi="仿宋" w:eastAsia="仿宋" w:cs="仿宋"/>
          <w:color w:val="000000"/>
          <w:sz w:val="32"/>
          <w:szCs w:val="32"/>
          <w:lang w:val="en-US" w:eastAsia="zh-CN"/>
        </w:rPr>
        <w:t>自己负担45%经济损失责任为宜。</w:t>
      </w:r>
    </w:p>
    <w:p>
      <w:pPr>
        <w:snapToGrid w:val="0"/>
        <w:spacing w:line="578"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二、损失金额的确定等问题</w:t>
      </w:r>
    </w:p>
    <w:p>
      <w:pPr>
        <w:snapToGrid w:val="0"/>
        <w:spacing w:line="578"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邓某萍的经济损失依法计算，1.医疗费据实计算为37056.83元；2.后续医疗费按重庆法医验伤司法鉴定意见确定为5000元；3.交通费为118.5元；4.住院伙食补助费计算为5580元（60元/天×93天）；5.误工费计算为9300元（100元/天×93天）；6.护理费计算为7200元（120元/天×60天）；7.营养费酌定为900元；8.鉴定费计1670元，以上共计66825.33元，嵩悦公司、微旅公司、枳江公司应共同赔偿的损失计算为36753.93元（66825.33元×55%），嵩悦公司、微旅公司、枳江公司实际共同赔偿的金额为，应赔偿的金额减已赔偿的金额，计算为3867.1元（36753.93元-31986.83元-900元）。嵩悦公司虽申请重新鉴定，但重新作出的司法鉴定意见对原司法鉴定意见未作实质性的改变，因此发生的鉴定费2030元属于扩大的损失，依法应由嵩悦公司负担。</w:t>
      </w:r>
    </w:p>
    <w:p>
      <w:pPr>
        <w:snapToGrid w:val="0"/>
        <w:spacing w:line="578"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lang w:val="en-US" w:eastAsia="zh-CN"/>
        </w:rPr>
        <w:t>综上所述，依照《中华人民共和国侵权责任法》第六条、第八条、第二十六条、第三十四条第一款、第三十七条、《中华人民共和国旅游法》第三十二条、第五十条第一款、第五十四条、第五十六条、第六十一条、第八十条、《最高人民法院关于审理人身损害赔偿案件适用法律若干问题的解释》第十七条第一款、第十九条、第二十条、第二十一条、第二十二条、第二十三条、第二十四条规定，判决：一、嵩悦公司、微旅公司、枳江公司在判决发生法律效力后10日内共同赔偿（连带）邓某萍经济损失3867.1元；二、驳回邓某萍的其余诉讼请求。案件受理费1972.64元，减半收取986.32元，由嵩悦公司、微旅公司、枳江公司各负担30元，邓某萍负担896.32元。</w:t>
      </w:r>
    </w:p>
    <w:p>
      <w:pPr>
        <w:snapToGrid w:val="0"/>
        <w:spacing w:line="578" w:lineRule="exact"/>
        <w:ind w:firstLine="640" w:firstLineChars="200"/>
        <w:rPr>
          <w:rFonts w:ascii="仿宋" w:hAnsi="仿宋" w:eastAsia="仿宋"/>
          <w:b w:val="0"/>
          <w:bCs/>
          <w:sz w:val="32"/>
          <w:szCs w:val="32"/>
        </w:rPr>
      </w:pPr>
      <w:r>
        <w:rPr>
          <w:rFonts w:hint="eastAsia" w:ascii="仿宋" w:hAnsi="仿宋" w:eastAsia="仿宋"/>
          <w:b w:val="0"/>
          <w:bCs/>
          <w:color w:val="000000"/>
          <w:sz w:val="32"/>
          <w:szCs w:val="32"/>
          <w:lang w:eastAsia="zh-CN"/>
        </w:rPr>
        <w:t>邓某萍不服一审判决，提出上诉</w:t>
      </w:r>
      <w:r>
        <w:rPr>
          <w:rFonts w:hint="eastAsia" w:ascii="仿宋" w:hAnsi="仿宋" w:eastAsia="仿宋"/>
          <w:b w:val="0"/>
          <w:bCs/>
          <w:color w:val="000000"/>
          <w:sz w:val="32"/>
          <w:szCs w:val="32"/>
        </w:rPr>
        <w:t>。</w:t>
      </w:r>
    </w:p>
    <w:p>
      <w:pPr>
        <w:snapToGrid w:val="0"/>
        <w:spacing w:line="578"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olor w:val="000000"/>
          <w:sz w:val="32"/>
          <w:szCs w:val="32"/>
          <w:lang w:eastAsia="zh-CN"/>
        </w:rPr>
        <w:t>重庆市第三中级人民法院</w:t>
      </w:r>
      <w:r>
        <w:rPr>
          <w:rFonts w:hint="eastAsia" w:ascii="仿宋" w:hAnsi="仿宋" w:eastAsia="仿宋"/>
          <w:color w:val="000000"/>
          <w:sz w:val="32"/>
          <w:szCs w:val="32"/>
        </w:rPr>
        <w:t>认为，当事人在二审中争议的焦点是：</w:t>
      </w:r>
      <w:r>
        <w:rPr>
          <w:rFonts w:hint="eastAsia" w:ascii="仿宋" w:hAnsi="仿宋" w:eastAsia="仿宋"/>
          <w:color w:val="000000"/>
          <w:sz w:val="32"/>
          <w:szCs w:val="32"/>
          <w:lang w:val="en-US" w:eastAsia="zh-CN"/>
        </w:rPr>
        <w:t>1.一审是否存在程序严重违法必须发回的情形；2.一审判决对</w:t>
      </w:r>
      <w:r>
        <w:rPr>
          <w:rFonts w:hint="eastAsia" w:ascii="仿宋" w:hAnsi="仿宋" w:eastAsia="仿宋" w:cs="仿宋"/>
          <w:color w:val="000000"/>
          <w:sz w:val="32"/>
          <w:szCs w:val="32"/>
        </w:rPr>
        <w:t>损失金额的确定</w:t>
      </w:r>
      <w:r>
        <w:rPr>
          <w:rFonts w:hint="eastAsia" w:ascii="仿宋" w:hAnsi="仿宋" w:eastAsia="仿宋" w:cs="仿宋"/>
          <w:color w:val="000000"/>
          <w:sz w:val="32"/>
          <w:szCs w:val="32"/>
          <w:lang w:val="en-US" w:eastAsia="zh-CN"/>
        </w:rPr>
        <w:t>及责任的划分是否正确。</w:t>
      </w:r>
    </w:p>
    <w:p>
      <w:pPr>
        <w:snapToGrid w:val="0"/>
        <w:spacing w:line="578"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一、一审是否存在程序严重违法必须发回的情形</w:t>
      </w:r>
    </w:p>
    <w:p>
      <w:pPr>
        <w:snapToGrid w:val="0"/>
        <w:spacing w:line="578" w:lineRule="exact"/>
        <w:ind w:firstLine="640" w:firstLineChars="200"/>
        <w:rPr>
          <w:rFonts w:hint="default" w:ascii="仿宋" w:hAnsi="仿宋" w:eastAsia="仿宋"/>
          <w:color w:val="000000"/>
          <w:sz w:val="32"/>
          <w:szCs w:val="32"/>
          <w:lang w:val="en-US" w:eastAsia="zh-CN"/>
        </w:rPr>
      </w:pPr>
      <w:r>
        <w:rPr>
          <w:rFonts w:hint="eastAsia" w:ascii="仿宋" w:hAnsi="仿宋" w:eastAsia="仿宋" w:cs="仿宋"/>
          <w:color w:val="000000"/>
          <w:sz w:val="32"/>
          <w:szCs w:val="32"/>
          <w:lang w:eastAsia="zh-CN"/>
        </w:rPr>
        <w:t>邓某萍认为一审适用简易程序审理，审理期限近</w:t>
      </w:r>
      <w:r>
        <w:rPr>
          <w:rFonts w:hint="eastAsia" w:ascii="仿宋" w:hAnsi="仿宋" w:eastAsia="仿宋" w:cs="仿宋"/>
          <w:color w:val="000000"/>
          <w:sz w:val="32"/>
          <w:szCs w:val="32"/>
          <w:lang w:val="en-US" w:eastAsia="zh-CN"/>
        </w:rPr>
        <w:t>6个月，属于审判组织不合法或者属于违法超审限。对此，本院经审查认为，由于一审中双方当事人对</w:t>
      </w:r>
      <w:r>
        <w:rPr>
          <w:rFonts w:hint="eastAsia" w:ascii="仿宋" w:hAnsi="仿宋" w:eastAsia="仿宋" w:cs="仿宋"/>
          <w:color w:val="000000"/>
          <w:sz w:val="32"/>
          <w:szCs w:val="32"/>
          <w:lang w:eastAsia="zh-CN"/>
        </w:rPr>
        <w:t>邓某萍的护理期、误工期、营养期和续医费等有争议，经</w:t>
      </w:r>
      <w:r>
        <w:rPr>
          <w:rFonts w:hint="eastAsia" w:ascii="仿宋" w:hAnsi="仿宋" w:eastAsia="仿宋" w:cs="仿宋"/>
          <w:color w:val="000000"/>
          <w:sz w:val="32"/>
          <w:szCs w:val="32"/>
          <w:lang w:val="en-US" w:eastAsia="zh-CN"/>
        </w:rPr>
        <w:t>嵩悦公司申请，一审法院依法组织双方进行鉴定。虽然鉴定意见书载明其受理日期为2019年8月6日，鉴定日期为2019年9月20日，出具报告时间为2019年9月27日，但该鉴定的申请时间为2019年7月17日，启动时间为2019年7月18日，实际结束时间为2019年10月25日。</w:t>
      </w:r>
      <w:r>
        <w:rPr>
          <w:rFonts w:hint="eastAsia" w:ascii="仿宋" w:hAnsi="仿宋" w:eastAsia="仿宋" w:cs="仿宋"/>
          <w:color w:val="000000"/>
          <w:sz w:val="32"/>
          <w:szCs w:val="32"/>
          <w:lang w:eastAsia="zh-CN"/>
        </w:rPr>
        <w:t>邓某萍认为鉴定时间只有一个多月，缺乏依据。</w:t>
      </w:r>
      <w:r>
        <w:rPr>
          <w:rFonts w:hint="eastAsia" w:ascii="仿宋" w:hAnsi="仿宋" w:eastAsia="仿宋" w:cs="仿宋"/>
          <w:color w:val="000000"/>
          <w:sz w:val="32"/>
          <w:szCs w:val="32"/>
          <w:lang w:val="en-US" w:eastAsia="zh-CN"/>
        </w:rPr>
        <w:t>一审法院适用简易程序审理，确实存在瑕疵，但就本案而言，并未影响案件实体审理，也未剥夺</w:t>
      </w:r>
      <w:r>
        <w:rPr>
          <w:rFonts w:hint="eastAsia" w:ascii="仿宋" w:hAnsi="仿宋" w:eastAsia="仿宋" w:cs="仿宋"/>
          <w:color w:val="000000"/>
          <w:sz w:val="32"/>
          <w:szCs w:val="32"/>
          <w:lang w:eastAsia="zh-CN"/>
        </w:rPr>
        <w:t>邓某萍的诉讼权利，</w:t>
      </w:r>
      <w:r>
        <w:rPr>
          <w:rFonts w:hint="eastAsia" w:ascii="仿宋" w:hAnsi="仿宋" w:eastAsia="仿宋" w:cs="仿宋"/>
          <w:color w:val="000000"/>
          <w:sz w:val="32"/>
          <w:szCs w:val="32"/>
          <w:lang w:val="en-US" w:eastAsia="zh-CN"/>
        </w:rPr>
        <w:t>不属于严重违反法定程序的情况，而且因此发回重审，不仅造成不必要的诉累，也不利于及时保护当事人的权益。故，本案不应作发回处理</w:t>
      </w:r>
      <w:r>
        <w:rPr>
          <w:rFonts w:hint="eastAsia" w:ascii="仿宋" w:hAnsi="仿宋" w:eastAsia="仿宋" w:cs="仿宋"/>
          <w:color w:val="000000"/>
          <w:sz w:val="32"/>
          <w:szCs w:val="32"/>
          <w:lang w:eastAsia="zh-CN"/>
        </w:rPr>
        <w:t>。</w:t>
      </w:r>
    </w:p>
    <w:p>
      <w:pPr>
        <w:snapToGrid w:val="0"/>
        <w:spacing w:line="578" w:lineRule="exact"/>
        <w:ind w:firstLine="640" w:firstLineChars="200"/>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二、一审判决对</w:t>
      </w:r>
      <w:r>
        <w:rPr>
          <w:rFonts w:hint="eastAsia" w:ascii="仿宋" w:hAnsi="仿宋" w:eastAsia="仿宋" w:cs="仿宋"/>
          <w:color w:val="000000"/>
          <w:sz w:val="32"/>
          <w:szCs w:val="32"/>
        </w:rPr>
        <w:t>损失金额的确定</w:t>
      </w:r>
      <w:r>
        <w:rPr>
          <w:rFonts w:hint="eastAsia" w:ascii="仿宋" w:hAnsi="仿宋" w:eastAsia="仿宋" w:cs="仿宋"/>
          <w:color w:val="000000"/>
          <w:sz w:val="32"/>
          <w:szCs w:val="32"/>
          <w:lang w:val="en-US" w:eastAsia="zh-CN"/>
        </w:rPr>
        <w:t>及责任的划分是否正确</w:t>
      </w:r>
    </w:p>
    <w:p>
      <w:pPr>
        <w:snapToGrid w:val="0"/>
        <w:spacing w:line="578" w:lineRule="exact"/>
        <w:ind w:firstLine="640" w:firstLineChars="200"/>
        <w:rPr>
          <w:rFonts w:hint="eastAsia" w:ascii="仿宋" w:hAnsi="仿宋" w:eastAsia="仿宋" w:cs="仿宋"/>
          <w:color w:val="000000"/>
          <w:sz w:val="32"/>
          <w:szCs w:val="32"/>
          <w:lang w:eastAsia="zh-CN"/>
        </w:rPr>
      </w:pPr>
      <w:r>
        <w:rPr>
          <w:rFonts w:hint="eastAsia" w:ascii="仿宋" w:hAnsi="仿宋" w:eastAsia="仿宋"/>
          <w:color w:val="000000"/>
          <w:sz w:val="32"/>
          <w:szCs w:val="32"/>
          <w:lang w:val="en-US" w:eastAsia="zh-CN"/>
        </w:rPr>
        <w:t>对于</w:t>
      </w:r>
      <w:r>
        <w:rPr>
          <w:rFonts w:hint="eastAsia" w:ascii="仿宋" w:hAnsi="仿宋" w:eastAsia="仿宋" w:cs="仿宋"/>
          <w:color w:val="000000"/>
          <w:sz w:val="32"/>
          <w:szCs w:val="32"/>
          <w:lang w:eastAsia="zh-CN"/>
        </w:rPr>
        <w:t>邓某萍提出的护理期限问题，《最高人民法院关于审理人身损害赔偿案件适用法律若干问题的解释》第二十一条第三款规定：“护理期限应计算至受害人恢复生活自理能力时止。”虽然邓某萍提交的病例材料等显示其前后共计住院</w:t>
      </w:r>
      <w:r>
        <w:rPr>
          <w:rFonts w:hint="eastAsia" w:ascii="仿宋" w:hAnsi="仿宋" w:eastAsia="仿宋" w:cs="仿宋"/>
          <w:color w:val="000000"/>
          <w:sz w:val="32"/>
          <w:szCs w:val="32"/>
          <w:lang w:val="en-US" w:eastAsia="zh-CN"/>
        </w:rPr>
        <w:t>93天，但经司法鉴定其护理期限为30至60日，一审判决参照鉴定结论确定护理期限为60日，并无不当，本院予以确认。对于一审法院组织双方重新鉴定时，</w:t>
      </w:r>
      <w:r>
        <w:rPr>
          <w:rFonts w:hint="eastAsia" w:ascii="仿宋" w:hAnsi="仿宋" w:eastAsia="仿宋" w:cs="仿宋"/>
          <w:color w:val="000000"/>
          <w:sz w:val="32"/>
          <w:szCs w:val="32"/>
          <w:lang w:eastAsia="zh-CN"/>
        </w:rPr>
        <w:t>邓某萍产生的费用，一审判决已经在相关的</w:t>
      </w:r>
      <w:r>
        <w:rPr>
          <w:rFonts w:hint="eastAsia" w:ascii="仿宋" w:hAnsi="仿宋" w:eastAsia="仿宋" w:cs="仿宋"/>
          <w:color w:val="000000"/>
          <w:sz w:val="32"/>
          <w:szCs w:val="32"/>
          <w:lang w:val="en-US" w:eastAsia="zh-CN"/>
        </w:rPr>
        <w:t>医疗费、交通费等已据实进行了处理，</w:t>
      </w:r>
      <w:r>
        <w:rPr>
          <w:rFonts w:hint="eastAsia" w:ascii="仿宋" w:hAnsi="仿宋" w:eastAsia="仿宋" w:cs="仿宋"/>
          <w:color w:val="000000"/>
          <w:sz w:val="32"/>
          <w:szCs w:val="32"/>
          <w:lang w:eastAsia="zh-CN"/>
        </w:rPr>
        <w:t>邓某萍认为未处理缺乏依据，对其该主张，本院不予支持。故，</w:t>
      </w:r>
      <w:r>
        <w:rPr>
          <w:rFonts w:hint="eastAsia" w:ascii="仿宋" w:hAnsi="仿宋" w:eastAsia="仿宋"/>
          <w:color w:val="000000"/>
          <w:sz w:val="32"/>
          <w:szCs w:val="32"/>
          <w:lang w:val="en-US" w:eastAsia="zh-CN"/>
        </w:rPr>
        <w:t>一审判决对</w:t>
      </w:r>
      <w:r>
        <w:rPr>
          <w:rFonts w:hint="eastAsia" w:ascii="仿宋" w:hAnsi="仿宋" w:eastAsia="仿宋" w:cs="仿宋"/>
          <w:color w:val="000000"/>
          <w:sz w:val="32"/>
          <w:szCs w:val="32"/>
        </w:rPr>
        <w:t>损失金额的确定</w:t>
      </w:r>
      <w:r>
        <w:rPr>
          <w:rFonts w:hint="eastAsia" w:ascii="仿宋" w:hAnsi="仿宋" w:eastAsia="仿宋" w:cs="仿宋"/>
          <w:color w:val="000000"/>
          <w:sz w:val="32"/>
          <w:szCs w:val="32"/>
          <w:lang w:eastAsia="zh-CN"/>
        </w:rPr>
        <w:t>，并无不当，本院予以确认。</w:t>
      </w:r>
    </w:p>
    <w:p>
      <w:pPr>
        <w:snapToGrid w:val="0"/>
        <w:spacing w:line="578" w:lineRule="exact"/>
        <w:ind w:firstLine="640" w:firstLineChars="200"/>
        <w:rPr>
          <w:rFonts w:hint="default" w:ascii="仿宋" w:hAnsi="仿宋" w:eastAsia="仿宋"/>
          <w:color w:val="000000"/>
          <w:sz w:val="32"/>
          <w:szCs w:val="32"/>
          <w:lang w:val="en-US" w:eastAsia="zh-CN"/>
        </w:rPr>
      </w:pPr>
      <w:r>
        <w:rPr>
          <w:rFonts w:hint="eastAsia" w:ascii="仿宋" w:hAnsi="仿宋" w:eastAsia="仿宋" w:cs="仿宋"/>
          <w:color w:val="000000"/>
          <w:sz w:val="32"/>
          <w:szCs w:val="32"/>
          <w:lang w:eastAsia="zh-CN"/>
        </w:rPr>
        <w:t>对责任划分问题。经审理查明，</w:t>
      </w:r>
      <w:r>
        <w:rPr>
          <w:rFonts w:hint="eastAsia" w:ascii="仿宋" w:hAnsi="仿宋" w:eastAsia="仿宋" w:cs="仿宋"/>
          <w:color w:val="000000"/>
          <w:sz w:val="32"/>
          <w:szCs w:val="32"/>
        </w:rPr>
        <w:t>嵩悦公司举办“雪地跨年电音节”商业演出活动，</w:t>
      </w:r>
      <w:r>
        <w:rPr>
          <w:rFonts w:hint="eastAsia" w:ascii="仿宋" w:hAnsi="仿宋" w:eastAsia="仿宋" w:cs="仿宋"/>
          <w:color w:val="000000"/>
          <w:sz w:val="32"/>
          <w:szCs w:val="32"/>
          <w:lang w:eastAsia="zh-CN"/>
        </w:rPr>
        <w:t>其</w:t>
      </w:r>
      <w:r>
        <w:rPr>
          <w:rFonts w:hint="eastAsia" w:ascii="仿宋" w:hAnsi="仿宋" w:eastAsia="仿宋" w:cs="仿宋"/>
          <w:color w:val="000000"/>
          <w:sz w:val="32"/>
          <w:szCs w:val="32"/>
        </w:rPr>
        <w:t>宣传的广告用语为“DJ电音、雪地烤羊、篝火晚会、跨年烟花、夜场滑雪表演、浪漫雪地帐篷、小丑表演”</w:t>
      </w:r>
      <w:r>
        <w:rPr>
          <w:rFonts w:hint="eastAsia" w:ascii="仿宋" w:hAnsi="仿宋" w:eastAsia="仿宋" w:cs="仿宋"/>
          <w:color w:val="000000"/>
          <w:sz w:val="32"/>
          <w:szCs w:val="32"/>
          <w:lang w:eastAsia="zh-CN"/>
        </w:rPr>
        <w:t>，并不包括游客亲身体验滑雪</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丰都县旅游执法大队就本次事故的调查报告，也明确运送旅客的车辆是</w:t>
      </w:r>
      <w:r>
        <w:rPr>
          <w:rFonts w:hint="eastAsia" w:ascii="仿宋" w:hAnsi="仿宋" w:eastAsia="仿宋" w:cs="仿宋"/>
          <w:color w:val="000000"/>
          <w:sz w:val="32"/>
          <w:szCs w:val="32"/>
          <w:lang w:val="en-US" w:eastAsia="zh-CN"/>
        </w:rPr>
        <w:t>19点左右到达南天湖国际滑雪场停车场，跨年冰雪晚会是20点后正式开始，以及</w:t>
      </w:r>
      <w:r>
        <w:rPr>
          <w:rFonts w:hint="eastAsia" w:ascii="仿宋" w:hAnsi="仿宋" w:eastAsia="仿宋" w:cs="仿宋"/>
          <w:color w:val="000000"/>
          <w:sz w:val="32"/>
          <w:szCs w:val="32"/>
          <w:lang w:eastAsia="zh-CN"/>
        </w:rPr>
        <w:t>邓某萍等进入滑雪场地，取下防撞垫铺在雪面滑雪不幸撞伤的经过。一审判决以</w:t>
      </w:r>
      <w:r>
        <w:rPr>
          <w:rFonts w:hint="eastAsia" w:ascii="仿宋" w:hAnsi="仿宋" w:eastAsia="仿宋" w:cs="仿宋"/>
          <w:color w:val="000000"/>
          <w:sz w:val="32"/>
          <w:szCs w:val="32"/>
        </w:rPr>
        <w:t>嵩悦公司</w:t>
      </w:r>
      <w:r>
        <w:rPr>
          <w:rFonts w:hint="eastAsia" w:ascii="仿宋" w:hAnsi="仿宋" w:eastAsia="仿宋" w:cs="仿宋"/>
          <w:color w:val="000000"/>
          <w:sz w:val="32"/>
          <w:szCs w:val="32"/>
          <w:lang w:eastAsia="zh-CN"/>
        </w:rPr>
        <w:t>未尽安全保障义务，</w:t>
      </w:r>
      <w:r>
        <w:rPr>
          <w:rFonts w:hint="eastAsia" w:ascii="仿宋" w:hAnsi="仿宋" w:eastAsia="仿宋" w:cs="仿宋"/>
          <w:color w:val="000000"/>
          <w:sz w:val="32"/>
          <w:szCs w:val="32"/>
          <w:lang w:val="en-US" w:eastAsia="zh-CN"/>
        </w:rPr>
        <w:t>微旅公司、枳江公司未尽说明义务等，确定嵩悦公司、枳江公司各负担20%，微旅公司负担15%赔偿责任，</w:t>
      </w:r>
      <w:r>
        <w:rPr>
          <w:rFonts w:hint="eastAsia" w:ascii="仿宋" w:hAnsi="仿宋" w:eastAsia="仿宋" w:cs="仿宋"/>
          <w:color w:val="000000"/>
          <w:sz w:val="32"/>
          <w:szCs w:val="32"/>
          <w:lang w:eastAsia="zh-CN"/>
        </w:rPr>
        <w:t>邓某萍</w:t>
      </w:r>
      <w:r>
        <w:rPr>
          <w:rFonts w:hint="eastAsia" w:ascii="仿宋" w:hAnsi="仿宋" w:eastAsia="仿宋" w:cs="仿宋"/>
          <w:color w:val="000000"/>
          <w:sz w:val="32"/>
          <w:szCs w:val="32"/>
          <w:lang w:val="en-US" w:eastAsia="zh-CN"/>
        </w:rPr>
        <w:t>存在明显过错，自身承担45%的责任，并无不当，本院予以确认。</w:t>
      </w:r>
      <w:r>
        <w:rPr>
          <w:rFonts w:hint="eastAsia" w:ascii="仿宋" w:hAnsi="仿宋" w:eastAsia="仿宋" w:cs="仿宋"/>
          <w:color w:val="000000"/>
          <w:sz w:val="32"/>
          <w:szCs w:val="32"/>
          <w:lang w:eastAsia="zh-CN"/>
        </w:rPr>
        <w:t>邓某萍的主张，缺乏依据，本院不予支持。</w:t>
      </w:r>
    </w:p>
    <w:p>
      <w:pPr>
        <w:snapToGrid w:val="0"/>
        <w:spacing w:line="578" w:lineRule="exact"/>
        <w:ind w:firstLine="640" w:firstLineChars="200"/>
        <w:rPr>
          <w:rFonts w:ascii="仿宋" w:hAnsi="仿宋" w:eastAsia="仿宋" w:cs="仿宋"/>
          <w:color w:val="000000"/>
          <w:sz w:val="32"/>
          <w:szCs w:val="32"/>
        </w:rPr>
      </w:pPr>
      <w:r>
        <w:rPr>
          <w:rFonts w:hint="eastAsia" w:ascii="仿宋" w:hAnsi="仿宋" w:eastAsia="仿宋"/>
          <w:color w:val="000000"/>
          <w:kern w:val="0"/>
          <w:sz w:val="32"/>
          <w:szCs w:val="32"/>
        </w:rPr>
        <w:t>综上所述，</w:t>
      </w:r>
      <w:r>
        <w:rPr>
          <w:rFonts w:hint="eastAsia" w:ascii="仿宋" w:hAnsi="仿宋" w:eastAsia="仿宋" w:cs="仿宋"/>
          <w:color w:val="000000"/>
          <w:sz w:val="32"/>
          <w:szCs w:val="32"/>
          <w:lang w:eastAsia="zh-CN"/>
        </w:rPr>
        <w:t>邓某萍</w:t>
      </w:r>
      <w:r>
        <w:rPr>
          <w:rFonts w:hint="eastAsia" w:ascii="仿宋" w:hAnsi="仿宋" w:eastAsia="仿宋" w:cs="仿宋"/>
          <w:color w:val="000000"/>
          <w:sz w:val="32"/>
          <w:szCs w:val="32"/>
        </w:rPr>
        <w:t>的上诉请求不能成立，应予驳回。一审判决认定事实清楚，适用法律</w:t>
      </w:r>
      <w:r>
        <w:rPr>
          <w:rFonts w:hint="eastAsia" w:ascii="仿宋" w:hAnsi="仿宋" w:eastAsia="仿宋" w:cs="仿宋"/>
          <w:color w:val="000000"/>
          <w:sz w:val="32"/>
          <w:szCs w:val="32"/>
          <w:lang w:eastAsia="zh-CN"/>
        </w:rPr>
        <w:t>正确，予以</w:t>
      </w:r>
      <w:r>
        <w:rPr>
          <w:rFonts w:hint="eastAsia" w:ascii="仿宋" w:hAnsi="仿宋" w:eastAsia="仿宋" w:cs="仿宋"/>
          <w:color w:val="000000"/>
          <w:sz w:val="32"/>
          <w:szCs w:val="32"/>
        </w:rPr>
        <w:t>维持。</w:t>
      </w:r>
      <w:r>
        <w:rPr>
          <w:rFonts w:hint="eastAsia" w:ascii="仿宋" w:hAnsi="仿宋" w:eastAsia="仿宋"/>
          <w:color w:val="000000"/>
          <w:kern w:val="0"/>
          <w:sz w:val="32"/>
          <w:szCs w:val="32"/>
        </w:rPr>
        <w:t>依照《中华人民共和国民事诉讼法》第一百七十条第一款第一项规定，判决如下：</w:t>
      </w:r>
    </w:p>
    <w:p>
      <w:pPr>
        <w:snapToGrid w:val="0"/>
        <w:spacing w:line="578" w:lineRule="exact"/>
        <w:ind w:firstLine="640" w:firstLineChars="200"/>
        <w:rPr>
          <w:rFonts w:ascii="仿宋" w:hAnsi="仿宋" w:eastAsia="仿宋" w:cs="仿宋"/>
          <w:color w:val="000000"/>
          <w:sz w:val="32"/>
          <w:szCs w:val="32"/>
        </w:rPr>
      </w:pPr>
      <w:r>
        <w:rPr>
          <w:rFonts w:hint="eastAsia" w:ascii="仿宋" w:hAnsi="仿宋" w:eastAsia="仿宋" w:cs="仿宋_GB2312"/>
          <w:color w:val="000000"/>
          <w:kern w:val="0"/>
          <w:sz w:val="32"/>
          <w:szCs w:val="32"/>
        </w:rPr>
        <w:t>驳回上诉，维持原判。</w:t>
      </w:r>
    </w:p>
    <w:p>
      <w:pPr>
        <w:autoSpaceDE w:val="0"/>
        <w:autoSpaceDN w:val="0"/>
        <w:adjustRightInd w:val="0"/>
        <w:spacing w:line="56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w:t>
      </w:r>
      <w:r>
        <w:rPr>
          <w:rFonts w:hint="eastAsia" w:ascii="黑体" w:hAnsi="黑体" w:eastAsia="黑体" w:cs="黑体"/>
          <w:kern w:val="0"/>
          <w:sz w:val="32"/>
          <w:szCs w:val="32"/>
          <w:lang w:eastAsia="zh-CN"/>
        </w:rPr>
        <w:t>法官后语</w:t>
      </w:r>
      <w:r>
        <w:rPr>
          <w:rFonts w:hint="eastAsia" w:ascii="黑体" w:hAnsi="黑体" w:eastAsia="黑体" w:cs="黑体"/>
          <w:kern w:val="0"/>
          <w:sz w:val="32"/>
          <w:szCs w:val="32"/>
        </w:rPr>
        <w:t>]</w:t>
      </w:r>
    </w:p>
    <w:p>
      <w:pPr>
        <w:autoSpaceDE w:val="0"/>
        <w:autoSpaceDN w:val="0"/>
        <w:adjustRightInd w:val="0"/>
        <w:spacing w:line="560" w:lineRule="exact"/>
        <w:ind w:firstLine="640" w:firstLineChars="200"/>
        <w:rPr>
          <w:rFonts w:hint="eastAsia" w:asciiTheme="minorEastAsia" w:hAnsiTheme="minorEastAsia" w:cstheme="minorEastAsia"/>
          <w:kern w:val="0"/>
          <w:sz w:val="32"/>
          <w:szCs w:val="32"/>
          <w:lang w:eastAsia="zh-CN"/>
        </w:rPr>
      </w:pPr>
      <w:r>
        <w:rPr>
          <w:rFonts w:hint="eastAsia" w:asciiTheme="minorEastAsia" w:hAnsiTheme="minorEastAsia" w:eastAsiaTheme="minorEastAsia" w:cstheme="minorEastAsia"/>
          <w:kern w:val="0"/>
          <w:sz w:val="32"/>
          <w:szCs w:val="32"/>
          <w:lang w:eastAsia="zh-CN"/>
        </w:rPr>
        <w:t>当今</w:t>
      </w:r>
      <w:r>
        <w:rPr>
          <w:rFonts w:hint="eastAsia" w:asciiTheme="minorEastAsia" w:hAnsiTheme="minorEastAsia" w:cstheme="minorEastAsia"/>
          <w:kern w:val="0"/>
          <w:sz w:val="32"/>
          <w:szCs w:val="32"/>
          <w:lang w:eastAsia="zh-CN"/>
        </w:rPr>
        <w:t>旅游服务业正如火如荼向一个新时代迈进，参与旅游享受大自然及人文景观的游客不断涌现，可也因管理等问题引发纠纷的案件越来越多，游客在旅游过程中受害就是其中的一类案件，该类案件的难点就是如何分清游客过错责任及旅游服务公司过错责任，对于单一旅游服务提供者而言分清游客责任与旅游服务单位或者个人责任相对较为容易，但是对于联合服务而言，划分旅游服务单位之间的责任大小及责任形态却比较困难，解决这一难题必须正确理解“共同侵权”理论构成。</w:t>
      </w:r>
    </w:p>
    <w:p>
      <w:pPr>
        <w:autoSpaceDE w:val="0"/>
        <w:autoSpaceDN w:val="0"/>
        <w:adjustRightInd w:val="0"/>
        <w:spacing w:line="560" w:lineRule="exact"/>
        <w:ind w:firstLine="640" w:firstLineChars="200"/>
        <w:rPr>
          <w:rFonts w:hint="eastAsia" w:asciiTheme="minorEastAsia" w:hAnsiTheme="minorEastAsia" w:cstheme="minorEastAsia"/>
          <w:kern w:val="0"/>
          <w:sz w:val="32"/>
          <w:szCs w:val="32"/>
          <w:lang w:val="en-US" w:eastAsia="zh-CN"/>
        </w:rPr>
      </w:pPr>
      <w:r>
        <w:rPr>
          <w:rFonts w:hint="eastAsia" w:asciiTheme="minorEastAsia" w:hAnsiTheme="minorEastAsia" w:cstheme="minorEastAsia"/>
          <w:kern w:val="0"/>
          <w:sz w:val="32"/>
          <w:szCs w:val="32"/>
          <w:lang w:eastAsia="zh-CN"/>
        </w:rPr>
        <w:t>共同侵权的理论构成。对于多数人侵权责任我国《侵权责任法》采取的不是，法国模式——由一般规定来处理，也不是意大利模式——规定多数人侵权责任的法律效果不规定构成要件，而是德国模式——规定多数人侵权责任的构成要件与法律效果。多数人侵权责任是承担按份责任或连带责任？解决这个难题关键在正确理解两种责任形态的构成要件与法律效果上。要厘清多数人侵权责任的形态，必须进行理论上的梳理，多数人无意思联络，也无损害结果上的关联，时空上无逻辑关联，多数人对自己的侵权行为承担各自的责任，在理论界和司法实务界无争议，这里不作讨论，但多数人的侵权行为存在“共同”的问题上，是主观共同或者客观损害结果关联即可，理论界和司法实践中争议很大，从理论上看，有主观说，该说认为共同侵权的侵权行为人为两人以上，两人在实施侵权时为故意且主观认识上存在意思联络，分工协作，结果上造成受害人损害，由此成立共同侵权，侵权人承担连带赔偿责任；二是客观说，该说认为，各加害人不需要意思联络，只要数人之行为客观上发生同一损害结果，即成立共同侵权行为；三是折中说，该说认为，判断共同侵权行为应从主客观两方面进行分析，主观上可以是故意，也可以是过失，客观上数个加害人的行为形成为一个整体，成为发生损害的原因即成为共同侵权；四是兼指说，该说认为，侵权行为人有意思联络，对多数人行为发生同一或不同一损害承担连带赔偿责任，对多数人虽无意思联络，但数人之行为客观上造成同一损害结果即成立共同侵权。以上学说，不难看出主观说，对于受害人而言难于举证，不利于对受害人的保护，客观说过于宽松，有违侵权责任法的“自己责任原则”，司法实践中容易将一些互不相关，无逻辑联系的行为纳入“共同”侵权行为中，让行为人负担过重，折中说实为客观说扩张，没有分清责任人的当然责任，兼指说相对而言吸收主观说，客观说，折中说的优点，被大陆法系多数国家所采纳。《德国民法典》第</w:t>
      </w:r>
      <w:r>
        <w:rPr>
          <w:rFonts w:hint="eastAsia" w:asciiTheme="minorEastAsia" w:hAnsiTheme="minorEastAsia" w:cstheme="minorEastAsia"/>
          <w:kern w:val="0"/>
          <w:sz w:val="32"/>
          <w:szCs w:val="32"/>
          <w:lang w:val="en-US" w:eastAsia="zh-CN"/>
        </w:rPr>
        <w:t>830条规定了有意思联络数人共同侵权的责任，</w:t>
      </w:r>
      <w:r>
        <w:rPr>
          <w:rFonts w:hint="eastAsia" w:asciiTheme="minorEastAsia" w:hAnsiTheme="minorEastAsia" w:cstheme="minorEastAsia"/>
          <w:kern w:val="0"/>
          <w:sz w:val="32"/>
          <w:szCs w:val="32"/>
          <w:lang w:eastAsia="zh-CN"/>
        </w:rPr>
        <w:t>第</w:t>
      </w:r>
      <w:r>
        <w:rPr>
          <w:rFonts w:hint="eastAsia" w:asciiTheme="minorEastAsia" w:hAnsiTheme="minorEastAsia" w:cstheme="minorEastAsia"/>
          <w:kern w:val="0"/>
          <w:sz w:val="32"/>
          <w:szCs w:val="32"/>
          <w:lang w:val="en-US" w:eastAsia="zh-CN"/>
        </w:rPr>
        <w:t>840条第1项规定，数人没有意思联络，对共同所生损害无法确定，各人负共同侵权的连带责任。日本及我国台湾地区在民法上均有类似的规定。我国《侵权责任法》第8、9、10分别规定“共同侵权行为”、“教唆、帮助行为”、“共同危险行为”及责任，第11、12条对行为关联共同的无意思联络数人的侵权责任，由此可以看出我国《侵权责任法》立法者对审判实务中扩大连带责任持谨慎的态度，一般以意思联络为共同侵权的原则，辅之以第11、12条规定情形为例外。共同侵权行为有四个构成要件，第一加害主体为复数；第二加害行为的协作性，该要件是指的共同性，即包加害人相互利用，彼此支持，相互配合；第三主观意思括共同故意，共同过失（仅指对损害的发生有共同的认识，但均有回避的自信）；第四损害结果的统一性，该要件指侵权行为人的行为造成的损害后果形成统一整体。符合以上四个要件构成共同侵权，对于共同侵权我国《侵权责任法》规定承担连带责任。</w:t>
      </w:r>
    </w:p>
    <w:p>
      <w:pPr>
        <w:autoSpaceDE w:val="0"/>
        <w:autoSpaceDN w:val="0"/>
        <w:adjustRightInd w:val="0"/>
        <w:spacing w:line="560" w:lineRule="exact"/>
        <w:ind w:firstLine="640" w:firstLineChars="200"/>
        <w:rPr>
          <w:rFonts w:hint="eastAsia" w:eastAsia="仿宋" w:asciiTheme="minorEastAsia" w:hAnsiTheme="minorEastAsia" w:cstheme="minorEastAsia"/>
          <w:kern w:val="0"/>
          <w:sz w:val="32"/>
          <w:szCs w:val="32"/>
          <w:lang w:val="en-US" w:eastAsia="zh-CN"/>
        </w:rPr>
      </w:pPr>
      <w:r>
        <w:rPr>
          <w:rFonts w:hint="eastAsia" w:asciiTheme="minorEastAsia" w:hAnsiTheme="minorEastAsia" w:cstheme="minorEastAsia"/>
          <w:kern w:val="0"/>
          <w:sz w:val="32"/>
          <w:szCs w:val="32"/>
          <w:lang w:val="en-US" w:eastAsia="zh-CN"/>
        </w:rPr>
        <w:t>契合案件的分析。</w:t>
      </w:r>
      <w:r>
        <w:rPr>
          <w:rFonts w:hint="eastAsia" w:ascii="仿宋" w:hAnsi="仿宋" w:eastAsia="仿宋" w:cs="仿宋"/>
          <w:color w:val="000000"/>
          <w:sz w:val="32"/>
          <w:szCs w:val="32"/>
        </w:rPr>
        <w:t>嵩悦公司举办“雪地跨年电音节”商业演出活动</w:t>
      </w:r>
      <w:r>
        <w:rPr>
          <w:rFonts w:hint="eastAsia" w:ascii="仿宋" w:hAnsi="仿宋" w:eastAsia="仿宋" w:cs="仿宋"/>
          <w:color w:val="000000"/>
          <w:sz w:val="32"/>
          <w:szCs w:val="32"/>
          <w:lang w:eastAsia="zh-CN"/>
        </w:rPr>
        <w:t>，其目的是招揽游客，扩大景区的影响力，增加景区收入。为了完成这一活动，</w:t>
      </w:r>
      <w:r>
        <w:rPr>
          <w:rFonts w:hint="eastAsia" w:ascii="仿宋" w:hAnsi="仿宋" w:eastAsia="仿宋" w:cs="仿宋"/>
          <w:color w:val="000000"/>
          <w:sz w:val="32"/>
          <w:szCs w:val="32"/>
          <w:lang w:val="en-US" w:eastAsia="zh-CN"/>
        </w:rPr>
        <w:t>枳江公司，微旅公司协助活动的开展，三家公司进行分工配合，微旅公司的工作是宣传及收取服务费用，枳江公司的工作是运输游客，</w:t>
      </w:r>
      <w:r>
        <w:rPr>
          <w:rFonts w:hint="eastAsia" w:ascii="仿宋" w:hAnsi="仿宋" w:eastAsia="仿宋" w:cs="仿宋"/>
          <w:color w:val="000000"/>
          <w:sz w:val="32"/>
          <w:szCs w:val="32"/>
        </w:rPr>
        <w:t>嵩悦公司</w:t>
      </w:r>
      <w:r>
        <w:rPr>
          <w:rFonts w:hint="eastAsia" w:ascii="仿宋" w:hAnsi="仿宋" w:eastAsia="仿宋" w:cs="仿宋"/>
          <w:color w:val="000000"/>
          <w:sz w:val="32"/>
          <w:szCs w:val="32"/>
          <w:lang w:eastAsia="zh-CN"/>
        </w:rPr>
        <w:t>的工作是组织相关的人员开展演出活动。从活动的整体看，三家公司有相互进行工作衔接，保障游客人身及财产安全的义务，不欺骗，隐瞒，误导游客的商业诚信义务，三家公司如果未尽义务造成游客损害应承担民事赔偿责任，但承担的是按分责任（自己责任）？或者是共同责任呢？必须考量行为内容的共同性，即侵权行为是否符合共同侵权的构成要件才能得出结论。从游客邓某萍发生事故的原因上看，是广告存在“戏雪”字样，邓某萍认为戏雪就是可以晚上滑雪，以致滑雪不慎摔倒受伤。戏雪是否包括自己可以滑雪，三家公司没有明确告诉游客，如不包括，三家公司均有明确解释的义务已达游客，产生游客自己对自己行为负责的效果，三家公司对这一广告用语存在可能误导游客，是知道或应当知道的，之所以不解释是为了追求激发游客兴趣的效果，但是对于游客因此而受到损害，并不是作为三家旅游服务公司希望的结果，因此三被告的行为符合共同侵权的第二个构成要件，</w:t>
      </w:r>
      <w:r>
        <w:rPr>
          <w:rFonts w:hint="eastAsia" w:asciiTheme="minorEastAsia" w:hAnsiTheme="minorEastAsia" w:cstheme="minorEastAsia"/>
          <w:kern w:val="0"/>
          <w:sz w:val="32"/>
          <w:szCs w:val="32"/>
          <w:lang w:val="en-US" w:eastAsia="zh-CN"/>
        </w:rPr>
        <w:t>加害行为的协作性，也符合第三构成要件，对损害的发生有共同的认识，但均有回避的自信。从损害发生的结果上看，导致原告邓某萍摔倒受伤与三被告行为具有因果关系的统一性，符合第四个构成要件，为此三被告构成共同侵权，应承担连带责任。</w:t>
      </w:r>
    </w:p>
    <w:p>
      <w:pPr>
        <w:spacing w:line="360" w:lineRule="auto"/>
        <w:ind w:firstLine="640" w:firstLineChars="200"/>
        <w:rPr>
          <w:rFonts w:hint="default" w:ascii="Times New Roman" w:hAnsi="仿宋" w:eastAsia="仿宋" w:cs="Times New Roman"/>
          <w:color w:val="000000"/>
          <w:sz w:val="32"/>
          <w:szCs w:val="32"/>
          <w:lang w:val="en-US" w:eastAsia="zh-CN"/>
        </w:rPr>
      </w:pPr>
      <w:r>
        <w:rPr>
          <w:rFonts w:ascii="Times New Roman" w:hAnsi="仿宋" w:eastAsia="仿宋" w:cs="Times New Roman"/>
          <w:color w:val="000000"/>
          <w:sz w:val="32"/>
          <w:szCs w:val="32"/>
        </w:rPr>
        <w:t>案例撰写人</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重庆市丰都县人民法院</w:t>
      </w:r>
      <w:r>
        <w:rPr>
          <w:rFonts w:hint="eastAsia" w:ascii="Times New Roman" w:hAnsi="仿宋" w:eastAsia="仿宋" w:cs="Times New Roman"/>
          <w:color w:val="000000"/>
          <w:sz w:val="32"/>
          <w:szCs w:val="32"/>
          <w:lang w:eastAsia="zh-CN"/>
        </w:rPr>
        <w:t>主审</w:t>
      </w:r>
      <w:r>
        <w:rPr>
          <w:rFonts w:ascii="Times New Roman" w:hAnsi="仿宋" w:eastAsia="仿宋" w:cs="Times New Roman"/>
          <w:color w:val="000000"/>
          <w:sz w:val="32"/>
          <w:szCs w:val="32"/>
        </w:rPr>
        <w:t>法官</w:t>
      </w:r>
      <w:r>
        <w:rPr>
          <w:rFonts w:ascii="Times New Roman" w:hAnsi="Times New Roman" w:eastAsia="仿宋" w:cs="Times New Roman"/>
          <w:color w:val="000000"/>
          <w:sz w:val="32"/>
          <w:szCs w:val="32"/>
        </w:rPr>
        <w:t xml:space="preserve"> </w:t>
      </w:r>
      <w:r>
        <w:rPr>
          <w:rFonts w:hint="eastAsia"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余孝安</w:t>
      </w:r>
      <w:bookmarkStart w:id="0" w:name="_GoBack"/>
      <w:bookmarkEnd w:id="0"/>
    </w:p>
    <w:p>
      <w:pPr>
        <w:spacing w:line="360" w:lineRule="auto"/>
        <w:ind w:firstLine="640" w:firstLineChars="200"/>
        <w:rPr>
          <w:rFonts w:hint="eastAsia" w:ascii="Times New Roman" w:hAnsi="仿宋" w:eastAsia="仿宋" w:cs="Times New Roman"/>
          <w:color w:val="000000"/>
          <w:sz w:val="32"/>
          <w:szCs w:val="32"/>
          <w:lang w:val="en-US" w:eastAsia="zh-CN"/>
        </w:rPr>
      </w:pPr>
      <w:r>
        <w:rPr>
          <w:rFonts w:hint="eastAsia" w:ascii="Times New Roman" w:hAnsi="仿宋" w:eastAsia="仿宋" w:cs="Times New Roman"/>
          <w:color w:val="000000"/>
          <w:sz w:val="32"/>
          <w:szCs w:val="32"/>
          <w:lang w:eastAsia="zh-CN"/>
        </w:rPr>
        <w:t>作者</w:t>
      </w:r>
      <w:r>
        <w:rPr>
          <w:rFonts w:hint="eastAsia" w:ascii="Times New Roman" w:hAnsi="仿宋" w:eastAsia="仿宋" w:cs="Times New Roman"/>
          <w:color w:val="000000"/>
          <w:sz w:val="32"/>
          <w:szCs w:val="32"/>
          <w:lang w:val="en-US" w:eastAsia="zh-CN"/>
        </w:rPr>
        <w:t xml:space="preserve"> </w:t>
      </w:r>
      <w:r>
        <w:rPr>
          <w:rFonts w:hint="eastAsia" w:ascii="Times New Roman" w:hAnsi="仿宋" w:eastAsia="仿宋" w:cs="Times New Roman"/>
          <w:color w:val="000000"/>
          <w:sz w:val="32"/>
          <w:szCs w:val="32"/>
          <w:lang w:eastAsia="zh-CN"/>
        </w:rPr>
        <w:t>余孝安</w:t>
      </w:r>
      <w:r>
        <w:rPr>
          <w:rFonts w:hint="eastAsia" w:ascii="Times New Roman" w:hAnsi="仿宋" w:eastAsia="仿宋" w:cs="Times New Roman"/>
          <w:color w:val="000000"/>
          <w:sz w:val="32"/>
          <w:szCs w:val="32"/>
          <w:lang w:val="en-US" w:eastAsia="zh-CN"/>
        </w:rPr>
        <w:t xml:space="preserve"> 丰都县法院，联系电话13372770237 ，身份证号码512324196508230437，邮政编码408200.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F259A"/>
    <w:rsid w:val="1C7463C7"/>
    <w:rsid w:val="24BD2B66"/>
    <w:rsid w:val="27632545"/>
    <w:rsid w:val="329F259A"/>
    <w:rsid w:val="36990571"/>
    <w:rsid w:val="38EE1A39"/>
    <w:rsid w:val="38EE757C"/>
    <w:rsid w:val="40B33C20"/>
    <w:rsid w:val="486D12BD"/>
    <w:rsid w:val="48C767E0"/>
    <w:rsid w:val="4EB06665"/>
    <w:rsid w:val="5FC26D6F"/>
    <w:rsid w:val="619D5293"/>
    <w:rsid w:val="62D47CC6"/>
    <w:rsid w:val="664F6381"/>
    <w:rsid w:val="679620A7"/>
    <w:rsid w:val="6A871954"/>
    <w:rsid w:val="6A8B6374"/>
    <w:rsid w:val="6A946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2020-05-03T01:17:00Z</dcterms:created>
  <dc:creator>Administrator</dc:creator>
  <cp:lastModifiedBy>Administrator</cp:lastModifiedBy>
  <dcterms:modified xsi:type="dcterms:W3CDTF">2020-05-08T15:15:24Z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