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方正小标宋_GBK" w:hAnsi="E-BZ9-PK74888-Identity-H" w:eastAsia="方正小标宋_GBK"/>
          <w:spacing w:val="80"/>
          <w:sz w:val="52"/>
          <w:szCs w:val="52"/>
        </w:rPr>
      </w:pPr>
      <w:r>
        <w:rPr>
          <w:rFonts w:hint="eastAsia" w:ascii="方正小标宋_GBK" w:hAnsi="E-BZ9-PK74888-Identity-H" w:eastAsia="方正小标宋_GBK"/>
          <w:spacing w:val="80"/>
          <w:sz w:val="52"/>
          <w:szCs w:val="52"/>
        </w:rPr>
        <w:t>重庆市丰都县人民法院</w:t>
      </w:r>
    </w:p>
    <w:p>
      <w:pPr>
        <w:spacing w:line="800" w:lineRule="exact"/>
        <w:jc w:val="center"/>
        <w:rPr>
          <w:rFonts w:hint="eastAsia" w:ascii="方正小标宋_GBK" w:hAnsi="E-BZ9-PK74888-Identity-H" w:eastAsia="方正小标宋_GBK"/>
          <w:spacing w:val="80"/>
          <w:sz w:val="52"/>
          <w:szCs w:val="52"/>
        </w:rPr>
      </w:pPr>
      <w:r>
        <w:rPr>
          <w:rFonts w:hint="eastAsia" w:ascii="方正小标宋_GBK" w:hAnsi="E-BZ9-PK74888-Identity-H" w:eastAsia="方正小标宋_GBK"/>
          <w:spacing w:val="80"/>
          <w:sz w:val="52"/>
          <w:szCs w:val="52"/>
        </w:rPr>
        <w:t>民事判决书</w:t>
      </w:r>
    </w:p>
    <w:p>
      <w:pPr>
        <w:spacing w:line="540" w:lineRule="exact"/>
        <w:jc w:val="left"/>
        <w:rPr>
          <w:rFonts w:ascii="仿宋" w:hAnsi="仿宋" w:eastAsia="仿宋"/>
          <w:sz w:val="32"/>
          <w:szCs w:val="32"/>
        </w:rPr>
      </w:pPr>
    </w:p>
    <w:p>
      <w:pPr>
        <w:spacing w:line="560" w:lineRule="exact"/>
        <w:ind w:right="420" w:rightChars="200"/>
        <w:jc w:val="right"/>
        <w:rPr>
          <w:rFonts w:ascii="仿宋" w:hAnsi="仿宋" w:eastAsia="仿宋"/>
          <w:sz w:val="32"/>
          <w:szCs w:val="32"/>
        </w:rPr>
      </w:pPr>
      <w:r>
        <w:rPr>
          <w:rFonts w:hint="eastAsia" w:ascii="仿宋" w:hAnsi="仿宋" w:eastAsia="仿宋"/>
          <w:sz w:val="32"/>
          <w:szCs w:val="32"/>
        </w:rPr>
        <w:t>(2019)渝0230民初3242号</w:t>
      </w:r>
    </w:p>
    <w:p>
      <w:pPr>
        <w:spacing w:line="560" w:lineRule="exact"/>
        <w:jc w:val="right"/>
        <w:rPr>
          <w:rFonts w:ascii="仿宋" w:hAnsi="仿宋" w:eastAsia="仿宋"/>
          <w:sz w:val="32"/>
          <w:szCs w:val="32"/>
        </w:rPr>
      </w:pP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原告：高秀平，男，1963年6月9日出生，汉族，居民，住重庆市丰都县三合街道商业二路289号3单元4-2，公民身份号码512324196306090018。</w:t>
      </w: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委托诉讼代理人：汤治强，重庆东龙律师事务所律师。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被告：重庆嵩悦旅游有限公司，住所地：重庆市丰都县仙女湖镇厢坝新农村建设1组团B3栋6号，统一社会信用代码91500230MA5U83BATP。</w:t>
      </w: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法定代表人：王嵩，总经理。</w:t>
      </w: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委托诉讼代理人：徐浩，上海江三角律师事务所律师。</w:t>
      </w: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委托诉讼代理人：朱喜林，上海江三角律师事务所律师。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被告：重庆枳江旅游有限公司，住所地：重庆市丰都县三合街道南西路四支路2号附5号2幢203号，统一社会信用代码91500230MA5YN5RM88。</w:t>
      </w: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法定代表人：彭智勇，经理。</w:t>
      </w: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委托诉讼代理人：胡武雄，重庆天宇三星律师事务所律师。</w:t>
      </w: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委托诉讼代理人：郎娟，重庆天宇三星律师事务所律师。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被告：重庆微旅国际旅行社有限公司，住所地：重庆渝中区沧白路商贸旅游大履永久国际大厦11楼，统一社会信用代码915001036664327581。</w:t>
      </w: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法定代表人：易娟，董事长。</w:t>
      </w: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委托诉讼代理人：沈凤鸽，重庆天宇三星律师事务所律师。</w:t>
      </w: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高秀平</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重庆嵩悦旅游有限公司、重庆微旅国际旅行社有限公司、重庆枳江旅游有限公司</w:t>
      </w:r>
      <w:r>
        <w:rPr>
          <w:rFonts w:hint="eastAsia" w:ascii="仿宋" w:hAnsi="仿宋" w:eastAsia="仿宋" w:cs="H-SS9-PK74820000a48-Identity-H"/>
          <w:kern w:val="0"/>
          <w:sz w:val="32"/>
          <w:szCs w:val="32"/>
        </w:rPr>
        <w:t>公共场所管理人责任纠纷</w:t>
      </w:r>
      <w:r>
        <w:rPr>
          <w:rFonts w:hint="eastAsia" w:ascii="仿宋" w:hAnsi="仿宋" w:eastAsia="仿宋" w:cs="SSJ-PK74820000a3c-Identity-H"/>
          <w:kern w:val="0"/>
          <w:sz w:val="32"/>
          <w:szCs w:val="32"/>
        </w:rPr>
        <w:t>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2019年6月13日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依法适用简易程序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高秀平及其委托诉讼代理人</w:t>
      </w:r>
      <w:r>
        <w:rPr>
          <w:rFonts w:hint="eastAsia" w:ascii="仿宋" w:hAnsi="仿宋" w:eastAsia="仿宋" w:cs="SSJ-PK74820000a3c-Identity-H"/>
          <w:kern w:val="0"/>
          <w:sz w:val="32"/>
          <w:szCs w:val="32"/>
        </w:rPr>
        <w:t>汤治强</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重庆嵩悦旅游有限公司的委托诉讼代理人</w:t>
      </w:r>
      <w:r>
        <w:rPr>
          <w:rFonts w:hint="eastAsia" w:ascii="仿宋" w:hAnsi="仿宋" w:eastAsia="仿宋" w:cs="SSJ-PK74820000a3c-Identity-H"/>
          <w:kern w:val="0"/>
          <w:sz w:val="32"/>
          <w:szCs w:val="32"/>
        </w:rPr>
        <w:t>徐浩及朱喜林</w:t>
      </w:r>
      <w:r>
        <w:rPr>
          <w:rFonts w:hint="eastAsia" w:ascii="仿宋" w:hAnsi="仿宋" w:eastAsia="仿宋" w:cs="E-BZ9-PK74888-Identity-H"/>
          <w:kern w:val="0"/>
          <w:sz w:val="32"/>
          <w:szCs w:val="32"/>
        </w:rPr>
        <w:t>、重庆微旅国际旅行社有限公司的委托诉讼代理人</w:t>
      </w:r>
      <w:r>
        <w:rPr>
          <w:rFonts w:hint="eastAsia" w:ascii="仿宋" w:hAnsi="仿宋" w:eastAsia="仿宋" w:cs="SSJ-PK74820000a3c-Identity-H"/>
          <w:kern w:val="0"/>
          <w:sz w:val="32"/>
          <w:szCs w:val="32"/>
        </w:rPr>
        <w:t>沈凤鸽</w:t>
      </w:r>
      <w:r>
        <w:rPr>
          <w:rFonts w:hint="eastAsia" w:ascii="仿宋" w:hAnsi="仿宋" w:eastAsia="仿宋" w:cs="E-BZ9-PK74888-Identity-H"/>
          <w:kern w:val="0"/>
          <w:sz w:val="32"/>
          <w:szCs w:val="32"/>
        </w:rPr>
        <w:t>、重庆枳江旅游有限公司的委托诉讼代理人</w:t>
      </w:r>
      <w:r>
        <w:rPr>
          <w:rFonts w:hint="eastAsia" w:ascii="仿宋" w:hAnsi="仿宋" w:eastAsia="仿宋" w:cs="SSJ-PK74820000a3c-Identity-H"/>
          <w:kern w:val="0"/>
          <w:sz w:val="32"/>
          <w:szCs w:val="32"/>
        </w:rPr>
        <w:t>胡武雄与郎娟到庭参加诉讼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spacing w:line="560" w:lineRule="exact"/>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高秀平</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：判令被告</w:t>
      </w:r>
      <w:r>
        <w:rPr>
          <w:rFonts w:hint="eastAsia" w:ascii="仿宋" w:hAnsi="仿宋" w:eastAsia="仿宋" w:cs="E-BZ9-PK74888-Identity-H"/>
          <w:kern w:val="0"/>
          <w:sz w:val="32"/>
          <w:szCs w:val="32"/>
        </w:rPr>
        <w:t>重庆嵩悦旅游有限公司、重庆微旅国际旅行社有限公司、重庆枳江旅游有限公司连带共同赔偿原告的医疗费、误工费、护理费、营养费等共计113651元</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：2018年12月31日晚，重庆</w:t>
      </w:r>
      <w:r>
        <w:rPr>
          <w:rFonts w:hint="eastAsia" w:ascii="仿宋" w:hAnsi="仿宋" w:eastAsia="仿宋" w:cs="E-BZ9-PK74888-Identity-H"/>
          <w:kern w:val="0"/>
          <w:sz w:val="32"/>
          <w:szCs w:val="32"/>
        </w:rPr>
        <w:t>重庆嵩悦旅游有限公司在丰都县南天湖滑雪场举办“雪地跨年电音节”活动，旅游项目每人68元（享重庆唯一滑雪夜场），重庆微旅国际旅行社有限公司的管理人员任丽与高秀平等旅游者联系前往</w:t>
      </w:r>
      <w:r>
        <w:rPr>
          <w:rFonts w:hint="eastAsia" w:ascii="仿宋" w:hAnsi="仿宋" w:eastAsia="仿宋" w:cs="H-SS9-PK74820000a48-Identity-H"/>
          <w:kern w:val="0"/>
          <w:sz w:val="32"/>
          <w:szCs w:val="32"/>
        </w:rPr>
        <w:t>。</w:t>
      </w:r>
      <w:r>
        <w:rPr>
          <w:rFonts w:hint="eastAsia" w:ascii="仿宋" w:hAnsi="仿宋" w:eastAsia="仿宋" w:cs="E-BZ9-PK74888-Identity-H"/>
          <w:kern w:val="0"/>
          <w:sz w:val="32"/>
          <w:szCs w:val="32"/>
        </w:rPr>
        <w:t>重庆微旅国际旅行社有限公司将游客交重庆枳江旅游有限公司接送，费用按二公司的协议办理。当晚8时30分许，高秀平在滑雪中撞在滑雪场的铁柱上受伤，后被送往丰都县人民医院住院治疗，诊断为鼻骨骨折，面部挫列伤等，住院38天出院，住院期间原告支付医疗费4416元，被告支付了部分医疗费。后经重庆市法医学会鉴定，误工期限为180日；护理期限90日；营养费90日；续医费需40000元，原告支付鉴定费1970元。综上所述，被告未履行告知及安全保障义务，依法应当承担赔偿责任，为此请求法院支持原告的诉讼请求。</w:t>
      </w:r>
    </w:p>
    <w:p>
      <w:pPr>
        <w:autoSpaceDE w:val="0"/>
        <w:autoSpaceDN w:val="0"/>
        <w:adjustRightInd w:val="0"/>
        <w:spacing w:line="560" w:lineRule="exact"/>
        <w:ind w:firstLine="640" w:firstLineChars="200"/>
        <w:rPr>
          <w:rFonts w:ascii="仿宋" w:hAnsi="仿宋" w:eastAsia="仿宋" w:cs="H-SS9-PK74820000a48-Identity-H"/>
          <w:kern w:val="0"/>
          <w:sz w:val="32"/>
          <w:szCs w:val="32"/>
        </w:rPr>
      </w:pPr>
      <w:r>
        <w:rPr>
          <w:rFonts w:hint="eastAsia" w:ascii="仿宋" w:hAnsi="仿宋" w:eastAsia="仿宋" w:cs="E-BZ9-PK74888-Identity-H"/>
          <w:kern w:val="0"/>
          <w:sz w:val="32"/>
          <w:szCs w:val="32"/>
        </w:rPr>
        <w:t>被告重庆嵩悦旅游有限公司</w:t>
      </w:r>
      <w:r>
        <w:rPr>
          <w:rFonts w:hint="eastAsia" w:ascii="仿宋" w:hAnsi="仿宋" w:eastAsia="仿宋" w:cs="SSJ-PK74820000a3c-Identity-H"/>
          <w:kern w:val="0"/>
          <w:sz w:val="32"/>
          <w:szCs w:val="32"/>
        </w:rPr>
        <w:t>(以下简称</w:t>
      </w:r>
      <w:r>
        <w:rPr>
          <w:rFonts w:hint="eastAsia" w:ascii="仿宋" w:hAnsi="仿宋" w:eastAsia="仿宋" w:cs="E-BZ9-PK74888-Identity-H"/>
          <w:kern w:val="0"/>
          <w:sz w:val="32"/>
          <w:szCs w:val="32"/>
        </w:rPr>
        <w:t>嵩悦公司</w:t>
      </w:r>
      <w:r>
        <w:rPr>
          <w:rFonts w:hint="eastAsia" w:ascii="仿宋" w:hAnsi="仿宋" w:eastAsia="仿宋" w:cs="SSJ-PK74820000a3c-Identity-H"/>
          <w:kern w:val="0"/>
          <w:sz w:val="32"/>
          <w:szCs w:val="32"/>
        </w:rPr>
        <w:t>)辩称</w:t>
      </w:r>
      <w:r>
        <w:rPr>
          <w:rFonts w:hint="eastAsia" w:ascii="仿宋" w:hAnsi="仿宋" w:eastAsia="仿宋" w:cs="H-SS9-PK74820000a48-Identity-H"/>
          <w:kern w:val="0"/>
          <w:sz w:val="32"/>
          <w:szCs w:val="32"/>
        </w:rPr>
        <w:t>，原告是因自己不当行为所导致的，应由原告自己承担民事责任，本被告系旅游辅助服务者，已尽了安全保障义务，不存在过错，不应当承担民事责任。</w:t>
      </w: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H-SS9-PK74820000a48-Identity-H"/>
          <w:kern w:val="0"/>
          <w:sz w:val="32"/>
          <w:szCs w:val="32"/>
        </w:rPr>
        <w:t>被告</w:t>
      </w:r>
      <w:r>
        <w:rPr>
          <w:rFonts w:hint="eastAsia" w:ascii="仿宋" w:hAnsi="仿宋" w:eastAsia="仿宋" w:cs="E-BZ9-PK74888-Identity-H"/>
          <w:kern w:val="0"/>
          <w:sz w:val="32"/>
          <w:szCs w:val="32"/>
        </w:rPr>
        <w:t>重庆微旅国际旅行社有限公司</w:t>
      </w:r>
      <w:r>
        <w:rPr>
          <w:rFonts w:hint="eastAsia" w:ascii="仿宋" w:hAnsi="仿宋" w:eastAsia="仿宋" w:cs="SSJ-PK74820000a3c-Identity-H"/>
          <w:kern w:val="0"/>
          <w:sz w:val="32"/>
          <w:szCs w:val="32"/>
        </w:rPr>
        <w:t>（以下简称</w:t>
      </w:r>
      <w:r>
        <w:rPr>
          <w:rFonts w:hint="eastAsia" w:ascii="仿宋" w:hAnsi="仿宋" w:eastAsia="仿宋" w:cs="E-BZ9-PK74888-Identity-H"/>
          <w:kern w:val="0"/>
          <w:sz w:val="32"/>
          <w:szCs w:val="32"/>
        </w:rPr>
        <w:t>微旅公司</w:t>
      </w:r>
      <w:r>
        <w:rPr>
          <w:rFonts w:hint="eastAsia" w:ascii="仿宋" w:hAnsi="仿宋" w:eastAsia="仿宋" w:cs="SSJ-PK74820000a3c-Identity-H"/>
          <w:kern w:val="0"/>
          <w:sz w:val="32"/>
          <w:szCs w:val="32"/>
        </w:rPr>
        <w:t>）辩称，本被告不是适格被告，不应当承担民事赔偿责任。</w:t>
      </w: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重庆枳江旅游有限公司（以下简称枳江公司）辩称，本被告是负责接送到指定地点，已尽了义务，且原告受伤，系其自己行为导致，为此本被告不应当承担民事责任。</w:t>
      </w:r>
    </w:p>
    <w:p>
      <w:pPr>
        <w:autoSpaceDE w:val="0"/>
        <w:autoSpaceDN w:val="0"/>
        <w:adjustRightInd w:val="0"/>
        <w:spacing w:line="560" w:lineRule="exact"/>
        <w:ind w:firstLine="640" w:firstLineChars="200"/>
        <w:rPr>
          <w:rFonts w:ascii="仿宋" w:hAnsi="仿宋" w:eastAsia="仿宋" w:cs="E-BZ9-PK74888-Identity-H"/>
          <w:kern w:val="0"/>
          <w:sz w:val="32"/>
          <w:szCs w:val="32"/>
        </w:rPr>
      </w:pPr>
      <w:r>
        <w:rPr>
          <w:rFonts w:hint="eastAsia" w:ascii="仿宋" w:hAnsi="仿宋" w:eastAsia="仿宋" w:cs="SSJ-PK74820000a3c-Identity-H"/>
          <w:kern w:val="0"/>
          <w:sz w:val="32"/>
          <w:szCs w:val="32"/>
        </w:rPr>
        <w:t>本院经审理认定事实如下：2018年</w:t>
      </w:r>
      <w:r>
        <w:rPr>
          <w:rFonts w:hint="eastAsia" w:ascii="仿宋" w:hAnsi="仿宋" w:eastAsia="仿宋" w:cs="E-BZ9-PK74888-Identity-H"/>
          <w:kern w:val="0"/>
          <w:sz w:val="32"/>
          <w:szCs w:val="32"/>
        </w:rPr>
        <w:t>嵩悦公司决定举办“雪地跨年电音节”商业演出活动，时间为2018年12月31日19:00-24:00，地点：重庆市丰都县南天湖国际滑雪场</w:t>
      </w:r>
      <w:r>
        <w:rPr>
          <w:rFonts w:hint="eastAsia" w:ascii="仿宋" w:hAnsi="仿宋" w:eastAsia="仿宋" w:cs="H-SS9-PK74820000a48-Identity-H"/>
          <w:kern w:val="0"/>
          <w:sz w:val="32"/>
          <w:szCs w:val="32"/>
        </w:rPr>
        <w:t>。并在媒体上进行广泛宣传，宣传的广告用语为“DJ电音、雪地烤羊、篝火晚会、跨年烟花、夜场滑雪表演、浪漫雪地帐篷、小丑表演”。</w:t>
      </w:r>
      <w:r>
        <w:rPr>
          <w:rFonts w:hint="eastAsia" w:ascii="仿宋" w:hAnsi="仿宋" w:eastAsia="仿宋" w:cs="E-BZ9-PK74888-Identity-H"/>
          <w:kern w:val="0"/>
          <w:sz w:val="32"/>
          <w:szCs w:val="32"/>
        </w:rPr>
        <w:t>微旅公司协助办理该次商业旅游活动，并由其工作人员办理收取服务费用等事宜，在收取服务费时标明，68元一个人，含大巴车、换乘车、导服、保险、景区门票、看演出、戏雪、欣赏烟花表演，免费品尝高山羊肉，小吃。</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高秀平知晓该次活动后，支付了68元参与旅游活动。2018年12月31日，微旅公司按照与枳江公司的协议将交费参与的游客高秀平等多人交给枳江公司接待运送，2018年12月31日19:00许，枳江公司将高秀平等多人用大巴车运送到重庆市丰都县南天湖国际滑雪场，因尚未到20时30分开演时间，枳江公司决定此段时间为游客自由活动时间，高秀平见滑雪场入门关闭，但围栏有破损的缺口，夜色中有少量游客在滑雪，自己擅自决定从缺口处入场滑雪，入场后见没有滑雪板和工作人员，就自己寻找了防撞垫铺，开始滑雪，在滑雪的过程中，撞在滑雪场的铁柱上受伤，后被送往丰都县人民医院等住院治疗，诊断为鼻骨骨折，面部挫裂伤等，住院38天出院，住院期间花去住院医疗费及门诊医疗费共计32299.76元，其中原告支付医疗费等 5188.20元，被告微旅公司、枳江公司、嵩悦公司三被告共计支付医疗费27111.56元，护理费900元。原告高秀平的住宿费及交通费发票计846元（其中部分发票不能与相应时间相吻合）。2019年4月29日原告高秀平委托重庆市法医学会鉴定，2019年5月20日该所作出司法鉴定意见，意见为，1.误工期限为180日，护理期限为90日，营养时限90日；2.续医费需40000元。原告高秀平支付鉴定费1970元。本案在审理过程中被告嵩悦公司申请对原告高秀平的续医费等事项重新鉴定，本院委托重庆法医验伤所对申请事项进行了重新鉴定，2019年9月27日该司法鉴定所作出司法鉴定意见，意见为1.高秀平鼻部后续治疗费用10000元左右，面部修复约需12000元左右，左踝关节可行康复治疗，费用以临床治疗为准；2.高秀平误工期限120-180日左右，护理30-60日，营养时限60-90日。嵩悦公司支付鉴定费2230元。</w:t>
      </w:r>
    </w:p>
    <w:p>
      <w:pPr>
        <w:autoSpaceDE w:val="0"/>
        <w:autoSpaceDN w:val="0"/>
        <w:adjustRightInd w:val="0"/>
        <w:spacing w:line="560" w:lineRule="exact"/>
        <w:ind w:firstLine="640" w:firstLineChars="200"/>
        <w:rPr>
          <w:rFonts w:ascii="仿宋" w:hAnsi="仿宋" w:eastAsia="仿宋" w:cs="E-BZ9-PK74888-Identity-H"/>
          <w:kern w:val="0"/>
          <w:sz w:val="32"/>
          <w:szCs w:val="32"/>
        </w:rPr>
      </w:pPr>
      <w:r>
        <w:rPr>
          <w:rFonts w:hint="eastAsia" w:ascii="仿宋" w:hAnsi="仿宋" w:eastAsia="仿宋" w:cs="E-BZ9-PK74888-Identity-H"/>
          <w:kern w:val="0"/>
          <w:sz w:val="32"/>
          <w:szCs w:val="32"/>
        </w:rPr>
        <w:t>上述事实有当事人的陈述、营业执照、委托协议、宣传单、调查报告、微信记录、照片、病历记录、医疗费发票、司法鉴定意见书等证据，并经庭审举证、质证、认证予以确认。</w:t>
      </w:r>
    </w:p>
    <w:p>
      <w:pPr>
        <w:autoSpaceDE w:val="0"/>
        <w:autoSpaceDN w:val="0"/>
        <w:adjustRightInd w:val="0"/>
        <w:spacing w:line="560" w:lineRule="exact"/>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，原被告争议的焦点是：一、责任主体及责任形态等问题；二、损失金额的确定等问题。</w:t>
      </w:r>
    </w:p>
    <w:p>
      <w:pPr>
        <w:numPr>
          <w:ilvl w:val="0"/>
          <w:numId w:val="1"/>
        </w:numPr>
        <w:autoSpaceDE w:val="0"/>
        <w:autoSpaceDN w:val="0"/>
        <w:adjustRightInd w:val="0"/>
        <w:spacing w:line="560" w:lineRule="exact"/>
        <w:ind w:firstLine="640" w:firstLineChars="200"/>
        <w:rPr>
          <w:rFonts w:ascii="仿宋" w:hAnsi="仿宋" w:eastAsia="仿宋" w:cs="E-BZ9-PK74888-Identity-H"/>
          <w:kern w:val="0"/>
          <w:sz w:val="32"/>
          <w:szCs w:val="32"/>
        </w:rPr>
      </w:pPr>
      <w:r>
        <w:rPr>
          <w:rFonts w:hint="eastAsia" w:ascii="仿宋" w:hAnsi="仿宋" w:eastAsia="仿宋" w:cs="H-SS9-PK74820000a48-Identity-H"/>
          <w:kern w:val="0"/>
          <w:sz w:val="32"/>
          <w:szCs w:val="32"/>
        </w:rPr>
        <w:t>责任主体及责任形态等问题。</w:t>
      </w:r>
      <w:r>
        <w:rPr>
          <w:rFonts w:hint="eastAsia" w:ascii="仿宋" w:hAnsi="仿宋" w:eastAsia="仿宋" w:cs="E-BZ9-PK74888-Identity-H"/>
          <w:kern w:val="0"/>
          <w:sz w:val="32"/>
          <w:szCs w:val="32"/>
        </w:rPr>
        <w:t>被告嵩悦公司主办</w:t>
      </w:r>
      <w:r>
        <w:rPr>
          <w:rFonts w:hint="eastAsia" w:ascii="仿宋" w:hAnsi="仿宋" w:eastAsia="仿宋" w:cs="H-SS9-PK74820000a48-Identity-H"/>
          <w:kern w:val="0"/>
          <w:sz w:val="32"/>
          <w:szCs w:val="32"/>
        </w:rPr>
        <w:t>“DJ电音、雪地烤羊、篝火晚会、跨年烟花、夜场滑雪表演、浪漫雪地帐篷、小丑表演”商业集会活动，并进行广告宣传组织集会，该活动</w:t>
      </w:r>
      <w:r>
        <w:rPr>
          <w:rFonts w:hint="eastAsia" w:ascii="仿宋" w:hAnsi="仿宋" w:eastAsia="仿宋" w:cs="E-BZ9-PK74888-Identity-H"/>
          <w:kern w:val="0"/>
          <w:sz w:val="32"/>
          <w:szCs w:val="32"/>
        </w:rPr>
        <w:t>被告嵩悦公司依法对参与活动的游客有安全保障的义务，如实告知详细活动安全注意内容的义务。被告嵩悦公司在组织集会过程中未尽</w:t>
      </w:r>
      <w:r>
        <w:rPr>
          <w:rFonts w:hint="eastAsia" w:ascii="仿宋" w:hAnsi="仿宋" w:eastAsia="仿宋" w:cs="H-SS9-PK74820000a48-Identity-H"/>
          <w:kern w:val="0"/>
          <w:sz w:val="32"/>
          <w:szCs w:val="32"/>
        </w:rPr>
        <w:t>夜场滑雪表演及游客戏雪内容说明义务及保障义务，误导游客可滑雪，诱发原告擅自从破损的围栏处进入滑雪场滑雪，以致撞倒受伤，</w:t>
      </w:r>
      <w:r>
        <w:rPr>
          <w:rFonts w:hint="eastAsia" w:ascii="仿宋" w:hAnsi="仿宋" w:eastAsia="仿宋" w:cs="E-BZ9-PK74888-Identity-H"/>
          <w:kern w:val="0"/>
          <w:sz w:val="32"/>
          <w:szCs w:val="32"/>
        </w:rPr>
        <w:t>被告嵩悦公司存在过失的过错行为，依法应当承担过错赔偿责任。被告微旅公司的工作人员，以微旅公司名义进行旅游服务销售活动，其行为属于协助被告嵩悦公司承办集会的职务行为，其工作人员在履行职务过程中存在未尽如实告知</w:t>
      </w:r>
      <w:r>
        <w:rPr>
          <w:rFonts w:hint="eastAsia" w:ascii="仿宋" w:hAnsi="仿宋" w:eastAsia="仿宋" w:cs="H-SS9-PK74820000a48-Identity-H"/>
          <w:kern w:val="0"/>
          <w:sz w:val="32"/>
          <w:szCs w:val="32"/>
        </w:rPr>
        <w:t>夜场滑雪表演及游客戏雪内容说明义务的过错，误导游客可滑雪，以致原告参与滑雪撞倒受伤，存在过失的过错责任，该</w:t>
      </w:r>
      <w:r>
        <w:rPr>
          <w:rFonts w:hint="eastAsia" w:ascii="仿宋" w:hAnsi="仿宋" w:eastAsia="仿宋" w:cs="E-BZ9-PK74888-Identity-H"/>
          <w:kern w:val="0"/>
          <w:sz w:val="32"/>
          <w:szCs w:val="32"/>
        </w:rPr>
        <w:t>责任依法应当由被告微旅公司承担。被告枳江公司在接受微旅公司委托，承担游客接待运输与游客自由活动的管理过程中，存在未如实告知</w:t>
      </w:r>
      <w:r>
        <w:rPr>
          <w:rFonts w:hint="eastAsia" w:ascii="仿宋" w:hAnsi="仿宋" w:eastAsia="仿宋" w:cs="H-SS9-PK74820000a48-Identity-H"/>
          <w:kern w:val="0"/>
          <w:sz w:val="32"/>
          <w:szCs w:val="32"/>
        </w:rPr>
        <w:t>夜场滑雪表演及游客戏雪内容说明义务的过错，误导游客可滑雪，存在过失的过错责任，同时未对游客进行有效管理存在过失，依法应当承担过错赔偿责任。以上分析可知，被告</w:t>
      </w:r>
      <w:r>
        <w:rPr>
          <w:rFonts w:hint="eastAsia" w:ascii="仿宋" w:hAnsi="仿宋" w:eastAsia="仿宋" w:cs="E-BZ9-PK74888-Identity-H"/>
          <w:kern w:val="0"/>
          <w:sz w:val="32"/>
          <w:szCs w:val="32"/>
        </w:rPr>
        <w:t>嵩悦公司、微旅公司、枳江公司存在未尽安全保障义务的共同过失依法应当承担连带赔偿责任。原告高秀平在滑雪过程中，明知晚上滑雪存在较大风险，同时在滑雪场未开放无安全保护的条件下，擅自从破损的围栏缺口处进入滑雪场滑雪，以致撞倒受伤，自己存在明显过错，应当承担民事责任。综上，以被告嵩悦公司、微旅公司、枳江公司共同承担原告经济损失55%赔偿责任（其中被告嵩悦公司、枳江公司各负担20%，被告微旅公司负担15%赔偿责任），原告高秀平自己负担45%经济损失责任为宜。</w:t>
      </w:r>
    </w:p>
    <w:p>
      <w:pPr>
        <w:autoSpaceDE w:val="0"/>
        <w:autoSpaceDN w:val="0"/>
        <w:adjustRightInd w:val="0"/>
        <w:spacing w:line="560" w:lineRule="exact"/>
        <w:ind w:firstLine="640" w:firstLineChars="200"/>
        <w:rPr>
          <w:rFonts w:ascii="仿宋" w:hAnsi="仿宋" w:eastAsia="仿宋" w:cs="E-BZ9-PK74888-Identity-H"/>
          <w:kern w:val="0"/>
          <w:sz w:val="32"/>
          <w:szCs w:val="32"/>
        </w:rPr>
      </w:pPr>
      <w:r>
        <w:rPr>
          <w:rFonts w:hint="eastAsia" w:ascii="仿宋" w:hAnsi="仿宋" w:eastAsia="仿宋" w:cs="H-SS9-PK74820000a48-Identity-H"/>
          <w:kern w:val="0"/>
          <w:sz w:val="32"/>
          <w:szCs w:val="32"/>
        </w:rPr>
        <w:t>二、损失金额的确定等问题。</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高秀平的经济损失依法计算，1.医疗费据实计算为32299.76元；2.后续医疗费按重庆法医验伤司法鉴定意见确定为22000元；3.交通及住宿费酌定为700元；4.住院伙食补助费计算为</w:t>
      </w:r>
      <w:r>
        <w:rPr>
          <w:rFonts w:ascii="Arial" w:hAnsi="Arial" w:eastAsia="仿宋" w:cs="Arial"/>
          <w:kern w:val="0"/>
          <w:sz w:val="32"/>
          <w:szCs w:val="32"/>
        </w:rPr>
        <w:t>60</w:t>
      </w:r>
      <w:r>
        <w:rPr>
          <w:rFonts w:hint="eastAsia" w:ascii="Arial" w:hAnsi="Arial" w:eastAsia="仿宋" w:cs="Arial"/>
          <w:kern w:val="0"/>
          <w:sz w:val="32"/>
          <w:szCs w:val="32"/>
        </w:rPr>
        <w:t>元</w:t>
      </w:r>
      <w:r>
        <w:rPr>
          <w:rFonts w:ascii="Arial" w:hAnsi="Arial" w:eastAsia="仿宋" w:cs="Arial"/>
          <w:kern w:val="0"/>
          <w:sz w:val="32"/>
          <w:szCs w:val="32"/>
        </w:rPr>
        <w:t>/</w:t>
      </w:r>
      <w:r>
        <w:rPr>
          <w:rFonts w:hint="eastAsia" w:ascii="Arial" w:hAnsi="Arial" w:eastAsia="仿宋" w:cs="Arial"/>
          <w:kern w:val="0"/>
          <w:sz w:val="32"/>
          <w:szCs w:val="32"/>
        </w:rPr>
        <w:t>天</w:t>
      </w:r>
      <w:r>
        <w:rPr>
          <w:rFonts w:ascii="Arial" w:hAnsi="Arial" w:eastAsia="仿宋" w:cs="Arial"/>
          <w:kern w:val="0"/>
          <w:sz w:val="32"/>
          <w:szCs w:val="32"/>
        </w:rPr>
        <w:t>×</w:t>
      </w:r>
      <w:r>
        <w:rPr>
          <w:rFonts w:hint="eastAsia" w:ascii="Arial" w:hAnsi="Arial" w:eastAsia="仿宋" w:cs="Arial"/>
          <w:kern w:val="0"/>
          <w:sz w:val="32"/>
          <w:szCs w:val="32"/>
        </w:rPr>
        <w:t>38天=2280元；5.误工费计算为100元/天</w:t>
      </w:r>
      <w:r>
        <w:rPr>
          <w:rFonts w:ascii="Arial" w:hAnsi="Arial" w:eastAsia="仿宋" w:cs="Arial"/>
          <w:kern w:val="0"/>
          <w:sz w:val="32"/>
          <w:szCs w:val="32"/>
        </w:rPr>
        <w:t>×</w:t>
      </w:r>
      <w:r>
        <w:rPr>
          <w:rFonts w:hint="eastAsia" w:ascii="Arial" w:hAnsi="Arial" w:eastAsia="仿宋" w:cs="Arial"/>
          <w:kern w:val="0"/>
          <w:sz w:val="32"/>
          <w:szCs w:val="32"/>
        </w:rPr>
        <w:t>180天=18000元；6.护理费计算为，住院期间护理费</w:t>
      </w:r>
      <w:r>
        <w:rPr>
          <w:rFonts w:hint="eastAsia" w:ascii="宋体" w:hAnsi="宋体" w:cs="宋体"/>
          <w:kern w:val="0"/>
          <w:sz w:val="32"/>
          <w:szCs w:val="32"/>
        </w:rPr>
        <w:t>＋</w:t>
      </w:r>
      <w:r>
        <w:rPr>
          <w:rFonts w:hint="eastAsia" w:ascii="Arial" w:hAnsi="Arial" w:eastAsia="仿宋" w:cs="Arial"/>
          <w:kern w:val="0"/>
          <w:sz w:val="32"/>
          <w:szCs w:val="32"/>
        </w:rPr>
        <w:t>出院期间护理费=120元/天</w:t>
      </w:r>
      <w:r>
        <w:rPr>
          <w:rFonts w:ascii="Arial" w:hAnsi="Arial" w:eastAsia="仿宋" w:cs="Arial"/>
          <w:kern w:val="0"/>
          <w:sz w:val="32"/>
          <w:szCs w:val="32"/>
        </w:rPr>
        <w:t>×</w:t>
      </w:r>
      <w:r>
        <w:rPr>
          <w:rFonts w:hint="eastAsia" w:ascii="Arial" w:hAnsi="Arial" w:eastAsia="仿宋" w:cs="Arial"/>
          <w:kern w:val="0"/>
          <w:sz w:val="32"/>
          <w:szCs w:val="32"/>
        </w:rPr>
        <w:t>38天+120元/天</w:t>
      </w:r>
      <w:r>
        <w:rPr>
          <w:rFonts w:ascii="Arial" w:hAnsi="Arial" w:eastAsia="仿宋" w:cs="Arial"/>
          <w:kern w:val="0"/>
          <w:sz w:val="32"/>
          <w:szCs w:val="32"/>
        </w:rPr>
        <w:t>×</w:t>
      </w:r>
      <w:r>
        <w:rPr>
          <w:rFonts w:hint="eastAsia" w:ascii="Arial" w:hAnsi="Arial" w:eastAsia="仿宋" w:cs="Arial"/>
          <w:kern w:val="0"/>
          <w:sz w:val="32"/>
          <w:szCs w:val="32"/>
        </w:rPr>
        <w:t>22天</w:t>
      </w:r>
      <w:r>
        <w:rPr>
          <w:rFonts w:ascii="Arial" w:hAnsi="Arial" w:eastAsia="仿宋" w:cs="Arial"/>
          <w:kern w:val="0"/>
          <w:sz w:val="32"/>
          <w:szCs w:val="32"/>
        </w:rPr>
        <w:t>×</w:t>
      </w:r>
      <w:r>
        <w:rPr>
          <w:rFonts w:hint="eastAsia" w:ascii="Arial" w:hAnsi="Arial" w:eastAsia="仿宋" w:cs="Arial"/>
          <w:kern w:val="0"/>
          <w:sz w:val="32"/>
          <w:szCs w:val="32"/>
        </w:rPr>
        <w:t>50%=5880元；7.营养费酌定为1200元；8.鉴定费共计1970元，以上共计84329.76元，</w:t>
      </w:r>
      <w:r>
        <w:rPr>
          <w:rFonts w:hint="eastAsia" w:ascii="仿宋" w:hAnsi="仿宋" w:eastAsia="仿宋" w:cs="E-BZ9-PK74888-Identity-H"/>
          <w:kern w:val="0"/>
          <w:sz w:val="32"/>
          <w:szCs w:val="32"/>
        </w:rPr>
        <w:t>被告嵩悦公司、微旅公司、枳江公司应共同赔偿的损失计算为</w:t>
      </w:r>
      <w:r>
        <w:rPr>
          <w:rFonts w:hint="eastAsia" w:ascii="Arial" w:hAnsi="Arial" w:eastAsia="仿宋" w:cs="Arial"/>
          <w:kern w:val="0"/>
          <w:sz w:val="32"/>
          <w:szCs w:val="32"/>
        </w:rPr>
        <w:t>84329.76元</w:t>
      </w:r>
      <w:r>
        <w:rPr>
          <w:rFonts w:ascii="Arial" w:hAnsi="Arial" w:eastAsia="仿宋" w:cs="Arial"/>
          <w:kern w:val="0"/>
          <w:sz w:val="32"/>
          <w:szCs w:val="32"/>
        </w:rPr>
        <w:t>×</w:t>
      </w:r>
      <w:r>
        <w:rPr>
          <w:rFonts w:hint="eastAsia" w:ascii="Arial" w:hAnsi="Arial" w:eastAsia="仿宋" w:cs="Arial"/>
          <w:kern w:val="0"/>
          <w:sz w:val="32"/>
          <w:szCs w:val="32"/>
        </w:rPr>
        <w:t>55%=46381.37元，</w:t>
      </w:r>
      <w:r>
        <w:rPr>
          <w:rFonts w:hint="eastAsia" w:ascii="仿宋" w:hAnsi="仿宋" w:eastAsia="仿宋" w:cs="E-BZ9-PK74888-Identity-H"/>
          <w:kern w:val="0"/>
          <w:sz w:val="32"/>
          <w:szCs w:val="32"/>
        </w:rPr>
        <w:t>被告嵩悦公司、微旅公司、枳江公司实际赔偿的金额为，应赔偿的金额</w:t>
      </w:r>
      <w:r>
        <w:rPr>
          <w:rFonts w:hint="eastAsia" w:ascii="Arial" w:hAnsi="Arial" w:eastAsia="仿宋" w:cs="Arial"/>
          <w:kern w:val="0"/>
          <w:sz w:val="32"/>
          <w:szCs w:val="32"/>
        </w:rPr>
        <w:t>减已赔偿的金额，计算为46381.37元-</w:t>
      </w:r>
      <w:r>
        <w:rPr>
          <w:rFonts w:ascii="Arial" w:hAnsi="Arial" w:eastAsia="仿宋" w:cs="Arial"/>
          <w:kern w:val="0"/>
          <w:sz w:val="32"/>
          <w:szCs w:val="32"/>
        </w:rPr>
        <w:t>27111.56</w:t>
      </w:r>
      <w:r>
        <w:rPr>
          <w:rFonts w:hint="eastAsia" w:ascii="Arial" w:hAnsi="Arial" w:eastAsia="仿宋" w:cs="Arial"/>
          <w:kern w:val="0"/>
          <w:sz w:val="32"/>
          <w:szCs w:val="32"/>
        </w:rPr>
        <w:t>元</w:t>
      </w:r>
      <w:r>
        <w:rPr>
          <w:rFonts w:ascii="Arial" w:hAnsi="Arial" w:eastAsia="仿宋" w:cs="Arial"/>
          <w:kern w:val="0"/>
          <w:sz w:val="32"/>
          <w:szCs w:val="32"/>
        </w:rPr>
        <w:t>-900</w:t>
      </w:r>
      <w:r>
        <w:rPr>
          <w:rFonts w:hint="eastAsia" w:ascii="Arial" w:hAnsi="Arial" w:eastAsia="仿宋" w:cs="Arial"/>
          <w:kern w:val="0"/>
          <w:sz w:val="32"/>
          <w:szCs w:val="32"/>
        </w:rPr>
        <w:t>元</w:t>
      </w:r>
      <w:r>
        <w:rPr>
          <w:rFonts w:ascii="Arial" w:hAnsi="Arial" w:eastAsia="仿宋" w:cs="Arial"/>
          <w:kern w:val="0"/>
          <w:sz w:val="32"/>
          <w:szCs w:val="32"/>
        </w:rPr>
        <w:t>=18369.81</w:t>
      </w:r>
      <w:r>
        <w:rPr>
          <w:rFonts w:hint="eastAsia" w:ascii="Arial" w:hAnsi="Arial" w:eastAsia="仿宋" w:cs="Arial"/>
          <w:kern w:val="0"/>
          <w:sz w:val="32"/>
          <w:szCs w:val="32"/>
        </w:rPr>
        <w:t>元。</w:t>
      </w:r>
      <w:r>
        <w:rPr>
          <w:rFonts w:hint="eastAsia" w:ascii="仿宋" w:hAnsi="仿宋" w:eastAsia="仿宋" w:cs="E-BZ9-PK74888-Identity-H"/>
          <w:kern w:val="0"/>
          <w:sz w:val="32"/>
          <w:szCs w:val="32"/>
        </w:rPr>
        <w:t>被告嵩悦公司虽申请重新鉴定，但重新作出的司法鉴定意见对原司法鉴定意见未作实质性的改变，因此发生的鉴定费2230属于扩大的损失，依法应由被告嵩悦公司负担。</w:t>
      </w:r>
    </w:p>
    <w:p>
      <w:pPr>
        <w:autoSpaceDE w:val="0"/>
        <w:autoSpaceDN w:val="0"/>
        <w:adjustRightInd w:val="0"/>
        <w:spacing w:line="560" w:lineRule="exact"/>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中华人民共和国侵权责任法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第六条</w:t>
      </w:r>
      <w:r>
        <w:rPr>
          <w:rFonts w:hint="eastAsia" w:ascii="仿宋" w:hAnsi="仿宋" w:eastAsia="仿宋" w:cs="H-SS9-PK74820000a48-Identity-H"/>
          <w:kern w:val="0"/>
          <w:sz w:val="32"/>
          <w:szCs w:val="32"/>
        </w:rPr>
        <w:t>、第八条、第二十六条、第三十四条第一款、第三十七条、《中华人民共和国旅游法》第三十二条、第五十条第一款、第五十四条、第五十六条、第六十一条、第八十条、《最高人民法院关于审理人身损害赔偿案件适用法律若干问题的解释》第十七条第一款、第十九条、第二十条、第二十一条、第二十二条、第二十三条、第二十四条</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autoSpaceDE w:val="0"/>
        <w:autoSpaceDN w:val="0"/>
        <w:adjustRightInd w:val="0"/>
        <w:spacing w:line="560" w:lineRule="exact"/>
        <w:ind w:firstLine="640" w:firstLineChars="200"/>
        <w:rPr>
          <w:rFonts w:ascii="仿宋" w:hAnsi="仿宋" w:eastAsia="仿宋" w:cs="E-BZ9-PK74888-Identity-H"/>
          <w:kern w:val="0"/>
          <w:sz w:val="32"/>
          <w:szCs w:val="32"/>
        </w:rPr>
      </w:pPr>
      <w:r>
        <w:rPr>
          <w:rFonts w:hint="eastAsia" w:ascii="仿宋" w:hAnsi="仿宋" w:eastAsia="仿宋" w:cs="H-SS9-PK74820000a48-Identity-H"/>
          <w:kern w:val="0"/>
          <w:sz w:val="32"/>
          <w:szCs w:val="32"/>
        </w:rPr>
        <w:t>一、被告</w:t>
      </w:r>
      <w:r>
        <w:rPr>
          <w:rFonts w:hint="eastAsia" w:ascii="仿宋" w:hAnsi="仿宋" w:eastAsia="仿宋" w:cs="E-BZ9-PK74888-Identity-H"/>
          <w:kern w:val="0"/>
          <w:sz w:val="32"/>
          <w:szCs w:val="32"/>
        </w:rPr>
        <w:t>重庆嵩悦旅游有限公司、重庆微旅国际旅行社有限公司、重庆枳江旅游有限公司在本判决发生法律效力后10日内共同赔偿（连带）原告高秀平</w:t>
      </w:r>
      <w:r>
        <w:rPr>
          <w:rFonts w:hint="eastAsia" w:ascii="仿宋" w:hAnsi="仿宋" w:eastAsia="仿宋" w:cs="SSJ-PK74820000a3c-Identity-H"/>
          <w:kern w:val="0"/>
          <w:sz w:val="32"/>
          <w:szCs w:val="32"/>
        </w:rPr>
        <w:t>经济损失</w:t>
      </w:r>
      <w:r>
        <w:rPr>
          <w:rFonts w:hint="eastAsia" w:ascii="仿宋" w:hAnsi="仿宋" w:eastAsia="仿宋" w:cs="E-BZ9-PK74888-Identity-H"/>
          <w:kern w:val="0"/>
          <w:sz w:val="32"/>
          <w:szCs w:val="32"/>
        </w:rPr>
        <w:t>18369.81元；</w:t>
      </w:r>
    </w:p>
    <w:p>
      <w:pPr>
        <w:autoSpaceDE w:val="0"/>
        <w:autoSpaceDN w:val="0"/>
        <w:adjustRightInd w:val="0"/>
        <w:spacing w:line="560" w:lineRule="exact"/>
        <w:ind w:firstLine="640" w:firstLineChars="200"/>
        <w:rPr>
          <w:rFonts w:ascii="仿宋" w:hAnsi="仿宋" w:eastAsia="仿宋" w:cs="E-BZ9-PK74888-Identity-H"/>
          <w:kern w:val="0"/>
          <w:sz w:val="32"/>
          <w:szCs w:val="32"/>
        </w:rPr>
      </w:pPr>
      <w:r>
        <w:rPr>
          <w:rFonts w:hint="eastAsia" w:ascii="仿宋" w:hAnsi="仿宋" w:eastAsia="仿宋" w:cs="E-BZ9-PK74888-Identity-H"/>
          <w:kern w:val="0"/>
          <w:sz w:val="32"/>
          <w:szCs w:val="32"/>
        </w:rPr>
        <w:t>二、驳回原告高秀平</w:t>
      </w:r>
      <w:r>
        <w:rPr>
          <w:rFonts w:hint="eastAsia" w:ascii="仿宋" w:hAnsi="仿宋" w:eastAsia="仿宋" w:cs="SSJ-PK74820000a3c-Identity-H"/>
          <w:kern w:val="0"/>
          <w:sz w:val="32"/>
          <w:szCs w:val="32"/>
        </w:rPr>
        <w:t>的其余诉讼请求。</w:t>
      </w: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如果未按本判决指定的期间履行给付金钱义务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应当依照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第二百五十三条规定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加倍支付迟延履行期间的债务利息</w:t>
      </w:r>
      <w:r>
        <w:rPr>
          <w:rFonts w:hint="eastAsia" w:ascii="仿宋" w:hAnsi="仿宋" w:eastAsia="仿宋" w:cs="H-SS9-PK74820000a48-Identity-H"/>
          <w:kern w:val="0"/>
          <w:sz w:val="32"/>
          <w:szCs w:val="32"/>
        </w:rPr>
        <w:t>。</w:t>
      </w:r>
    </w:p>
    <w:p>
      <w:pPr>
        <w:autoSpaceDE w:val="0"/>
        <w:autoSpaceDN w:val="0"/>
        <w:adjustRightInd w:val="0"/>
        <w:spacing w:line="560" w:lineRule="exact"/>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案件受理费2573元</w:t>
      </w:r>
      <w:r>
        <w:rPr>
          <w:rFonts w:hint="eastAsia" w:ascii="仿宋" w:hAnsi="仿宋" w:eastAsia="仿宋" w:cs="H-SS9-PK74820000a48-Identity-H"/>
          <w:kern w:val="0"/>
          <w:sz w:val="32"/>
          <w:szCs w:val="32"/>
        </w:rPr>
        <w:t>，减半收取1286.5元，</w:t>
      </w:r>
      <w:r>
        <w:rPr>
          <w:rFonts w:hint="eastAsia" w:ascii="仿宋" w:hAnsi="仿宋" w:eastAsia="仿宋" w:cs="SSJ-PK74820000a3c-Identity-H"/>
          <w:kern w:val="0"/>
          <w:sz w:val="32"/>
          <w:szCs w:val="32"/>
        </w:rPr>
        <w:t>由</w:t>
      </w:r>
      <w:r>
        <w:rPr>
          <w:rFonts w:hint="eastAsia" w:ascii="仿宋" w:hAnsi="仿宋" w:eastAsia="仿宋" w:cs="H-SS9-PK74820000a48-Identity-H"/>
          <w:kern w:val="0"/>
          <w:sz w:val="32"/>
          <w:szCs w:val="32"/>
        </w:rPr>
        <w:t>被告</w:t>
      </w:r>
      <w:r>
        <w:rPr>
          <w:rFonts w:hint="eastAsia" w:ascii="仿宋" w:hAnsi="仿宋" w:eastAsia="仿宋" w:cs="E-BZ9-PK74888-Identity-H"/>
          <w:kern w:val="0"/>
          <w:sz w:val="32"/>
          <w:szCs w:val="32"/>
        </w:rPr>
        <w:t>重庆嵩悦旅游有限公司、重庆微旅国际旅行社有限公司、重庆枳江旅游有限公司各</w:t>
      </w:r>
      <w:r>
        <w:rPr>
          <w:rFonts w:hint="eastAsia" w:ascii="仿宋" w:hAnsi="仿宋" w:eastAsia="仿宋" w:cs="SSJ-PK74820000a3c-Identity-H"/>
          <w:kern w:val="0"/>
          <w:sz w:val="32"/>
          <w:szCs w:val="32"/>
        </w:rPr>
        <w:t>负担65元，原告</w:t>
      </w:r>
      <w:r>
        <w:rPr>
          <w:rFonts w:hint="eastAsia" w:ascii="仿宋" w:hAnsi="仿宋" w:eastAsia="仿宋" w:cs="SSJ-PK74820000a3c-Identity-H"/>
          <w:kern w:val="0"/>
          <w:sz w:val="32"/>
          <w:szCs w:val="32"/>
          <w:lang w:eastAsia="zh-CN"/>
        </w:rPr>
        <w:t>高秀平</w:t>
      </w:r>
      <w:r>
        <w:rPr>
          <w:rFonts w:hint="eastAsia" w:ascii="仿宋" w:hAnsi="仿宋" w:eastAsia="仿宋" w:cs="SSJ-PK74820000a3c-Identity-H"/>
          <w:kern w:val="0"/>
          <w:sz w:val="32"/>
          <w:szCs w:val="32"/>
        </w:rPr>
        <w:t>负担1091.5元</w:t>
      </w:r>
      <w:r>
        <w:rPr>
          <w:rFonts w:hint="eastAsia" w:ascii="仿宋" w:hAnsi="仿宋" w:eastAsia="仿宋" w:cs="H-SS9-PK74820000a48-Identity-H"/>
          <w:kern w:val="0"/>
          <w:sz w:val="32"/>
          <w:szCs w:val="32"/>
        </w:rPr>
        <w:t>。</w:t>
      </w:r>
    </w:p>
    <w:p>
      <w:pPr>
        <w:autoSpaceDE w:val="0"/>
        <w:autoSpaceDN w:val="0"/>
        <w:adjustRightInd w:val="0"/>
        <w:spacing w:line="560" w:lineRule="exact"/>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spacing w:line="560" w:lineRule="exact"/>
        <w:ind w:firstLine="640" w:firstLineChars="200"/>
        <w:rPr>
          <w:rFonts w:ascii="仿宋" w:hAnsi="仿宋" w:eastAsia="仿宋" w:cs="H-SS9-PK74820000a48-Identity-H"/>
          <w:kern w:val="0"/>
          <w:sz w:val="32"/>
          <w:szCs w:val="32"/>
        </w:rPr>
      </w:pPr>
    </w:p>
    <w:p>
      <w:pPr>
        <w:autoSpaceDE w:val="0"/>
        <w:autoSpaceDN w:val="0"/>
        <w:adjustRightInd w:val="0"/>
        <w:spacing w:line="560" w:lineRule="exact"/>
        <w:ind w:firstLine="640" w:firstLineChars="200"/>
        <w:rPr>
          <w:rFonts w:ascii="仿宋" w:hAnsi="仿宋" w:eastAsia="仿宋" w:cs="H-SS9-PK74820000a48-Identity-H"/>
          <w:kern w:val="0"/>
          <w:sz w:val="32"/>
          <w:szCs w:val="32"/>
        </w:rPr>
      </w:pPr>
    </w:p>
    <w:p>
      <w:pPr>
        <w:autoSpaceDE w:val="0"/>
        <w:autoSpaceDN w:val="0"/>
        <w:adjustRightInd w:val="0"/>
        <w:spacing w:line="560" w:lineRule="exact"/>
        <w:ind w:right="420" w:rightChars="200"/>
        <w:jc w:val="center"/>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 xml:space="preserve">                              </w:t>
      </w:r>
    </w:p>
    <w:p>
      <w:pPr>
        <w:autoSpaceDE w:val="0"/>
        <w:autoSpaceDN w:val="0"/>
        <w:adjustRightInd w:val="0"/>
        <w:spacing w:line="560" w:lineRule="exact"/>
        <w:ind w:right="420" w:rightChars="200"/>
        <w:jc w:val="center"/>
        <w:rPr>
          <w:rFonts w:ascii="仿宋" w:hAnsi="仿宋" w:eastAsia="仿宋" w:cs="SSJ-PK74820000a3c-Identity-H"/>
          <w:kern w:val="0"/>
          <w:sz w:val="32"/>
          <w:szCs w:val="32"/>
        </w:rPr>
      </w:pPr>
      <w:r>
        <w:rPr>
          <w:rFonts w:hint="eastAsia" w:ascii="仿宋" w:hAnsi="仿宋" w:eastAsia="仿宋" w:cs="SSJ-PK74820000a3c-Identity-H"/>
          <w:kern w:val="0"/>
          <w:sz w:val="32"/>
          <w:szCs w:val="32"/>
          <w:lang w:val="en-US" w:eastAsia="zh-CN"/>
        </w:rPr>
        <w:t xml:space="preserve">                             </w:t>
      </w:r>
      <w:r>
        <w:rPr>
          <w:rFonts w:hint="eastAsia" w:ascii="仿宋" w:hAnsi="仿宋" w:eastAsia="仿宋" w:cs="SSJ-PK74820000a3c-Identity-H"/>
          <w:kern w:val="0"/>
          <w:sz w:val="32"/>
          <w:szCs w:val="32"/>
        </w:rPr>
        <w:t xml:space="preserve">审 </w:t>
      </w:r>
      <w:r>
        <w:rPr>
          <w:rFonts w:hint="eastAsia" w:ascii="仿宋" w:hAnsi="仿宋" w:eastAsia="仿宋" w:cs="SSJ-PK74820000a3c-Identity-H"/>
          <w:kern w:val="0"/>
          <w:sz w:val="32"/>
          <w:szCs w:val="32"/>
          <w:lang w:val="en-US" w:eastAsia="zh-CN"/>
        </w:rPr>
        <w:t xml:space="preserve"> </w:t>
      </w:r>
      <w:r>
        <w:rPr>
          <w:rFonts w:hint="eastAsia" w:ascii="仿宋" w:hAnsi="仿宋" w:eastAsia="仿宋" w:cs="SSJ-PK74820000a3c-Identity-H"/>
          <w:kern w:val="0"/>
          <w:sz w:val="32"/>
          <w:szCs w:val="32"/>
        </w:rPr>
        <w:t xml:space="preserve"> 判  员 </w:t>
      </w:r>
      <w:r>
        <w:rPr>
          <w:rFonts w:hint="eastAsia" w:ascii="仿宋" w:hAnsi="仿宋" w:eastAsia="仿宋" w:cs="SSJ-PK74820000a3c-Identity-H"/>
          <w:kern w:val="0"/>
          <w:sz w:val="32"/>
          <w:szCs w:val="32"/>
          <w:lang w:val="en-US" w:eastAsia="zh-CN"/>
        </w:rPr>
        <w:t xml:space="preserve"> </w:t>
      </w:r>
      <w:r>
        <w:rPr>
          <w:rFonts w:hint="eastAsia" w:ascii="仿宋" w:hAnsi="仿宋" w:eastAsia="仿宋" w:cs="SSJ-PK74820000a3c-Identity-H"/>
          <w:kern w:val="0"/>
          <w:sz w:val="32"/>
          <w:szCs w:val="32"/>
        </w:rPr>
        <w:t xml:space="preserve">  余孝安</w:t>
      </w:r>
    </w:p>
    <w:p>
      <w:pPr>
        <w:autoSpaceDE w:val="0"/>
        <w:autoSpaceDN w:val="0"/>
        <w:adjustRightInd w:val="0"/>
        <w:spacing w:line="560" w:lineRule="exact"/>
        <w:ind w:right="420" w:rightChars="200"/>
        <w:jc w:val="right"/>
        <w:rPr>
          <w:rFonts w:ascii="仿宋" w:hAnsi="仿宋" w:eastAsia="仿宋" w:cs="SSJ-PK74820000a3c-Identity-H"/>
          <w:kern w:val="0"/>
          <w:sz w:val="32"/>
          <w:szCs w:val="32"/>
        </w:rPr>
      </w:pPr>
    </w:p>
    <w:p>
      <w:pPr>
        <w:autoSpaceDE w:val="0"/>
        <w:autoSpaceDN w:val="0"/>
        <w:adjustRightInd w:val="0"/>
        <w:spacing w:line="560" w:lineRule="exact"/>
        <w:ind w:right="420" w:rightChars="200"/>
        <w:jc w:val="right"/>
        <w:rPr>
          <w:rFonts w:ascii="仿宋" w:hAnsi="仿宋" w:eastAsia="仿宋" w:cs="SSJ-PK74820000a3c-Identity-H"/>
          <w:kern w:val="0"/>
          <w:sz w:val="32"/>
          <w:szCs w:val="32"/>
        </w:rPr>
      </w:pPr>
    </w:p>
    <w:p>
      <w:pPr>
        <w:autoSpaceDE w:val="0"/>
        <w:autoSpaceDN w:val="0"/>
        <w:adjustRightInd w:val="0"/>
        <w:spacing w:line="560" w:lineRule="exact"/>
        <w:ind w:right="420" w:rightChars="200"/>
        <w:jc w:val="right"/>
        <w:rPr>
          <w:rFonts w:ascii="仿宋" w:hAnsi="仿宋" w:eastAsia="仿宋" w:cs="E-BZ9-PK74888-Identity-H"/>
          <w:kern w:val="0"/>
          <w:sz w:val="32"/>
          <w:szCs w:val="32"/>
        </w:rPr>
      </w:pPr>
    </w:p>
    <w:p>
      <w:pPr>
        <w:autoSpaceDE w:val="0"/>
        <w:autoSpaceDN w:val="0"/>
        <w:adjustRightInd w:val="0"/>
        <w:spacing w:line="560" w:lineRule="exact"/>
        <w:ind w:right="420" w:rightChars="200"/>
        <w:jc w:val="center"/>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二〇一九年十</w:t>
      </w:r>
      <w:r>
        <w:rPr>
          <w:rFonts w:hint="eastAsia" w:ascii="仿宋" w:hAnsi="仿宋" w:eastAsia="仿宋"/>
          <w:sz w:val="32"/>
          <w:szCs w:val="32"/>
          <w:lang w:eastAsia="zh-CN"/>
        </w:rPr>
        <w:t>二</w:t>
      </w:r>
      <w:r>
        <w:rPr>
          <w:rFonts w:hint="eastAsia" w:ascii="仿宋" w:hAnsi="仿宋" w:eastAsia="仿宋"/>
          <w:sz w:val="32"/>
          <w:szCs w:val="32"/>
        </w:rPr>
        <w:t>月</w:t>
      </w:r>
      <w:r>
        <w:rPr>
          <w:rFonts w:hint="eastAsia" w:ascii="仿宋" w:hAnsi="仿宋" w:eastAsia="仿宋"/>
          <w:sz w:val="32"/>
          <w:szCs w:val="32"/>
          <w:lang w:eastAsia="zh-CN"/>
        </w:rPr>
        <w:t>六</w:t>
      </w:r>
      <w:r>
        <w:rPr>
          <w:rFonts w:hint="eastAsia" w:ascii="仿宋" w:hAnsi="仿宋" w:eastAsia="仿宋"/>
          <w:sz w:val="32"/>
          <w:szCs w:val="32"/>
        </w:rPr>
        <w:t>日</w:t>
      </w:r>
    </w:p>
    <w:p>
      <w:pPr>
        <w:tabs>
          <w:tab w:val="left" w:pos="7264"/>
        </w:tabs>
        <w:autoSpaceDE w:val="0"/>
        <w:autoSpaceDN w:val="0"/>
        <w:adjustRightInd w:val="0"/>
        <w:spacing w:line="560" w:lineRule="exact"/>
        <w:ind w:right="420" w:rightChars="200"/>
        <w:jc w:val="both"/>
        <w:rPr>
          <w:rFonts w:hint="eastAsia" w:ascii="仿宋" w:hAnsi="仿宋" w:eastAsia="仿宋" w:cs="H-SS9-PK74820000a48-Identity-H"/>
          <w:kern w:val="0"/>
          <w:sz w:val="32"/>
          <w:szCs w:val="32"/>
        </w:rPr>
      </w:pPr>
      <w:r>
        <w:rPr>
          <w:rFonts w:hint="eastAsia" w:ascii="仿宋" w:hAnsi="仿宋" w:eastAsia="仿宋" w:cs="H-SS9-PK74820000a48-Identity-H"/>
          <w:kern w:val="0"/>
          <w:sz w:val="32"/>
          <w:szCs w:val="32"/>
        </w:rPr>
        <w:t xml:space="preserve">                               </w:t>
      </w:r>
    </w:p>
    <w:p>
      <w:pPr>
        <w:tabs>
          <w:tab w:val="left" w:pos="7264"/>
        </w:tabs>
        <w:autoSpaceDE w:val="0"/>
        <w:autoSpaceDN w:val="0"/>
        <w:adjustRightInd w:val="0"/>
        <w:spacing w:line="560" w:lineRule="exact"/>
        <w:ind w:right="420" w:rightChars="200" w:firstLine="4800" w:firstLineChars="1500"/>
        <w:jc w:val="both"/>
        <w:rPr>
          <w:rFonts w:ascii="仿宋" w:hAnsi="仿宋" w:eastAsia="仿宋" w:cs="H-SS9-PK74820000a48-Identity-H"/>
          <w:kern w:val="0"/>
          <w:sz w:val="32"/>
          <w:szCs w:val="32"/>
        </w:rPr>
      </w:pPr>
      <w:r>
        <w:rPr>
          <w:rFonts w:hint="eastAsia" w:ascii="仿宋" w:hAnsi="仿宋" w:eastAsia="仿宋" w:cs="H-SS9-PK74820000a48-Identity-H"/>
          <w:kern w:val="0"/>
          <w:sz w:val="32"/>
          <w:szCs w:val="32"/>
        </w:rPr>
        <w:t xml:space="preserve"> 法 官 助 理 </w:t>
      </w:r>
      <w:r>
        <w:rPr>
          <w:rFonts w:hint="eastAsia" w:ascii="仿宋" w:hAnsi="仿宋" w:eastAsia="仿宋" w:cs="H-SS9-PK74820000a48-Identity-H"/>
          <w:kern w:val="0"/>
          <w:sz w:val="32"/>
          <w:szCs w:val="32"/>
          <w:lang w:val="en-US" w:eastAsia="zh-CN"/>
        </w:rPr>
        <w:t xml:space="preserve"> </w:t>
      </w:r>
      <w:r>
        <w:rPr>
          <w:rFonts w:hint="eastAsia" w:ascii="仿宋" w:hAnsi="仿宋" w:eastAsia="仿宋" w:cs="H-SS9-PK74820000a48-Identity-H"/>
          <w:kern w:val="0"/>
          <w:sz w:val="32"/>
          <w:szCs w:val="32"/>
        </w:rPr>
        <w:t xml:space="preserve">  周 </w:t>
      </w:r>
      <w:r>
        <w:rPr>
          <w:rFonts w:hint="eastAsia" w:ascii="仿宋" w:hAnsi="仿宋" w:eastAsia="仿宋" w:cs="H-SS9-PK74820000a48-Identity-H"/>
          <w:kern w:val="0"/>
          <w:sz w:val="32"/>
          <w:szCs w:val="32"/>
          <w:lang w:val="en-US" w:eastAsia="zh-CN"/>
        </w:rPr>
        <w:t xml:space="preserve"> </w:t>
      </w:r>
      <w:r>
        <w:rPr>
          <w:rFonts w:hint="eastAsia" w:ascii="仿宋" w:hAnsi="仿宋" w:eastAsia="仿宋" w:cs="H-SS9-PK74820000a48-Identity-H"/>
          <w:kern w:val="0"/>
          <w:sz w:val="32"/>
          <w:szCs w:val="32"/>
        </w:rPr>
        <w:t>蓉</w:t>
      </w:r>
    </w:p>
    <w:p>
      <w:pPr>
        <w:spacing w:line="560" w:lineRule="exact"/>
        <w:ind w:right="420" w:rightChars="200"/>
        <w:jc w:val="center"/>
        <w:rPr>
          <w:rFonts w:ascii="仿宋" w:hAnsi="仿宋" w:eastAsia="仿宋"/>
          <w:sz w:val="32"/>
          <w:szCs w:val="32"/>
        </w:rPr>
      </w:pPr>
      <w:r>
        <w:rPr>
          <w:rFonts w:hint="eastAsia" w:ascii="仿宋" w:hAnsi="仿宋" w:eastAsia="仿宋" w:cs="SSJ-PK74820000a3c-Identity-H"/>
          <w:kern w:val="0"/>
          <w:sz w:val="32"/>
          <w:szCs w:val="32"/>
          <w:lang w:val="en-US" w:eastAsia="zh-CN"/>
        </w:rPr>
        <w:t xml:space="preserve">                               </w:t>
      </w: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O9-PK7481cd-Identity-H"/>
          <w:kern w:val="0"/>
          <w:sz w:val="32"/>
          <w:szCs w:val="32"/>
          <w:lang w:val="en-US" w:eastAsia="zh-CN"/>
        </w:rPr>
        <w:t xml:space="preserve">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 xml:space="preserve">员 </w:t>
      </w:r>
      <w:r>
        <w:rPr>
          <w:rFonts w:hint="eastAsia" w:ascii="仿宋" w:hAnsi="仿宋" w:eastAsia="仿宋" w:cs="SSJ-PK74820000a3c-Identity-H"/>
          <w:kern w:val="0"/>
          <w:sz w:val="32"/>
          <w:szCs w:val="32"/>
          <w:lang w:val="en-US" w:eastAsia="zh-CN"/>
        </w:rPr>
        <w:t xml:space="preserve"> </w:t>
      </w:r>
      <w:r>
        <w:rPr>
          <w:rFonts w:hint="eastAsia" w:ascii="仿宋" w:hAnsi="仿宋" w:eastAsia="仿宋" w:cs="O9-PK7481cd-Identity-H"/>
          <w:kern w:val="0"/>
          <w:sz w:val="32"/>
          <w:szCs w:val="32"/>
        </w:rPr>
        <w:t>　</w:t>
      </w:r>
      <w:r>
        <w:rPr>
          <w:rFonts w:hint="eastAsia" w:ascii="仿宋" w:hAnsi="仿宋" w:eastAsia="仿宋" w:cs="E-BZ9-PK74888-Identity-H"/>
          <w:kern w:val="0"/>
          <w:sz w:val="32"/>
          <w:szCs w:val="32"/>
        </w:rPr>
        <w:t>廖秋林</w:t>
      </w:r>
    </w:p>
    <w:p>
      <w:pPr>
        <w:spacing w:line="560" w:lineRule="exact"/>
      </w:pPr>
    </w:p>
    <w:p>
      <w:pPr>
        <w:spacing w:line="560" w:lineRule="exact"/>
        <w:rPr>
          <w:rFonts w:ascii="方正仿宋_GBK" w:hAnsi="方正仿宋_GBK" w:eastAsia="方正仿宋_GBK" w:cs="方正仿宋_GBK"/>
          <w:sz w:val="32"/>
          <w:szCs w:val="32"/>
        </w:rPr>
      </w:pPr>
    </w:p>
    <w:p>
      <w:pPr>
        <w:spacing w:line="560" w:lineRule="exact"/>
      </w:pPr>
    </w:p>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方正小标宋_GBK">
    <w:altName w:val="宋体"/>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O9-PK7481cd-Identity-H">
    <w:altName w:val="宋体"/>
    <w:panose1 w:val="00000000000000000000"/>
    <w:charset w:val="86"/>
    <w:family w:val="auto"/>
    <w:pitch w:val="default"/>
    <w:sig w:usb0="00000000" w:usb1="00000000" w:usb2="00000010" w:usb3="00000000" w:csb0="00040000" w:csb1="00000000"/>
  </w:font>
  <w:font w:name="方正仿宋_GBK">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2"/>
      <w:jc w:val="right"/>
    </w:pPr>
    <w:r>
      <w:drawing>
        <wp:inline distT="0" distB="0" distL="114300" distR="114300">
          <wp:extent cx="1528445" cy="491490"/>
          <wp:effectExtent l="0" t="0" r="1460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1528445" cy="49149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rFonts w:hint="eastAsia" w:ascii="宋体" w:hAnsi="宋体"/>
        <w:sz w:val="28"/>
        <w:szCs w:val="28"/>
      </w:rPr>
      <w:t xml:space="preserve"> -</w:t>
    </w:r>
  </w:p>
  <w:p>
    <w:pPr>
      <w:pStyle w:val="2"/>
    </w:pPr>
    <w:r>
      <w:drawing>
        <wp:inline distT="0" distB="0" distL="114300" distR="114300">
          <wp:extent cx="1528445" cy="491490"/>
          <wp:effectExtent l="0" t="0" r="1460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528445" cy="49149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1528445" cy="491490"/>
          <wp:effectExtent l="0" t="0" r="1460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528445" cy="49149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C353B"/>
    <w:multiLevelType w:val="singleLevel"/>
    <w:tmpl w:val="580C353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0A1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2020-05-03T01:46:58Z</dcterms:created>
  <dc:creator>Administrator</dc:creator>
  <cp:lastModifiedBy>Administrator</cp:lastModifiedBy>
  <dcterms:modified xsi:type="dcterms:W3CDTF">2020-05-03T01:47:04Z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