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300"/>
        <w:rPr>
          <w:rFonts w:hint="eastAsia"/>
          <w:sz w:val="32"/>
          <w:szCs w:val="32"/>
          <w:lang w:val="en-US" w:eastAsia="zh-CN"/>
        </w:rPr>
      </w:pPr>
      <w:r>
        <w:rPr>
          <w:rFonts w:hint="eastAsia"/>
          <w:sz w:val="32"/>
          <w:szCs w:val="32"/>
          <w:lang w:eastAsia="zh-CN"/>
        </w:rPr>
        <w:t>廖克祥等诉三合街道办事处等生命权纠纷案</w:t>
      </w:r>
    </w:p>
    <w:p>
      <w:pPr>
        <w:ind w:firstLine="420" w:firstLineChars="200"/>
        <w:rPr>
          <w:rFonts w:hint="eastAsia"/>
          <w:sz w:val="28"/>
          <w:szCs w:val="28"/>
          <w:lang w:val="en-US" w:eastAsia="zh-CN"/>
        </w:rPr>
      </w:pPr>
      <w:r>
        <w:rPr>
          <w:rFonts w:hint="eastAsia"/>
          <w:lang w:val="en-US" w:eastAsia="zh-CN"/>
        </w:rPr>
        <w:t xml:space="preserve">       </w:t>
      </w:r>
      <w:r>
        <w:rPr>
          <w:rFonts w:hint="eastAsia"/>
          <w:sz w:val="28"/>
          <w:szCs w:val="28"/>
          <w:lang w:val="en-US" w:eastAsia="zh-CN"/>
        </w:rPr>
        <w:t xml:space="preserve"> —— 道路改造不符标准发生交通事故的责任判定  </w:t>
      </w:r>
    </w:p>
    <w:p>
      <w:pPr>
        <w:ind w:firstLine="560" w:firstLineChars="200"/>
        <w:rPr>
          <w:rFonts w:hint="eastAsia"/>
          <w:sz w:val="28"/>
          <w:szCs w:val="28"/>
          <w:lang w:val="en-US" w:eastAsia="zh-CN"/>
        </w:rPr>
      </w:pPr>
    </w:p>
    <w:p>
      <w:pPr>
        <w:ind w:firstLine="560" w:firstLineChars="200"/>
        <w:rPr>
          <w:rFonts w:hint="eastAsia"/>
          <w:sz w:val="28"/>
          <w:szCs w:val="28"/>
          <w:lang w:val="en-US" w:eastAsia="zh-CN"/>
        </w:rPr>
      </w:pPr>
      <w:r>
        <w:rPr>
          <w:rFonts w:hint="eastAsia"/>
          <w:sz w:val="28"/>
          <w:szCs w:val="28"/>
          <w:lang w:val="en-US" w:eastAsia="zh-CN"/>
        </w:rPr>
        <w:t xml:space="preserve">关键词：道路改造 交通事故  防护拦设置 假想因果关系 </w:t>
      </w: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w:t>
      </w:r>
      <w:r>
        <w:rPr>
          <w:rFonts w:hint="eastAsia"/>
          <w:sz w:val="28"/>
          <w:szCs w:val="28"/>
          <w:lang w:val="en-US" w:eastAsia="zh-CN"/>
        </w:rPr>
        <w:t>裁判要旨</w:t>
      </w:r>
      <w:r>
        <w:rPr>
          <w:rFonts w:hint="eastAsia" w:ascii="黑体" w:hAnsi="黑体" w:eastAsia="黑体" w:cs="黑体"/>
          <w:sz w:val="28"/>
          <w:szCs w:val="28"/>
          <w:lang w:val="en-US" w:eastAsia="zh-CN"/>
        </w:rPr>
        <w:t>]</w:t>
      </w:r>
    </w:p>
    <w:p>
      <w:pPr>
        <w:ind w:firstLine="560" w:firstLineChars="200"/>
        <w:rPr>
          <w:rFonts w:hint="eastAsia"/>
          <w:sz w:val="28"/>
          <w:szCs w:val="28"/>
          <w:lang w:eastAsia="zh-CN"/>
        </w:rPr>
      </w:pPr>
      <w:r>
        <w:rPr>
          <w:rFonts w:hint="eastAsia"/>
          <w:sz w:val="28"/>
          <w:szCs w:val="28"/>
          <w:lang w:val="en-US" w:eastAsia="zh-CN"/>
        </w:rPr>
        <w:t>道路改造者是道路的所有人或管理人，系民事主体，对于改造道路不符合相应规定的安全标准，存在交通事故次生损害可能的，道路改造者应承担次要的民事责任</w:t>
      </w:r>
      <w:r>
        <w:rPr>
          <w:rFonts w:hint="eastAsia"/>
          <w:sz w:val="28"/>
          <w:szCs w:val="28"/>
          <w:lang w:eastAsia="zh-CN"/>
        </w:rPr>
        <w:t>。</w:t>
      </w: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[相关法条]</w:t>
      </w:r>
    </w:p>
    <w:p>
      <w:pPr>
        <w:ind w:firstLine="560" w:firstLineChars="200"/>
        <w:rPr>
          <w:rFonts w:hint="eastAsia"/>
          <w:sz w:val="28"/>
          <w:szCs w:val="28"/>
          <w:lang w:eastAsia="zh-CN"/>
        </w:rPr>
      </w:pPr>
      <w:r>
        <w:rPr>
          <w:rFonts w:hint="eastAsia"/>
          <w:sz w:val="28"/>
          <w:szCs w:val="28"/>
          <w:lang w:eastAsia="zh-CN"/>
        </w:rPr>
        <w:t>《侵权责任法》</w:t>
      </w:r>
    </w:p>
    <w:p>
      <w:pPr>
        <w:ind w:firstLine="560" w:firstLineChars="200"/>
        <w:rPr>
          <w:rFonts w:hint="eastAsia"/>
          <w:sz w:val="28"/>
          <w:szCs w:val="28"/>
          <w:lang w:val="en-US" w:eastAsia="zh-CN"/>
        </w:rPr>
      </w:pPr>
      <w:r>
        <w:rPr>
          <w:rFonts w:hint="eastAsia"/>
          <w:sz w:val="28"/>
          <w:szCs w:val="28"/>
          <w:lang w:eastAsia="zh-CN"/>
        </w:rPr>
        <w:t>第六条第一款</w:t>
      </w:r>
      <w:r>
        <w:rPr>
          <w:rFonts w:hint="eastAsia"/>
          <w:sz w:val="28"/>
          <w:szCs w:val="28"/>
          <w:lang w:val="en-US" w:eastAsia="zh-CN"/>
        </w:rPr>
        <w:t xml:space="preserve"> 行为人因过错侵害他人民事权益，应当承担侵权责任。</w:t>
      </w:r>
    </w:p>
    <w:p>
      <w:pPr>
        <w:ind w:firstLine="560" w:firstLineChars="200"/>
        <w:rPr>
          <w:rFonts w:hint="eastAsia"/>
          <w:sz w:val="28"/>
          <w:szCs w:val="28"/>
          <w:lang w:val="en-US" w:eastAsia="zh-CN"/>
        </w:rPr>
      </w:pPr>
      <w:r>
        <w:rPr>
          <w:rFonts w:hint="eastAsia"/>
          <w:sz w:val="28"/>
          <w:szCs w:val="28"/>
          <w:lang w:val="en-US" w:eastAsia="zh-CN"/>
        </w:rPr>
        <w:t>第十二条 二人以上分别实施侵权行为造成同一损害，能够确定责任大小的，各自承担相应责任……。</w:t>
      </w:r>
    </w:p>
    <w:p>
      <w:pPr>
        <w:ind w:firstLine="560" w:firstLineChars="200"/>
        <w:rPr>
          <w:rFonts w:hint="eastAsia"/>
          <w:sz w:val="28"/>
          <w:szCs w:val="28"/>
          <w:lang w:val="en-US" w:eastAsia="zh-CN"/>
        </w:rPr>
      </w:pPr>
      <w:r>
        <w:rPr>
          <w:rFonts w:hint="eastAsia"/>
          <w:sz w:val="28"/>
          <w:szCs w:val="28"/>
        </w:rPr>
        <w:t>第</w:t>
      </w:r>
      <w:r>
        <w:rPr>
          <w:rFonts w:hint="eastAsia"/>
          <w:sz w:val="28"/>
          <w:szCs w:val="28"/>
          <w:lang w:eastAsia="zh-CN"/>
        </w:rPr>
        <w:t>二</w:t>
      </w:r>
      <w:r>
        <w:rPr>
          <w:rFonts w:hint="eastAsia"/>
          <w:sz w:val="28"/>
          <w:szCs w:val="28"/>
        </w:rPr>
        <w:t>十</w:t>
      </w:r>
      <w:r>
        <w:rPr>
          <w:rFonts w:hint="eastAsia"/>
          <w:sz w:val="28"/>
          <w:szCs w:val="28"/>
          <w:lang w:eastAsia="zh-CN"/>
        </w:rPr>
        <w:t>六</w:t>
      </w:r>
      <w:r>
        <w:rPr>
          <w:rFonts w:hint="eastAsia"/>
          <w:sz w:val="28"/>
          <w:szCs w:val="28"/>
        </w:rPr>
        <w:t>条</w:t>
      </w:r>
      <w:r>
        <w:rPr>
          <w:rFonts w:hint="eastAsia"/>
          <w:sz w:val="28"/>
          <w:szCs w:val="28"/>
          <w:lang w:val="en-US" w:eastAsia="zh-CN"/>
        </w:rPr>
        <w:t xml:space="preserve"> 被侵权人对损害的发生也有过错的，可以减轻侵权人的责任。</w:t>
      </w:r>
    </w:p>
    <w:p>
      <w:pPr>
        <w:ind w:firstLine="560" w:firstLineChars="200"/>
        <w:rPr>
          <w:rFonts w:hint="eastAsia"/>
          <w:sz w:val="28"/>
          <w:szCs w:val="28"/>
          <w:lang w:val="en-US" w:eastAsia="zh-CN"/>
        </w:rPr>
      </w:pPr>
      <w:r>
        <w:rPr>
          <w:rFonts w:hint="eastAsia"/>
          <w:sz w:val="28"/>
          <w:szCs w:val="28"/>
          <w:lang w:val="en-US" w:eastAsia="zh-CN"/>
        </w:rPr>
        <w:t>《民法典》</w:t>
      </w:r>
    </w:p>
    <w:p>
      <w:pPr>
        <w:ind w:firstLine="560" w:firstLineChars="200"/>
        <w:rPr>
          <w:rFonts w:hint="default"/>
          <w:sz w:val="28"/>
          <w:szCs w:val="28"/>
          <w:lang w:val="en-US" w:eastAsia="zh-CN"/>
        </w:rPr>
      </w:pPr>
      <w:r>
        <w:rPr>
          <w:rFonts w:hint="eastAsia"/>
          <w:sz w:val="28"/>
          <w:szCs w:val="28"/>
          <w:lang w:val="en-US" w:eastAsia="zh-CN"/>
        </w:rPr>
        <w:t>第一千二百一十七条 非营运机动车发生交通事故造成无偿搭乘人损害，属于该机动车一方责任的，应当减轻其赔偿责任……</w:t>
      </w:r>
    </w:p>
    <w:p>
      <w:pPr>
        <w:rPr>
          <w:rFonts w:hint="eastAsia"/>
          <w:sz w:val="28"/>
          <w:szCs w:val="28"/>
          <w:lang w:val="en-US" w:eastAsia="zh-CN"/>
        </w:rPr>
      </w:pPr>
      <w:r>
        <w:rPr>
          <w:rFonts w:hint="eastAsia"/>
          <w:sz w:val="28"/>
          <w:szCs w:val="28"/>
          <w:lang w:val="en-US" w:eastAsia="zh-CN"/>
        </w:rPr>
        <w:t>《公路工程技术规范》（JTGB01-2014）</w:t>
      </w:r>
    </w:p>
    <w:p>
      <w:pPr>
        <w:ind w:firstLine="560" w:firstLineChars="200"/>
        <w:rPr>
          <w:rFonts w:hint="eastAsia"/>
          <w:sz w:val="28"/>
          <w:szCs w:val="28"/>
        </w:rPr>
      </w:pPr>
      <w:r>
        <w:rPr>
          <w:rFonts w:hint="eastAsia"/>
          <w:sz w:val="28"/>
          <w:szCs w:val="28"/>
          <w:lang w:val="en-US" w:eastAsia="zh-CN"/>
        </w:rPr>
        <w:t>第十条第二款第四项 公路路侧护栏设置应符合下列规定：……3.路侧有悬崖、深谷、深沟、江河湖泊等路段应设置路侧护栏……。</w:t>
      </w: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[案件索引]</w:t>
      </w:r>
    </w:p>
    <w:p>
      <w:pPr>
        <w:ind w:firstLine="560" w:firstLineChars="200"/>
        <w:rPr>
          <w:rFonts w:hint="eastAsia"/>
          <w:sz w:val="28"/>
          <w:szCs w:val="28"/>
          <w:lang w:val="en-US" w:eastAsia="zh-CN"/>
        </w:rPr>
      </w:pPr>
      <w:r>
        <w:rPr>
          <w:rFonts w:hint="eastAsia"/>
          <w:sz w:val="28"/>
          <w:szCs w:val="28"/>
          <w:lang w:eastAsia="zh-CN"/>
        </w:rPr>
        <w:t>一审判决书：</w:t>
      </w:r>
      <w:r>
        <w:rPr>
          <w:rFonts w:hint="eastAsia"/>
          <w:sz w:val="28"/>
          <w:szCs w:val="28"/>
        </w:rPr>
        <w:t>重庆市</w:t>
      </w:r>
      <w:r>
        <w:rPr>
          <w:rFonts w:hint="eastAsia"/>
          <w:sz w:val="28"/>
          <w:szCs w:val="28"/>
          <w:lang w:eastAsia="zh-CN"/>
        </w:rPr>
        <w:t>丰都县</w:t>
      </w:r>
      <w:r>
        <w:rPr>
          <w:rFonts w:hint="eastAsia"/>
          <w:sz w:val="28"/>
          <w:szCs w:val="28"/>
        </w:rPr>
        <w:t>人民法院(202</w:t>
      </w:r>
      <w:r>
        <w:rPr>
          <w:rFonts w:hint="eastAsia"/>
          <w:sz w:val="28"/>
          <w:szCs w:val="28"/>
          <w:lang w:val="en-US" w:eastAsia="zh-CN"/>
        </w:rPr>
        <w:t>1</w:t>
      </w:r>
      <w:r>
        <w:rPr>
          <w:rFonts w:hint="eastAsia"/>
          <w:sz w:val="28"/>
          <w:szCs w:val="28"/>
        </w:rPr>
        <w:t>)渝023初</w:t>
      </w:r>
      <w:r>
        <w:rPr>
          <w:rFonts w:hint="eastAsia"/>
          <w:sz w:val="28"/>
          <w:szCs w:val="28"/>
          <w:lang w:val="en-US" w:eastAsia="zh-CN"/>
        </w:rPr>
        <w:t>4693</w:t>
      </w:r>
      <w:r>
        <w:rPr>
          <w:rFonts w:hint="eastAsia"/>
          <w:sz w:val="28"/>
          <w:szCs w:val="28"/>
        </w:rPr>
        <w:t>号</w:t>
      </w:r>
      <w:r>
        <w:rPr>
          <w:rFonts w:hint="eastAsia"/>
          <w:sz w:val="28"/>
          <w:szCs w:val="28"/>
          <w:lang w:eastAsia="zh-CN"/>
        </w:rPr>
        <w:t>。</w:t>
      </w:r>
    </w:p>
    <w:p>
      <w:pPr>
        <w:ind w:firstLine="560" w:firstLineChars="200"/>
        <w:rPr>
          <w:sz w:val="28"/>
          <w:szCs w:val="28"/>
        </w:rPr>
      </w:pPr>
      <w:r>
        <w:rPr>
          <w:rFonts w:hint="eastAsia"/>
          <w:sz w:val="28"/>
          <w:szCs w:val="28"/>
          <w:lang w:eastAsia="zh-CN"/>
        </w:rPr>
        <w:t>二审判决书：重庆市第三中级人民法院（</w:t>
      </w:r>
      <w:r>
        <w:rPr>
          <w:rFonts w:hint="eastAsia"/>
          <w:sz w:val="28"/>
          <w:szCs w:val="28"/>
          <w:lang w:val="en-US" w:eastAsia="zh-CN"/>
        </w:rPr>
        <w:t>2022</w:t>
      </w:r>
      <w:r>
        <w:rPr>
          <w:rFonts w:hint="eastAsia"/>
          <w:sz w:val="28"/>
          <w:szCs w:val="28"/>
          <w:lang w:eastAsia="zh-CN"/>
        </w:rPr>
        <w:t xml:space="preserve">）渝 03 民终 </w:t>
      </w:r>
      <w:r>
        <w:rPr>
          <w:rFonts w:hint="eastAsia"/>
          <w:sz w:val="28"/>
          <w:szCs w:val="28"/>
          <w:lang w:val="en-US" w:eastAsia="zh-CN"/>
        </w:rPr>
        <w:t>268</w:t>
      </w:r>
      <w:r>
        <w:rPr>
          <w:rFonts w:hint="eastAsia"/>
          <w:sz w:val="28"/>
          <w:szCs w:val="28"/>
          <w:lang w:eastAsia="zh-CN"/>
        </w:rPr>
        <w:t xml:space="preserve"> 号 。</w:t>
      </w:r>
    </w:p>
    <w:p>
      <w:pPr>
        <w:ind w:firstLine="560" w:firstLineChars="200"/>
        <w:rPr>
          <w:rFonts w:hint="default"/>
          <w:sz w:val="28"/>
          <w:szCs w:val="28"/>
          <w:lang w:val="en-US" w:eastAsia="zh-CN"/>
        </w:rPr>
      </w:pPr>
      <w:r>
        <w:rPr>
          <w:rFonts w:hint="eastAsia" w:ascii="黑体" w:hAnsi="黑体" w:eastAsia="黑体" w:cs="黑体"/>
          <w:sz w:val="28"/>
          <w:szCs w:val="28"/>
          <w:lang w:val="en-US" w:eastAsia="zh-CN"/>
        </w:rPr>
        <w:t>[基本案情]</w:t>
      </w:r>
    </w:p>
    <w:p>
      <w:pPr>
        <w:ind w:firstLine="560" w:firstLineChars="200"/>
        <w:rPr>
          <w:rFonts w:hint="eastAsia"/>
          <w:sz w:val="28"/>
          <w:szCs w:val="28"/>
          <w:lang w:eastAsia="zh-CN"/>
        </w:rPr>
      </w:pPr>
      <w:r>
        <w:rPr>
          <w:rFonts w:hint="eastAsia"/>
          <w:sz w:val="28"/>
          <w:szCs w:val="28"/>
          <w:lang w:val="en-US" w:eastAsia="zh-CN"/>
        </w:rPr>
        <w:t>原告（上诉人）</w:t>
      </w:r>
      <w:r>
        <w:rPr>
          <w:rFonts w:hint="eastAsia"/>
          <w:sz w:val="28"/>
          <w:szCs w:val="28"/>
          <w:lang w:eastAsia="zh-CN"/>
        </w:rPr>
        <w:t>廖克祥等六人诉称：</w:t>
      </w:r>
      <w:r>
        <w:rPr>
          <w:rFonts w:hint="eastAsia"/>
          <w:sz w:val="28"/>
          <w:szCs w:val="28"/>
          <w:lang w:val="en-US" w:eastAsia="zh-CN"/>
        </w:rPr>
        <w:t>2020年10月21日7时53分许，杨义兰驾驶渝A6HW20轻型仓栅式货车载廖昌莲、周兴梅、冉永雄、王德碧、黄卓程、王阳、周兰碧从丰都县三合街道汇南场出发到丰都县包鸾镇红花坡村，当车行驶至丰都县三合街道鹿鸣岩村土门子水库堤坝时，车辆后滑入水库，造成杨义兰、廖昌莲、周兴梅、冉永雄、王德碧、黄卓程、王阳、周兰碧死亡的重大交通事故。事故发生后，重庆市丰都县公安局交通巡逻警察大队认定，杨义兰为全部过错，负事故全部责任，廖昌莲、周兴梅、冉永雄、王德碧、黄卓程、王阳、周兰碧无过错，不负事故责任。事故认定，虽分析系杨义兰操作不当，明显超员是事故发生的直接原因，但分析漏列该路段没有设置警示标志和安全防护措施事实是导致事故的原因事实。该路段丰都县人民政府</w:t>
      </w:r>
      <w:r>
        <w:rPr>
          <w:rFonts w:hint="eastAsia"/>
          <w:sz w:val="28"/>
          <w:szCs w:val="28"/>
          <w:lang w:eastAsia="zh-CN"/>
        </w:rPr>
        <w:t>三合街道办事处（以下简称三合街道办事处）、</w:t>
      </w:r>
      <w:r>
        <w:rPr>
          <w:rFonts w:hint="eastAsia"/>
          <w:sz w:val="28"/>
          <w:szCs w:val="28"/>
          <w:lang w:val="en-US" w:eastAsia="zh-CN"/>
        </w:rPr>
        <w:t>鹿鸣岩村民委员会（以下简称鹿鸣岩村委会）、丰都县三合街道农业服务中心（以下简称三合农服中心）、重庆市丰都县交通建设工程有限公司（以下简称丰都县交通公司）是该路段的建设、管理单位，由此应承担赔偿责任。</w:t>
      </w:r>
      <w:r>
        <w:rPr>
          <w:rFonts w:hint="eastAsia"/>
          <w:sz w:val="28"/>
          <w:szCs w:val="28"/>
          <w:lang w:eastAsia="zh-CN"/>
        </w:rPr>
        <w:t>胡青勇设置障碍也应承担赔偿责任。事故发生后三合街道办事处赔偿了</w:t>
      </w:r>
      <w:r>
        <w:rPr>
          <w:rFonts w:hint="eastAsia"/>
          <w:sz w:val="28"/>
          <w:szCs w:val="28"/>
          <w:lang w:val="en-US" w:eastAsia="zh-CN"/>
        </w:rPr>
        <w:t>8名死者的丧葬费各2万元。请求</w:t>
      </w:r>
      <w:r>
        <w:rPr>
          <w:rFonts w:hint="eastAsia"/>
          <w:sz w:val="28"/>
          <w:szCs w:val="28"/>
          <w:lang w:eastAsia="zh-CN"/>
        </w:rPr>
        <w:t>判令被告连带赔偿原告廖克等</w:t>
      </w:r>
      <w:r>
        <w:rPr>
          <w:rFonts w:hint="eastAsia"/>
          <w:sz w:val="28"/>
          <w:szCs w:val="28"/>
          <w:lang w:val="en-US" w:eastAsia="zh-CN"/>
        </w:rPr>
        <w:t>经济损失552,445元，诉讼费由被告承担</w:t>
      </w:r>
      <w:r>
        <w:rPr>
          <w:rFonts w:hint="eastAsia"/>
          <w:sz w:val="28"/>
          <w:szCs w:val="28"/>
          <w:lang w:eastAsia="zh-CN"/>
        </w:rPr>
        <w:t>。</w:t>
      </w:r>
    </w:p>
    <w:p>
      <w:pPr>
        <w:ind w:firstLine="560" w:firstLineChars="200"/>
        <w:rPr>
          <w:rFonts w:hint="eastAsia"/>
          <w:sz w:val="28"/>
          <w:szCs w:val="28"/>
          <w:lang w:val="en-US" w:eastAsia="zh-CN"/>
        </w:rPr>
      </w:pPr>
      <w:r>
        <w:rPr>
          <w:rFonts w:hint="eastAsia"/>
          <w:sz w:val="28"/>
          <w:szCs w:val="28"/>
          <w:lang w:eastAsia="zh-CN"/>
        </w:rPr>
        <w:t>被告（上诉人）三合街道办事处辩称：发生交通事故属实，补偿的金额属实</w:t>
      </w:r>
      <w:r>
        <w:rPr>
          <w:rFonts w:hint="eastAsia"/>
          <w:sz w:val="28"/>
          <w:szCs w:val="28"/>
          <w:lang w:val="en-US" w:eastAsia="zh-CN"/>
        </w:rPr>
        <w:t>。本案本应是交通事故责任纠纷，事故的原因是杨义兰操作不当，明显超员的原因导致，且本办事处无管理责任。原告以生命权纠纷起诉，赔偿标准应是农村人口标准。综上，请求驳回原告的诉讼请求。</w:t>
      </w:r>
    </w:p>
    <w:p>
      <w:pPr>
        <w:ind w:firstLine="560" w:firstLineChars="200"/>
        <w:rPr>
          <w:rFonts w:hint="eastAsia"/>
          <w:sz w:val="28"/>
          <w:szCs w:val="28"/>
          <w:lang w:val="en-US" w:eastAsia="zh-CN"/>
        </w:rPr>
      </w:pPr>
      <w:r>
        <w:rPr>
          <w:rFonts w:hint="eastAsia"/>
          <w:sz w:val="28"/>
          <w:szCs w:val="28"/>
          <w:lang w:val="en-US" w:eastAsia="zh-CN"/>
        </w:rPr>
        <w:t>被告（被上诉人）鹿鸣岩村村民委员会未作答辩。</w:t>
      </w:r>
    </w:p>
    <w:p>
      <w:pPr>
        <w:ind w:firstLine="560" w:firstLineChars="200"/>
        <w:rPr>
          <w:rFonts w:hint="eastAsia"/>
          <w:sz w:val="28"/>
          <w:szCs w:val="28"/>
          <w:lang w:val="en-US" w:eastAsia="zh-CN"/>
        </w:rPr>
      </w:pPr>
      <w:r>
        <w:rPr>
          <w:rFonts w:hint="eastAsia"/>
          <w:sz w:val="28"/>
          <w:szCs w:val="28"/>
          <w:lang w:val="en-US" w:eastAsia="zh-CN"/>
        </w:rPr>
        <w:t>被告（被上诉人）三合农服中心</w:t>
      </w:r>
      <w:r>
        <w:rPr>
          <w:rFonts w:hint="eastAsia"/>
          <w:sz w:val="28"/>
          <w:szCs w:val="28"/>
          <w:lang w:eastAsia="zh-CN"/>
        </w:rPr>
        <w:t>辩称：事故发生路段相连的是山坪塘，并非水库，事故发生与本服务中心无联系，不应承担责任。</w:t>
      </w:r>
    </w:p>
    <w:p>
      <w:pPr>
        <w:ind w:firstLine="560" w:firstLineChars="200"/>
        <w:rPr>
          <w:rFonts w:hint="eastAsia"/>
          <w:sz w:val="28"/>
          <w:szCs w:val="28"/>
          <w:lang w:val="en-US" w:eastAsia="zh-CN"/>
        </w:rPr>
      </w:pPr>
      <w:r>
        <w:rPr>
          <w:rFonts w:hint="eastAsia"/>
          <w:sz w:val="28"/>
          <w:szCs w:val="28"/>
          <w:lang w:val="en-US" w:eastAsia="zh-CN"/>
        </w:rPr>
        <w:t>被告（被上诉人）丰都县交通公司</w:t>
      </w:r>
      <w:r>
        <w:rPr>
          <w:rFonts w:hint="eastAsia"/>
          <w:sz w:val="28"/>
          <w:szCs w:val="28"/>
          <w:lang w:eastAsia="zh-CN"/>
        </w:rPr>
        <w:t>辩称：本公司是该路段改造工程的施工单位，且按设计施工要求及标准完成了施工，并经验收合格交付使用，不存在质量问题，与事故的发生没有因果关系，不应承担赔偿责任。应驳回原告的诉讼请求。</w:t>
      </w:r>
    </w:p>
    <w:p>
      <w:pPr>
        <w:ind w:firstLine="560" w:firstLineChars="200"/>
        <w:rPr>
          <w:rFonts w:hint="eastAsia"/>
          <w:sz w:val="28"/>
          <w:szCs w:val="28"/>
          <w:lang w:val="en-US" w:eastAsia="zh-CN"/>
        </w:rPr>
      </w:pPr>
      <w:r>
        <w:rPr>
          <w:rFonts w:hint="eastAsia"/>
          <w:sz w:val="28"/>
          <w:szCs w:val="28"/>
          <w:lang w:eastAsia="zh-CN"/>
        </w:rPr>
        <w:t>被告（被上诉人）胡青勇辩称：发生交通事故属实，但交通事故与本人无任何关联性</w:t>
      </w:r>
      <w:r>
        <w:rPr>
          <w:rFonts w:hint="eastAsia"/>
          <w:sz w:val="28"/>
          <w:szCs w:val="28"/>
          <w:lang w:val="en-US" w:eastAsia="zh-CN"/>
        </w:rPr>
        <w:t>。事故责任书已对事故的原因及责任进行了认定。据此，应驳回原告的诉讼请求。</w:t>
      </w:r>
    </w:p>
    <w:p>
      <w:pPr>
        <w:ind w:firstLine="560" w:firstLineChars="200"/>
        <w:rPr>
          <w:rFonts w:hint="eastAsia"/>
          <w:sz w:val="28"/>
          <w:szCs w:val="28"/>
          <w:lang w:val="en-US" w:eastAsia="zh-CN"/>
        </w:rPr>
      </w:pPr>
      <w:r>
        <w:rPr>
          <w:rFonts w:hint="eastAsia"/>
          <w:sz w:val="28"/>
          <w:szCs w:val="28"/>
          <w:lang w:val="en-US" w:eastAsia="zh-CN"/>
        </w:rPr>
        <w:t>第三人王德荣暨第三人王飞的法定代理人述称：对发生交通事故无异议。</w:t>
      </w:r>
    </w:p>
    <w:p>
      <w:pPr>
        <w:ind w:firstLine="560" w:firstLineChars="200"/>
        <w:rPr>
          <w:rFonts w:hint="eastAsia"/>
          <w:sz w:val="28"/>
          <w:szCs w:val="28"/>
          <w:lang w:val="en-US" w:eastAsia="zh-CN"/>
        </w:rPr>
      </w:pPr>
      <w:r>
        <w:rPr>
          <w:rFonts w:hint="eastAsia"/>
          <w:sz w:val="28"/>
          <w:szCs w:val="28"/>
          <w:lang w:val="en-US" w:eastAsia="zh-CN"/>
        </w:rPr>
        <w:t>第三人皮有妹未作陈述。</w:t>
      </w:r>
    </w:p>
    <w:p>
      <w:pPr>
        <w:ind w:firstLine="560" w:firstLineChars="200"/>
        <w:rPr>
          <w:rFonts w:hint="eastAsia"/>
          <w:sz w:val="28"/>
          <w:szCs w:val="28"/>
        </w:rPr>
      </w:pPr>
      <w:r>
        <w:rPr>
          <w:rFonts w:hint="eastAsia"/>
          <w:sz w:val="28"/>
          <w:szCs w:val="28"/>
          <w:lang w:eastAsia="zh-CN"/>
        </w:rPr>
        <w:t>法院经审理查明：死者</w:t>
      </w:r>
      <w:r>
        <w:rPr>
          <w:rFonts w:hint="eastAsia"/>
          <w:sz w:val="28"/>
          <w:szCs w:val="28"/>
          <w:lang w:val="en-US" w:eastAsia="zh-CN"/>
        </w:rPr>
        <w:t>廖昌莲</w:t>
      </w:r>
      <w:r>
        <w:rPr>
          <w:rFonts w:hint="eastAsia"/>
          <w:sz w:val="28"/>
          <w:szCs w:val="28"/>
          <w:lang w:eastAsia="zh-CN"/>
        </w:rPr>
        <w:t>系</w:t>
      </w:r>
      <w:r>
        <w:rPr>
          <w:rFonts w:hint="eastAsia"/>
          <w:sz w:val="28"/>
          <w:szCs w:val="28"/>
          <w:lang w:val="en-US" w:eastAsia="zh-CN"/>
        </w:rPr>
        <w:t>冉永奎</w:t>
      </w:r>
      <w:r>
        <w:rPr>
          <w:rFonts w:hint="eastAsia"/>
          <w:sz w:val="28"/>
          <w:szCs w:val="28"/>
          <w:lang w:eastAsia="zh-CN"/>
        </w:rPr>
        <w:t>之妻、廖克祥与张福芳之女、</w:t>
      </w:r>
      <w:r>
        <w:rPr>
          <w:rFonts w:hint="eastAsia"/>
          <w:sz w:val="28"/>
          <w:szCs w:val="28"/>
          <w:lang w:val="en-US" w:eastAsia="zh-CN"/>
        </w:rPr>
        <w:t>冉玉美、冉玉珠、冉兴之母</w:t>
      </w:r>
      <w:r>
        <w:rPr>
          <w:rFonts w:hint="eastAsia"/>
          <w:sz w:val="28"/>
          <w:szCs w:val="28"/>
          <w:lang w:eastAsia="zh-CN"/>
        </w:rPr>
        <w:t>。</w:t>
      </w:r>
      <w:r>
        <w:rPr>
          <w:rFonts w:hint="eastAsia"/>
          <w:sz w:val="28"/>
          <w:szCs w:val="28"/>
          <w:lang w:val="en-US" w:eastAsia="zh-CN"/>
        </w:rPr>
        <w:t>廖昌莲于1973年9月23日出生。</w:t>
      </w:r>
      <w:r>
        <w:rPr>
          <w:rFonts w:hint="eastAsia"/>
          <w:sz w:val="28"/>
          <w:szCs w:val="28"/>
        </w:rPr>
        <w:t>2020年10月21日7点53分，杨义兰</w:t>
      </w:r>
      <w:r>
        <w:rPr>
          <w:rFonts w:hint="eastAsia"/>
          <w:sz w:val="28"/>
          <w:szCs w:val="28"/>
          <w:lang w:eastAsia="zh-CN"/>
        </w:rPr>
        <w:t>（准驾车型</w:t>
      </w:r>
      <w:r>
        <w:rPr>
          <w:rFonts w:hint="eastAsia"/>
          <w:sz w:val="28"/>
          <w:szCs w:val="28"/>
          <w:lang w:val="en-US" w:eastAsia="zh-CN"/>
        </w:rPr>
        <w:t>C1，有效期2015年12月7日至2021年12月7日）</w:t>
      </w:r>
      <w:r>
        <w:rPr>
          <w:rFonts w:hint="eastAsia"/>
          <w:sz w:val="28"/>
          <w:szCs w:val="28"/>
        </w:rPr>
        <w:t>驾驶</w:t>
      </w:r>
      <w:r>
        <w:rPr>
          <w:rFonts w:hint="eastAsia"/>
          <w:sz w:val="28"/>
          <w:szCs w:val="28"/>
          <w:lang w:eastAsia="zh-CN"/>
        </w:rPr>
        <w:t>其所有的</w:t>
      </w:r>
      <w:r>
        <w:rPr>
          <w:rFonts w:hint="eastAsia"/>
          <w:sz w:val="28"/>
          <w:szCs w:val="28"/>
        </w:rPr>
        <w:t>渝A6HW20</w:t>
      </w:r>
      <w:r>
        <w:rPr>
          <w:rFonts w:hint="eastAsia"/>
          <w:sz w:val="28"/>
          <w:szCs w:val="28"/>
          <w:lang w:eastAsia="zh-CN"/>
        </w:rPr>
        <w:t>号</w:t>
      </w:r>
      <w:r>
        <w:rPr>
          <w:rFonts w:hint="eastAsia"/>
          <w:sz w:val="28"/>
          <w:szCs w:val="28"/>
        </w:rPr>
        <w:t>轻型仓栅式货车</w:t>
      </w:r>
      <w:r>
        <w:rPr>
          <w:rFonts w:hint="eastAsia"/>
          <w:sz w:val="28"/>
          <w:szCs w:val="28"/>
          <w:lang w:eastAsia="zh-CN"/>
        </w:rPr>
        <w:t>（核载</w:t>
      </w:r>
      <w:r>
        <w:rPr>
          <w:rFonts w:hint="eastAsia"/>
          <w:sz w:val="28"/>
          <w:szCs w:val="28"/>
          <w:lang w:val="en-US" w:eastAsia="zh-CN"/>
        </w:rPr>
        <w:t>5人，核载质量495KG）</w:t>
      </w:r>
      <w:r>
        <w:rPr>
          <w:rFonts w:hint="eastAsia"/>
          <w:sz w:val="28"/>
          <w:szCs w:val="28"/>
        </w:rPr>
        <w:t>载冉永雄、王德碧、黄卓程、王阳、周兴梅、周兰碧、廖昌莲从</w:t>
      </w:r>
      <w:r>
        <w:rPr>
          <w:rFonts w:hint="eastAsia"/>
          <w:sz w:val="28"/>
          <w:szCs w:val="28"/>
          <w:lang w:eastAsia="zh-CN"/>
        </w:rPr>
        <w:t>重庆市</w:t>
      </w:r>
      <w:r>
        <w:rPr>
          <w:rFonts w:hint="eastAsia"/>
          <w:sz w:val="28"/>
          <w:szCs w:val="28"/>
        </w:rPr>
        <w:t>丰都县三合街道汇南场</w:t>
      </w:r>
      <w:r>
        <w:rPr>
          <w:rFonts w:hint="eastAsia"/>
          <w:sz w:val="28"/>
          <w:szCs w:val="28"/>
          <w:lang w:eastAsia="zh-CN"/>
        </w:rPr>
        <w:t>镇</w:t>
      </w:r>
      <w:r>
        <w:rPr>
          <w:rFonts w:hint="eastAsia"/>
          <w:sz w:val="28"/>
          <w:szCs w:val="28"/>
        </w:rPr>
        <w:t>出发</w:t>
      </w:r>
      <w:r>
        <w:rPr>
          <w:rFonts w:hint="eastAsia"/>
          <w:sz w:val="28"/>
          <w:szCs w:val="28"/>
          <w:lang w:eastAsia="zh-CN"/>
        </w:rPr>
        <w:t>往</w:t>
      </w:r>
      <w:r>
        <w:rPr>
          <w:rFonts w:hint="eastAsia"/>
          <w:sz w:val="28"/>
          <w:szCs w:val="28"/>
        </w:rPr>
        <w:t>丰都县包鸾镇红花坡村</w:t>
      </w:r>
      <w:r>
        <w:rPr>
          <w:rFonts w:hint="eastAsia"/>
          <w:sz w:val="28"/>
          <w:szCs w:val="28"/>
          <w:lang w:eastAsia="zh-CN"/>
        </w:rPr>
        <w:t>方向行驶</w:t>
      </w:r>
      <w:r>
        <w:rPr>
          <w:rFonts w:hint="eastAsia"/>
          <w:sz w:val="28"/>
          <w:szCs w:val="28"/>
        </w:rPr>
        <w:t>，当车行驶至丰都县三合街道鹿鸣岩村土门子</w:t>
      </w:r>
      <w:r>
        <w:rPr>
          <w:rFonts w:hint="eastAsia"/>
          <w:sz w:val="28"/>
          <w:szCs w:val="28"/>
          <w:lang w:eastAsia="zh-CN"/>
        </w:rPr>
        <w:t>山坪塘</w:t>
      </w:r>
      <w:r>
        <w:rPr>
          <w:rFonts w:hint="eastAsia"/>
          <w:sz w:val="28"/>
          <w:szCs w:val="28"/>
        </w:rPr>
        <w:t>堤坝</w:t>
      </w:r>
      <w:r>
        <w:rPr>
          <w:rFonts w:hint="eastAsia"/>
          <w:sz w:val="28"/>
          <w:szCs w:val="28"/>
          <w:lang w:eastAsia="zh-CN"/>
        </w:rPr>
        <w:t>凸凹处</w:t>
      </w:r>
      <w:r>
        <w:rPr>
          <w:rFonts w:hint="eastAsia"/>
          <w:sz w:val="28"/>
          <w:szCs w:val="28"/>
        </w:rPr>
        <w:t>时，</w:t>
      </w:r>
      <w:r>
        <w:rPr>
          <w:rFonts w:hint="eastAsia"/>
          <w:sz w:val="28"/>
          <w:szCs w:val="28"/>
          <w:lang w:eastAsia="zh-CN"/>
        </w:rPr>
        <w:t>因</w:t>
      </w:r>
      <w:r>
        <w:rPr>
          <w:rFonts w:hint="eastAsia"/>
          <w:sz w:val="28"/>
          <w:szCs w:val="28"/>
        </w:rPr>
        <w:t>杨义兰</w:t>
      </w:r>
      <w:r>
        <w:rPr>
          <w:rFonts w:hint="eastAsia"/>
          <w:sz w:val="28"/>
          <w:szCs w:val="28"/>
          <w:lang w:eastAsia="zh-CN"/>
        </w:rPr>
        <w:t>没有把稳车辆油门，抖动致油门变小，开始上陡坡时换挡及油门调整不到位，导致车辆上坡后熄火。后因第一时间操作刹车不到位（车辆熄火时仅有一次踩刹车的机会），未能够刹住车，导致</w:t>
      </w:r>
      <w:r>
        <w:rPr>
          <w:rFonts w:hint="eastAsia"/>
          <w:sz w:val="28"/>
          <w:szCs w:val="28"/>
        </w:rPr>
        <w:t>车辆</w:t>
      </w:r>
      <w:r>
        <w:rPr>
          <w:rFonts w:hint="eastAsia"/>
          <w:sz w:val="28"/>
          <w:szCs w:val="28"/>
          <w:lang w:eastAsia="zh-CN"/>
        </w:rPr>
        <w:t>失控</w:t>
      </w:r>
      <w:r>
        <w:rPr>
          <w:rFonts w:hint="eastAsia"/>
          <w:sz w:val="28"/>
          <w:szCs w:val="28"/>
        </w:rPr>
        <w:t>后溜</w:t>
      </w:r>
      <w:r>
        <w:rPr>
          <w:rFonts w:hint="eastAsia"/>
          <w:sz w:val="28"/>
          <w:szCs w:val="28"/>
          <w:lang w:eastAsia="zh-CN"/>
        </w:rPr>
        <w:t>，</w:t>
      </w:r>
      <w:r>
        <w:rPr>
          <w:rFonts w:hint="eastAsia"/>
          <w:sz w:val="28"/>
          <w:szCs w:val="28"/>
        </w:rPr>
        <w:t>滑入</w:t>
      </w:r>
      <w:r>
        <w:rPr>
          <w:rFonts w:hint="eastAsia"/>
          <w:sz w:val="28"/>
          <w:szCs w:val="28"/>
          <w:lang w:eastAsia="zh-CN"/>
        </w:rPr>
        <w:t>山坪塘（原土公路挨山坪塘的一边安装有高</w:t>
      </w:r>
      <w:r>
        <w:rPr>
          <w:rFonts w:hint="eastAsia"/>
          <w:sz w:val="28"/>
          <w:szCs w:val="28"/>
          <w:lang w:val="en-US" w:eastAsia="zh-CN"/>
        </w:rPr>
        <w:t>30CM的防</w:t>
      </w:r>
      <w:r>
        <w:rPr>
          <w:rFonts w:hint="eastAsia"/>
          <w:sz w:val="28"/>
          <w:szCs w:val="28"/>
          <w:lang w:eastAsia="zh-CN"/>
        </w:rPr>
        <w:t>护墩</w:t>
      </w:r>
      <w:r>
        <w:rPr>
          <w:rFonts w:hint="eastAsia"/>
          <w:sz w:val="28"/>
          <w:szCs w:val="28"/>
        </w:rPr>
        <w:t>，</w:t>
      </w:r>
      <w:r>
        <w:rPr>
          <w:rFonts w:hint="eastAsia"/>
          <w:sz w:val="28"/>
          <w:szCs w:val="28"/>
          <w:lang w:val="en-US" w:eastAsia="zh-CN"/>
        </w:rPr>
        <w:t>2017年</w:t>
      </w:r>
      <w:r>
        <w:rPr>
          <w:rFonts w:hint="eastAsia"/>
          <w:sz w:val="28"/>
          <w:szCs w:val="28"/>
          <w:lang w:eastAsia="zh-CN"/>
        </w:rPr>
        <w:t>硬化成水泥路时因路基升高，</w:t>
      </w:r>
      <w:r>
        <w:rPr>
          <w:rFonts w:hint="eastAsia"/>
          <w:sz w:val="28"/>
          <w:szCs w:val="28"/>
          <w:lang w:val="en-US" w:eastAsia="zh-CN"/>
        </w:rPr>
        <w:t>防</w:t>
      </w:r>
      <w:r>
        <w:rPr>
          <w:rFonts w:hint="eastAsia"/>
          <w:sz w:val="28"/>
          <w:szCs w:val="28"/>
          <w:lang w:eastAsia="zh-CN"/>
        </w:rPr>
        <w:t>护墩只有</w:t>
      </w:r>
      <w:r>
        <w:rPr>
          <w:rFonts w:hint="eastAsia"/>
          <w:sz w:val="28"/>
          <w:szCs w:val="28"/>
          <w:lang w:val="en-US" w:eastAsia="zh-CN"/>
        </w:rPr>
        <w:t>15CM左右。发生本次事故时，此路段无警示标志，也未安装防护设施）</w:t>
      </w:r>
      <w:r>
        <w:rPr>
          <w:rFonts w:hint="eastAsia"/>
          <w:sz w:val="28"/>
          <w:szCs w:val="28"/>
        </w:rPr>
        <w:t>，造成驾驶员杨义兰及</w:t>
      </w:r>
      <w:r>
        <w:rPr>
          <w:rFonts w:hint="eastAsia"/>
          <w:sz w:val="28"/>
          <w:szCs w:val="28"/>
          <w:lang w:eastAsia="zh-CN"/>
        </w:rPr>
        <w:t>车内</w:t>
      </w:r>
      <w:r>
        <w:rPr>
          <w:rFonts w:hint="eastAsia"/>
          <w:sz w:val="28"/>
          <w:szCs w:val="28"/>
        </w:rPr>
        <w:t>乘客冉永雄</w:t>
      </w:r>
      <w:r>
        <w:rPr>
          <w:rFonts w:hint="eastAsia"/>
          <w:sz w:val="28"/>
          <w:szCs w:val="28"/>
          <w:lang w:eastAsia="zh-CN"/>
        </w:rPr>
        <w:t>共</w:t>
      </w:r>
      <w:r>
        <w:rPr>
          <w:rFonts w:hint="eastAsia"/>
          <w:sz w:val="28"/>
          <w:szCs w:val="28"/>
        </w:rPr>
        <w:t>8人溺水死亡</w:t>
      </w:r>
      <w:r>
        <w:rPr>
          <w:rFonts w:hint="eastAsia"/>
          <w:sz w:val="28"/>
          <w:szCs w:val="28"/>
          <w:lang w:eastAsia="zh-CN"/>
        </w:rPr>
        <w:t>的事故</w:t>
      </w:r>
      <w:r>
        <w:rPr>
          <w:rFonts w:hint="eastAsia"/>
          <w:sz w:val="28"/>
          <w:szCs w:val="28"/>
        </w:rPr>
        <w:t>。2021年1月30日</w:t>
      </w:r>
      <w:r>
        <w:rPr>
          <w:rFonts w:hint="eastAsia"/>
          <w:sz w:val="28"/>
          <w:szCs w:val="28"/>
          <w:lang w:eastAsia="zh-CN"/>
        </w:rPr>
        <w:t>，经</w:t>
      </w:r>
      <w:r>
        <w:rPr>
          <w:rFonts w:hint="eastAsia"/>
          <w:sz w:val="28"/>
          <w:szCs w:val="28"/>
        </w:rPr>
        <w:t>重庆市丰都县公安局交通巡逻警察大队事故认定，杨义兰</w:t>
      </w:r>
      <w:r>
        <w:rPr>
          <w:rFonts w:hint="eastAsia"/>
          <w:sz w:val="28"/>
          <w:szCs w:val="28"/>
          <w:lang w:eastAsia="zh-CN"/>
        </w:rPr>
        <w:t>驾驶车辆</w:t>
      </w:r>
      <w:r>
        <w:rPr>
          <w:rFonts w:hint="eastAsia"/>
          <w:sz w:val="28"/>
          <w:szCs w:val="28"/>
        </w:rPr>
        <w:t>在</w:t>
      </w:r>
      <w:r>
        <w:rPr>
          <w:rFonts w:hint="eastAsia"/>
          <w:sz w:val="28"/>
          <w:szCs w:val="28"/>
          <w:lang w:eastAsia="zh-CN"/>
        </w:rPr>
        <w:t>行驶过程中操作措施明显不当，</w:t>
      </w:r>
      <w:r>
        <w:rPr>
          <w:rFonts w:hint="eastAsia"/>
          <w:sz w:val="28"/>
          <w:szCs w:val="28"/>
        </w:rPr>
        <w:t>导致车辆后溜滑入水库</w:t>
      </w:r>
      <w:r>
        <w:rPr>
          <w:rFonts w:hint="eastAsia"/>
          <w:sz w:val="28"/>
          <w:szCs w:val="28"/>
          <w:lang w:eastAsia="zh-CN"/>
        </w:rPr>
        <w:t>（实为山坪塘）。</w:t>
      </w:r>
      <w:r>
        <w:rPr>
          <w:rFonts w:hint="eastAsia"/>
          <w:sz w:val="28"/>
          <w:szCs w:val="28"/>
        </w:rPr>
        <w:t>且车辆存在明显超员行为，其行为是造成事故发生的直接原因</w:t>
      </w:r>
      <w:r>
        <w:rPr>
          <w:rFonts w:hint="eastAsia"/>
          <w:sz w:val="28"/>
          <w:szCs w:val="28"/>
          <w:lang w:val="en-US" w:eastAsia="zh-CN"/>
        </w:rPr>
        <w:t>,</w:t>
      </w:r>
      <w:r>
        <w:rPr>
          <w:rFonts w:hint="eastAsia"/>
          <w:sz w:val="28"/>
          <w:szCs w:val="28"/>
        </w:rPr>
        <w:t>杨义兰</w:t>
      </w:r>
      <w:r>
        <w:rPr>
          <w:rFonts w:hint="eastAsia"/>
          <w:sz w:val="28"/>
          <w:szCs w:val="28"/>
          <w:lang w:eastAsia="zh-CN"/>
        </w:rPr>
        <w:t>在</w:t>
      </w:r>
      <w:r>
        <w:rPr>
          <w:rFonts w:hint="eastAsia"/>
          <w:sz w:val="28"/>
          <w:szCs w:val="28"/>
        </w:rPr>
        <w:t>此事故中为全部过错，负此次事故</w:t>
      </w:r>
      <w:r>
        <w:rPr>
          <w:rFonts w:hint="eastAsia"/>
          <w:sz w:val="28"/>
          <w:szCs w:val="28"/>
          <w:lang w:eastAsia="zh-CN"/>
        </w:rPr>
        <w:t>的</w:t>
      </w:r>
      <w:r>
        <w:rPr>
          <w:rFonts w:hint="eastAsia"/>
          <w:sz w:val="28"/>
          <w:szCs w:val="28"/>
        </w:rPr>
        <w:t>全部责任。</w:t>
      </w:r>
    </w:p>
    <w:p>
      <w:pPr>
        <w:ind w:firstLine="560" w:firstLineChars="200"/>
        <w:rPr>
          <w:rFonts w:hint="eastAsia"/>
          <w:sz w:val="28"/>
          <w:szCs w:val="28"/>
          <w:lang w:val="en-US" w:eastAsia="zh-CN"/>
        </w:rPr>
      </w:pPr>
      <w:r>
        <w:rPr>
          <w:rFonts w:hint="eastAsia"/>
          <w:sz w:val="28"/>
          <w:szCs w:val="28"/>
        </w:rPr>
        <w:t>事故发生</w:t>
      </w:r>
      <w:r>
        <w:rPr>
          <w:rFonts w:hint="eastAsia"/>
          <w:sz w:val="28"/>
          <w:szCs w:val="28"/>
          <w:lang w:eastAsia="zh-CN"/>
        </w:rPr>
        <w:t>后经对驾驶人</w:t>
      </w:r>
      <w:r>
        <w:rPr>
          <w:rFonts w:hint="eastAsia"/>
          <w:sz w:val="28"/>
          <w:szCs w:val="28"/>
        </w:rPr>
        <w:t>杨义兰</w:t>
      </w:r>
      <w:r>
        <w:rPr>
          <w:rFonts w:hint="eastAsia"/>
          <w:sz w:val="28"/>
          <w:szCs w:val="28"/>
          <w:lang w:eastAsia="zh-CN"/>
        </w:rPr>
        <w:t>的血型检测，血型中未检出乙醇、吗啡与甲基苯丙胺及其他毒物。</w:t>
      </w:r>
      <w:r>
        <w:rPr>
          <w:rFonts w:hint="eastAsia"/>
          <w:sz w:val="28"/>
          <w:szCs w:val="28"/>
        </w:rPr>
        <w:t>经重庆市正港司法鉴定</w:t>
      </w:r>
      <w:r>
        <w:rPr>
          <w:rFonts w:hint="eastAsia"/>
          <w:sz w:val="28"/>
          <w:szCs w:val="28"/>
          <w:lang w:eastAsia="zh-CN"/>
        </w:rPr>
        <w:t>中心对</w:t>
      </w:r>
      <w:r>
        <w:rPr>
          <w:rFonts w:hint="eastAsia"/>
          <w:sz w:val="28"/>
          <w:szCs w:val="28"/>
        </w:rPr>
        <w:t>渝A6HW20</w:t>
      </w:r>
      <w:r>
        <w:rPr>
          <w:rFonts w:hint="eastAsia"/>
          <w:sz w:val="28"/>
          <w:szCs w:val="28"/>
          <w:lang w:eastAsia="zh-CN"/>
        </w:rPr>
        <w:t>号</w:t>
      </w:r>
      <w:r>
        <w:rPr>
          <w:rFonts w:hint="eastAsia"/>
          <w:sz w:val="28"/>
          <w:szCs w:val="28"/>
        </w:rPr>
        <w:t>轻型仓栅式货车</w:t>
      </w:r>
      <w:r>
        <w:rPr>
          <w:rFonts w:hint="eastAsia"/>
          <w:sz w:val="28"/>
          <w:szCs w:val="28"/>
          <w:lang w:eastAsia="zh-CN"/>
        </w:rPr>
        <w:t>的安全技术性能进行</w:t>
      </w:r>
      <w:r>
        <w:rPr>
          <w:rFonts w:hint="eastAsia"/>
          <w:sz w:val="28"/>
          <w:szCs w:val="28"/>
        </w:rPr>
        <w:t>鉴定，</w:t>
      </w:r>
      <w:r>
        <w:rPr>
          <w:rFonts w:hint="eastAsia"/>
          <w:sz w:val="28"/>
          <w:szCs w:val="28"/>
          <w:lang w:eastAsia="zh-CN"/>
        </w:rPr>
        <w:t>其结论为：被鉴定车辆</w:t>
      </w:r>
      <w:r>
        <w:rPr>
          <w:rFonts w:hint="eastAsia"/>
          <w:sz w:val="28"/>
          <w:szCs w:val="28"/>
        </w:rPr>
        <w:t>渝A6HW20</w:t>
      </w:r>
      <w:r>
        <w:rPr>
          <w:rFonts w:hint="eastAsia"/>
          <w:sz w:val="28"/>
          <w:szCs w:val="28"/>
          <w:lang w:eastAsia="zh-CN"/>
        </w:rPr>
        <w:t>号</w:t>
      </w:r>
      <w:r>
        <w:rPr>
          <w:rFonts w:hint="eastAsia"/>
          <w:sz w:val="28"/>
          <w:szCs w:val="28"/>
        </w:rPr>
        <w:t>轻型仓栅式货车</w:t>
      </w:r>
      <w:r>
        <w:rPr>
          <w:rFonts w:hint="eastAsia"/>
          <w:sz w:val="28"/>
          <w:szCs w:val="28"/>
          <w:lang w:val="en-US" w:eastAsia="zh-CN"/>
        </w:rPr>
        <w:t>的前风窗玻璃事故前应是完好；该车转向、传动、行驶、制动装置未见异常，其性能事故前应有效。</w:t>
      </w:r>
    </w:p>
    <w:p>
      <w:pPr>
        <w:ind w:firstLine="560" w:firstLineChars="200"/>
        <w:rPr>
          <w:rFonts w:hint="eastAsia"/>
          <w:sz w:val="28"/>
          <w:szCs w:val="28"/>
          <w:lang w:val="en-US" w:eastAsia="zh-CN"/>
        </w:rPr>
      </w:pPr>
      <w:r>
        <w:rPr>
          <w:rFonts w:hint="eastAsia"/>
          <w:sz w:val="28"/>
          <w:szCs w:val="28"/>
          <w:lang w:eastAsia="zh-CN"/>
        </w:rPr>
        <w:t>“公路工程竣工验收鉴定书”记载，事发公路属四级村道路，全长</w:t>
      </w:r>
      <w:r>
        <w:rPr>
          <w:rFonts w:hint="eastAsia"/>
          <w:sz w:val="28"/>
          <w:szCs w:val="28"/>
          <w:lang w:val="en-US" w:eastAsia="zh-CN"/>
        </w:rPr>
        <w:t>82.54KM，</w:t>
      </w:r>
      <w:r>
        <w:rPr>
          <w:rFonts w:hint="eastAsia"/>
          <w:sz w:val="28"/>
          <w:szCs w:val="28"/>
          <w:lang w:eastAsia="zh-CN"/>
        </w:rPr>
        <w:t>于</w:t>
      </w:r>
      <w:r>
        <w:rPr>
          <w:rFonts w:hint="eastAsia"/>
          <w:sz w:val="28"/>
          <w:szCs w:val="28"/>
          <w:lang w:val="en-US" w:eastAsia="zh-CN"/>
        </w:rPr>
        <w:t>2017年6月20日开工，2018年2月15日完工</w:t>
      </w:r>
      <w:r>
        <w:rPr>
          <w:rFonts w:hint="eastAsia"/>
          <w:sz w:val="28"/>
          <w:szCs w:val="28"/>
          <w:lang w:eastAsia="zh-CN"/>
        </w:rPr>
        <w:t>，</w:t>
      </w:r>
      <w:r>
        <w:rPr>
          <w:rFonts w:hint="eastAsia"/>
          <w:sz w:val="28"/>
          <w:szCs w:val="28"/>
          <w:lang w:val="en-US" w:eastAsia="zh-CN"/>
        </w:rPr>
        <w:t>2019年11月27日验收合格，竣工决算资金3,083.0241万元</w:t>
      </w:r>
      <w:r>
        <w:rPr>
          <w:rFonts w:hint="eastAsia"/>
          <w:sz w:val="28"/>
          <w:szCs w:val="28"/>
          <w:lang w:eastAsia="zh-CN"/>
        </w:rPr>
        <w:t>。</w:t>
      </w:r>
      <w:r>
        <w:rPr>
          <w:rFonts w:hint="eastAsia"/>
          <w:sz w:val="28"/>
          <w:szCs w:val="28"/>
          <w:lang w:val="en-US" w:eastAsia="zh-CN"/>
        </w:rPr>
        <w:t>由</w:t>
      </w:r>
      <w:r>
        <w:rPr>
          <w:rFonts w:hint="eastAsia"/>
          <w:sz w:val="28"/>
          <w:szCs w:val="28"/>
          <w:lang w:eastAsia="zh-CN"/>
        </w:rPr>
        <w:t>三合街道办事处于</w:t>
      </w:r>
      <w:r>
        <w:rPr>
          <w:rFonts w:hint="eastAsia"/>
          <w:sz w:val="28"/>
          <w:szCs w:val="28"/>
          <w:lang w:val="en-US" w:eastAsia="zh-CN"/>
        </w:rPr>
        <w:t>2016年9月</w:t>
      </w:r>
      <w:r>
        <w:rPr>
          <w:rFonts w:hint="eastAsia"/>
          <w:sz w:val="28"/>
          <w:szCs w:val="28"/>
          <w:lang w:eastAsia="zh-CN"/>
        </w:rPr>
        <w:t>委托丰都县公路局设计室勘测设计后发包给</w:t>
      </w:r>
      <w:r>
        <w:rPr>
          <w:rFonts w:hint="eastAsia"/>
          <w:sz w:val="28"/>
          <w:szCs w:val="28"/>
        </w:rPr>
        <w:t>丰都交建公司</w:t>
      </w:r>
      <w:r>
        <w:rPr>
          <w:rFonts w:hint="eastAsia"/>
          <w:sz w:val="28"/>
          <w:szCs w:val="28"/>
          <w:lang w:eastAsia="zh-CN"/>
        </w:rPr>
        <w:t>承建（将土路硬化成水泥路）。</w:t>
      </w:r>
    </w:p>
    <w:p>
      <w:pPr>
        <w:ind w:firstLine="560" w:firstLineChars="200"/>
        <w:rPr>
          <w:rFonts w:hint="eastAsia"/>
          <w:sz w:val="28"/>
          <w:szCs w:val="28"/>
        </w:rPr>
      </w:pPr>
      <w:r>
        <w:rPr>
          <w:rFonts w:hint="eastAsia"/>
          <w:sz w:val="28"/>
          <w:szCs w:val="28"/>
          <w:lang w:eastAsia="zh-CN"/>
        </w:rPr>
        <w:t>事故发生后，三合街道办事处已向</w:t>
      </w:r>
      <w:r>
        <w:rPr>
          <w:rFonts w:hint="eastAsia"/>
          <w:sz w:val="28"/>
          <w:szCs w:val="28"/>
          <w:lang w:val="en-US" w:eastAsia="zh-CN"/>
        </w:rPr>
        <w:t>8名死者（其中</w:t>
      </w:r>
      <w:r>
        <w:rPr>
          <w:rFonts w:hint="eastAsia"/>
          <w:sz w:val="28"/>
          <w:szCs w:val="28"/>
        </w:rPr>
        <w:t>黄卓程</w:t>
      </w:r>
      <w:r>
        <w:rPr>
          <w:rFonts w:hint="eastAsia"/>
          <w:sz w:val="28"/>
          <w:szCs w:val="28"/>
          <w:lang w:eastAsia="zh-CN"/>
        </w:rPr>
        <w:t>系城镇居民）</w:t>
      </w:r>
      <w:r>
        <w:rPr>
          <w:rFonts w:hint="eastAsia"/>
          <w:sz w:val="28"/>
          <w:szCs w:val="28"/>
          <w:lang w:val="en-US" w:eastAsia="zh-CN"/>
        </w:rPr>
        <w:t>的近亲属各支付丧葬费20,000元</w:t>
      </w:r>
      <w:r>
        <w:rPr>
          <w:rFonts w:hint="eastAsia"/>
          <w:sz w:val="28"/>
          <w:szCs w:val="28"/>
        </w:rPr>
        <w:t>。</w:t>
      </w:r>
      <w:r>
        <w:rPr>
          <w:rFonts w:hint="eastAsia"/>
          <w:sz w:val="28"/>
          <w:szCs w:val="28"/>
          <w:lang w:eastAsia="zh-CN"/>
        </w:rPr>
        <w:t>第三人</w:t>
      </w:r>
      <w:r>
        <w:rPr>
          <w:rFonts w:hint="eastAsia"/>
          <w:sz w:val="28"/>
          <w:szCs w:val="28"/>
          <w:lang w:val="en-US" w:eastAsia="zh-CN"/>
        </w:rPr>
        <w:t>王飞、王德荣、皮有妹均为</w:t>
      </w:r>
      <w:r>
        <w:rPr>
          <w:rFonts w:hint="eastAsia"/>
          <w:sz w:val="28"/>
          <w:szCs w:val="28"/>
        </w:rPr>
        <w:t>杨义兰</w:t>
      </w:r>
      <w:r>
        <w:rPr>
          <w:rFonts w:hint="eastAsia"/>
          <w:sz w:val="28"/>
          <w:szCs w:val="28"/>
          <w:lang w:eastAsia="zh-CN"/>
        </w:rPr>
        <w:t>的第一顺序法定继承人。庭审中</w:t>
      </w:r>
      <w:r>
        <w:rPr>
          <w:rFonts w:hint="eastAsia"/>
          <w:sz w:val="28"/>
          <w:szCs w:val="28"/>
        </w:rPr>
        <w:t>原告</w:t>
      </w:r>
      <w:r>
        <w:rPr>
          <w:rFonts w:hint="eastAsia"/>
          <w:sz w:val="28"/>
          <w:szCs w:val="28"/>
          <w:lang w:eastAsia="zh-CN"/>
        </w:rPr>
        <w:t>廖克祥、张福芳、</w:t>
      </w:r>
      <w:r>
        <w:rPr>
          <w:rFonts w:hint="eastAsia"/>
          <w:sz w:val="28"/>
          <w:szCs w:val="28"/>
          <w:lang w:val="en-US" w:eastAsia="zh-CN"/>
        </w:rPr>
        <w:t>冉永奎、冉玉美、冉玉珠、冉兴明确表示放弃对</w:t>
      </w:r>
      <w:r>
        <w:rPr>
          <w:rFonts w:hint="eastAsia"/>
          <w:sz w:val="28"/>
          <w:szCs w:val="28"/>
          <w:lang w:eastAsia="zh-CN"/>
        </w:rPr>
        <w:t>第三人</w:t>
      </w:r>
      <w:r>
        <w:rPr>
          <w:rFonts w:hint="eastAsia"/>
          <w:sz w:val="28"/>
          <w:szCs w:val="28"/>
          <w:lang w:val="en-US" w:eastAsia="zh-CN"/>
        </w:rPr>
        <w:t>王飞、王德荣、皮有妹的赔偿请求权。</w:t>
      </w:r>
    </w:p>
    <w:p>
      <w:pPr>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[裁判结果]</w:t>
      </w:r>
    </w:p>
    <w:p>
      <w:pPr>
        <w:ind w:firstLine="560" w:firstLineChars="200"/>
        <w:rPr>
          <w:rFonts w:hint="eastAsia"/>
          <w:sz w:val="28"/>
          <w:szCs w:val="28"/>
          <w:lang w:val="en-US" w:eastAsia="zh-CN"/>
        </w:rPr>
      </w:pPr>
      <w:r>
        <w:rPr>
          <w:rFonts w:hint="eastAsia"/>
          <w:sz w:val="28"/>
          <w:szCs w:val="28"/>
          <w:lang w:eastAsia="zh-CN"/>
        </w:rPr>
        <w:t>重庆市丰都县人民法院于</w:t>
      </w:r>
      <w:r>
        <w:rPr>
          <w:rFonts w:hint="eastAsia"/>
          <w:sz w:val="28"/>
          <w:szCs w:val="28"/>
          <w:lang w:val="en-US" w:eastAsia="zh-CN"/>
        </w:rPr>
        <w:t>2021年12月16日作出(2021)渝0230民初4693号民事判决：一、被告三合街道办事处在本判决生效后10日内赔付原告廖克祥、张福芳、冉永奎、冉玉美、冉玉珠、冉兴因廖昌莲死亡产生的死亡赔偿金、丧葬费等损失共计34,474.45元；二、驳回原告廖克祥、张福芳、冉永奎、冉玉美、冉玉珠、冉兴的其余诉讼请求。</w:t>
      </w:r>
    </w:p>
    <w:p>
      <w:pPr>
        <w:ind w:firstLine="560" w:firstLineChars="200"/>
        <w:rPr>
          <w:rFonts w:hint="eastAsia"/>
          <w:sz w:val="28"/>
          <w:szCs w:val="28"/>
          <w:lang w:val="en-US" w:eastAsia="zh-CN"/>
        </w:rPr>
      </w:pPr>
      <w:r>
        <w:rPr>
          <w:rFonts w:hint="eastAsia"/>
          <w:sz w:val="28"/>
          <w:szCs w:val="28"/>
          <w:lang w:val="en-US" w:eastAsia="zh-CN"/>
        </w:rPr>
        <w:t>廖克祥、张福芳、冉永奎、冉玉美、冉玉珠、冉兴及三合街道办事处不服原判决，提出上诉。重庆市第三中级人民法院于2022年3月30日作出(2022)渝03民终268号判决：驳回上诉，维持原判。本案二审案件受理费3389.55元（2989.55元+400元），由上诉人廖克祥、张福芳、冉永奎、冉玉美、冉玉珠、冉兴等人共同负担2989.55元（上诉人廖克祥、张福芳、冉永奎、冉玉美、冉玉珠、冉兴等人已预交3162.22元，本院应该退回172.67元）；由上诉人丰都县人民政府三合街道办事处负担400元（上诉人丰都县人民政府三合街道办事处已预交400元）。</w:t>
      </w:r>
    </w:p>
    <w:p>
      <w:pPr>
        <w:ind w:firstLine="560" w:firstLineChars="200"/>
        <w:rPr>
          <w:rFonts w:hint="default"/>
          <w:sz w:val="28"/>
          <w:szCs w:val="28"/>
          <w:lang w:val="en-US" w:eastAsia="zh-CN"/>
        </w:rPr>
      </w:pPr>
      <w:r>
        <w:rPr>
          <w:rFonts w:hint="eastAsia" w:ascii="黑体" w:hAnsi="黑体" w:eastAsia="黑体" w:cs="黑体"/>
          <w:sz w:val="28"/>
          <w:szCs w:val="28"/>
          <w:lang w:val="en-US" w:eastAsia="zh-CN"/>
        </w:rPr>
        <w:t>[裁判理由]</w:t>
      </w:r>
    </w:p>
    <w:p>
      <w:pPr>
        <w:ind w:firstLine="280" w:firstLineChars="100"/>
        <w:rPr>
          <w:rFonts w:hint="default"/>
          <w:sz w:val="28"/>
          <w:szCs w:val="28"/>
          <w:lang w:val="en-US" w:eastAsia="zh-CN"/>
        </w:rPr>
      </w:pPr>
      <w:r>
        <w:rPr>
          <w:rFonts w:hint="eastAsia"/>
          <w:sz w:val="28"/>
          <w:szCs w:val="28"/>
          <w:lang w:eastAsia="zh-CN"/>
        </w:rPr>
        <w:t>法院生效判决</w:t>
      </w:r>
      <w:r>
        <w:rPr>
          <w:rFonts w:hint="eastAsia"/>
          <w:sz w:val="28"/>
          <w:szCs w:val="28"/>
        </w:rPr>
        <w:t>认为，</w:t>
      </w:r>
      <w:r>
        <w:rPr>
          <w:rFonts w:hint="eastAsia"/>
          <w:sz w:val="28"/>
          <w:szCs w:val="28"/>
          <w:lang w:eastAsia="zh-CN"/>
        </w:rPr>
        <w:t>《侵权责任法》第六条规定，行为人因过错侵害他人民事权益，应当承担侵权责任。第十六条规定</w:t>
      </w:r>
      <w:r>
        <w:rPr>
          <w:rFonts w:hint="eastAsia"/>
          <w:sz w:val="28"/>
          <w:szCs w:val="28"/>
        </w:rPr>
        <w:t>，</w:t>
      </w:r>
      <w:r>
        <w:rPr>
          <w:rFonts w:hint="eastAsia"/>
          <w:sz w:val="28"/>
          <w:szCs w:val="28"/>
          <w:lang w:eastAsia="zh-CN"/>
        </w:rPr>
        <w:t>侵害他人造成人身损害的，应当赔偿医疗费……；造成死亡的，还应当赔偿丧葬费和死亡赔偿金。第十七条规定，因同一侵权行为造成多人死亡的，可以以相同数额确定死亡赔偿金。</w:t>
      </w:r>
      <w:r>
        <w:rPr>
          <w:rFonts w:hint="eastAsia"/>
          <w:sz w:val="28"/>
          <w:szCs w:val="28"/>
        </w:rPr>
        <w:t>第</w:t>
      </w:r>
      <w:r>
        <w:rPr>
          <w:rFonts w:hint="eastAsia"/>
          <w:sz w:val="28"/>
          <w:szCs w:val="28"/>
          <w:lang w:eastAsia="zh-CN"/>
        </w:rPr>
        <w:t>二</w:t>
      </w:r>
      <w:r>
        <w:rPr>
          <w:rFonts w:hint="eastAsia"/>
          <w:sz w:val="28"/>
          <w:szCs w:val="28"/>
        </w:rPr>
        <w:t>十</w:t>
      </w:r>
      <w:r>
        <w:rPr>
          <w:rFonts w:hint="eastAsia"/>
          <w:sz w:val="28"/>
          <w:szCs w:val="28"/>
          <w:lang w:eastAsia="zh-CN"/>
        </w:rPr>
        <w:t>六</w:t>
      </w:r>
      <w:r>
        <w:rPr>
          <w:rFonts w:hint="eastAsia"/>
          <w:sz w:val="28"/>
          <w:szCs w:val="28"/>
        </w:rPr>
        <w:t>条</w:t>
      </w:r>
      <w:r>
        <w:rPr>
          <w:rFonts w:hint="eastAsia"/>
          <w:sz w:val="28"/>
          <w:szCs w:val="28"/>
          <w:lang w:eastAsia="zh-CN"/>
        </w:rPr>
        <w:t>规定，被侵权人对损害的发生也有过错的，可以减轻侵权人的责任。《民法典》</w:t>
      </w:r>
      <w:r>
        <w:rPr>
          <w:rFonts w:hint="eastAsia"/>
          <w:sz w:val="28"/>
          <w:szCs w:val="28"/>
          <w:lang w:val="en-US" w:eastAsia="zh-CN"/>
        </w:rPr>
        <w:t>第一千二百一十七条 非营运机动车发生交通事故造成无偿搭乘人损害，属于该机动车一方责任的，应当减轻其赔偿责任……。</w:t>
      </w:r>
    </w:p>
    <w:p>
      <w:pPr>
        <w:ind w:firstLine="560" w:firstLineChars="200"/>
        <w:rPr>
          <w:rFonts w:hint="eastAsia"/>
          <w:sz w:val="28"/>
          <w:szCs w:val="28"/>
          <w:lang w:eastAsia="zh-CN"/>
        </w:rPr>
      </w:pPr>
      <w:r>
        <w:rPr>
          <w:rFonts w:hint="eastAsia"/>
          <w:sz w:val="28"/>
          <w:szCs w:val="28"/>
          <w:lang w:eastAsia="zh-CN"/>
        </w:rPr>
        <w:t>就本案而言，事发公路</w:t>
      </w:r>
      <w:r>
        <w:rPr>
          <w:rFonts w:hint="eastAsia"/>
          <w:sz w:val="28"/>
          <w:szCs w:val="28"/>
          <w:lang w:val="en-US" w:eastAsia="zh-CN"/>
        </w:rPr>
        <w:t>由被告</w:t>
      </w:r>
      <w:r>
        <w:rPr>
          <w:rFonts w:hint="eastAsia"/>
          <w:sz w:val="28"/>
          <w:szCs w:val="28"/>
          <w:lang w:eastAsia="zh-CN"/>
        </w:rPr>
        <w:t>三合街道办事处委托相关部门勘测设计后发包给被告</w:t>
      </w:r>
      <w:r>
        <w:rPr>
          <w:rFonts w:hint="eastAsia"/>
          <w:sz w:val="28"/>
          <w:szCs w:val="28"/>
        </w:rPr>
        <w:t>丰都交建公司</w:t>
      </w:r>
      <w:r>
        <w:rPr>
          <w:rFonts w:hint="eastAsia"/>
          <w:sz w:val="28"/>
          <w:szCs w:val="28"/>
          <w:lang w:eastAsia="zh-CN"/>
        </w:rPr>
        <w:t>承建（将土路硬化成水泥路），</w:t>
      </w:r>
      <w:r>
        <w:rPr>
          <w:rFonts w:hint="eastAsia"/>
          <w:sz w:val="28"/>
          <w:szCs w:val="28"/>
          <w:lang w:val="en-US" w:eastAsia="zh-CN"/>
        </w:rPr>
        <w:t>2017年6月20日开工，2018年2月15日完工并投入使用，后经相关部门验收合格，证明被告</w:t>
      </w:r>
      <w:r>
        <w:rPr>
          <w:rFonts w:hint="eastAsia"/>
          <w:sz w:val="28"/>
          <w:szCs w:val="28"/>
          <w:lang w:eastAsia="zh-CN"/>
        </w:rPr>
        <w:t>三合街道办事处对该公路有设计合理性论证等职责。由于原有土公路挨山坪塘的一边装有</w:t>
      </w:r>
      <w:r>
        <w:rPr>
          <w:rFonts w:hint="eastAsia"/>
          <w:sz w:val="28"/>
          <w:szCs w:val="28"/>
          <w:lang w:val="en-US" w:eastAsia="zh-CN"/>
        </w:rPr>
        <w:t>防</w:t>
      </w:r>
      <w:r>
        <w:rPr>
          <w:rFonts w:hint="eastAsia"/>
          <w:sz w:val="28"/>
          <w:szCs w:val="28"/>
          <w:lang w:eastAsia="zh-CN"/>
        </w:rPr>
        <w:t>护墩</w:t>
      </w:r>
      <w:r>
        <w:rPr>
          <w:rFonts w:hint="eastAsia"/>
          <w:sz w:val="28"/>
          <w:szCs w:val="28"/>
        </w:rPr>
        <w:t>，</w:t>
      </w:r>
      <w:r>
        <w:rPr>
          <w:rFonts w:hint="eastAsia"/>
          <w:sz w:val="28"/>
          <w:szCs w:val="28"/>
          <w:lang w:eastAsia="zh-CN"/>
        </w:rPr>
        <w:t>说明此处客观存在风险。在</w:t>
      </w:r>
      <w:r>
        <w:rPr>
          <w:rFonts w:hint="eastAsia"/>
          <w:sz w:val="28"/>
          <w:szCs w:val="28"/>
          <w:lang w:val="en-US" w:eastAsia="zh-CN"/>
        </w:rPr>
        <w:t>2017-2018年该公路升级改造时，被告</w:t>
      </w:r>
      <w:r>
        <w:rPr>
          <w:rFonts w:hint="eastAsia"/>
          <w:sz w:val="28"/>
          <w:szCs w:val="28"/>
          <w:lang w:eastAsia="zh-CN"/>
        </w:rPr>
        <w:t>三合街道办事处</w:t>
      </w:r>
      <w:r>
        <w:rPr>
          <w:rFonts w:hint="eastAsia"/>
          <w:sz w:val="28"/>
          <w:szCs w:val="28"/>
          <w:lang w:val="en-US" w:eastAsia="zh-CN"/>
        </w:rPr>
        <w:t>更应</w:t>
      </w:r>
      <w:r>
        <w:rPr>
          <w:rFonts w:hint="eastAsia"/>
          <w:sz w:val="28"/>
          <w:szCs w:val="28"/>
          <w:lang w:eastAsia="zh-CN"/>
        </w:rPr>
        <w:t>根据</w:t>
      </w:r>
      <w:r>
        <w:rPr>
          <w:rFonts w:hint="eastAsia"/>
          <w:sz w:val="28"/>
          <w:szCs w:val="28"/>
          <w:lang w:val="en-US" w:eastAsia="zh-CN"/>
        </w:rPr>
        <w:t>交通部《公路工程技术规范》（JTGB01-2014）第10.2.4条第3款之规定设置路侧护栏</w:t>
      </w:r>
      <w:r>
        <w:rPr>
          <w:rFonts w:hint="eastAsia"/>
          <w:sz w:val="28"/>
          <w:szCs w:val="28"/>
          <w:lang w:eastAsia="zh-CN"/>
        </w:rPr>
        <w:t>而未</w:t>
      </w:r>
      <w:r>
        <w:rPr>
          <w:rFonts w:hint="eastAsia"/>
          <w:sz w:val="28"/>
          <w:szCs w:val="28"/>
          <w:lang w:val="en-US" w:eastAsia="zh-CN"/>
        </w:rPr>
        <w:t>设置</w:t>
      </w:r>
      <w:r>
        <w:rPr>
          <w:rFonts w:hint="eastAsia"/>
          <w:sz w:val="28"/>
          <w:szCs w:val="28"/>
          <w:lang w:eastAsia="zh-CN"/>
        </w:rPr>
        <w:t>存在轻微的过错。被告</w:t>
      </w:r>
      <w:r>
        <w:rPr>
          <w:rFonts w:hint="eastAsia"/>
          <w:sz w:val="28"/>
          <w:szCs w:val="28"/>
        </w:rPr>
        <w:t>三合</w:t>
      </w:r>
      <w:r>
        <w:rPr>
          <w:rFonts w:hint="eastAsia"/>
          <w:sz w:val="28"/>
          <w:szCs w:val="28"/>
          <w:lang w:eastAsia="zh-CN"/>
        </w:rPr>
        <w:t>农服中心的设置单位系</w:t>
      </w:r>
      <w:r>
        <w:rPr>
          <w:rFonts w:hint="eastAsia"/>
          <w:sz w:val="28"/>
          <w:szCs w:val="28"/>
          <w:lang w:val="en-US" w:eastAsia="zh-CN"/>
        </w:rPr>
        <w:t>被告</w:t>
      </w:r>
      <w:r>
        <w:rPr>
          <w:rFonts w:hint="eastAsia"/>
          <w:sz w:val="28"/>
          <w:szCs w:val="28"/>
          <w:lang w:eastAsia="zh-CN"/>
        </w:rPr>
        <w:t>三合街道办事处，其宗旨主要是为农业服务，无管理公路之业务，在本案不应承担责任；被告</w:t>
      </w:r>
      <w:r>
        <w:rPr>
          <w:rFonts w:hint="eastAsia"/>
          <w:sz w:val="28"/>
          <w:szCs w:val="28"/>
        </w:rPr>
        <w:t>丰都交建公司</w:t>
      </w:r>
      <w:r>
        <w:rPr>
          <w:rFonts w:hint="eastAsia"/>
          <w:sz w:val="28"/>
          <w:szCs w:val="28"/>
          <w:lang w:eastAsia="zh-CN"/>
        </w:rPr>
        <w:t>按</w:t>
      </w:r>
      <w:r>
        <w:rPr>
          <w:rFonts w:hint="eastAsia"/>
          <w:sz w:val="28"/>
          <w:szCs w:val="28"/>
          <w:lang w:val="en-US" w:eastAsia="zh-CN"/>
        </w:rPr>
        <w:t>被告</w:t>
      </w:r>
      <w:r>
        <w:rPr>
          <w:rFonts w:hint="eastAsia"/>
          <w:sz w:val="28"/>
          <w:szCs w:val="28"/>
          <w:lang w:eastAsia="zh-CN"/>
        </w:rPr>
        <w:t>三合街道办事处的要求承建该公路，结束后经验收已合格，在本案不存在过错；被告</w:t>
      </w:r>
      <w:r>
        <w:rPr>
          <w:rFonts w:hint="eastAsia"/>
          <w:sz w:val="28"/>
          <w:szCs w:val="28"/>
        </w:rPr>
        <w:t>鹿鸣岩村委会</w:t>
      </w:r>
      <w:r>
        <w:rPr>
          <w:rFonts w:hint="eastAsia"/>
          <w:sz w:val="28"/>
          <w:szCs w:val="28"/>
          <w:lang w:eastAsia="zh-CN"/>
        </w:rPr>
        <w:t>不是该公路的管理者、维护者，在本案不存在过错；被告</w:t>
      </w:r>
      <w:r>
        <w:rPr>
          <w:rFonts w:hint="eastAsia"/>
          <w:sz w:val="28"/>
          <w:szCs w:val="28"/>
        </w:rPr>
        <w:t>胡青勇</w:t>
      </w:r>
      <w:r>
        <w:rPr>
          <w:rFonts w:hint="eastAsia"/>
          <w:sz w:val="28"/>
          <w:szCs w:val="28"/>
          <w:lang w:eastAsia="zh-CN"/>
        </w:rPr>
        <w:t>因山坪塘排水的需要而修建引水拱，不影响车辆在公路（塘坝）的正常通行，在本案不存在过错。本次事故发生后经相关部门认定，属驾驶员</w:t>
      </w:r>
      <w:r>
        <w:rPr>
          <w:rFonts w:hint="eastAsia"/>
          <w:sz w:val="28"/>
          <w:szCs w:val="28"/>
        </w:rPr>
        <w:t>杨义兰</w:t>
      </w:r>
      <w:r>
        <w:rPr>
          <w:rFonts w:hint="eastAsia"/>
          <w:sz w:val="28"/>
          <w:szCs w:val="28"/>
          <w:lang w:eastAsia="zh-CN"/>
        </w:rPr>
        <w:t>操作措施明显不当所</w:t>
      </w:r>
      <w:r>
        <w:rPr>
          <w:rFonts w:hint="eastAsia"/>
          <w:sz w:val="28"/>
          <w:szCs w:val="28"/>
        </w:rPr>
        <w:t>致</w:t>
      </w:r>
      <w:r>
        <w:rPr>
          <w:rFonts w:hint="eastAsia"/>
          <w:sz w:val="28"/>
          <w:szCs w:val="28"/>
          <w:lang w:eastAsia="zh-CN"/>
        </w:rPr>
        <w:t>，</w:t>
      </w:r>
      <w:r>
        <w:rPr>
          <w:rFonts w:hint="eastAsia"/>
          <w:sz w:val="28"/>
          <w:szCs w:val="28"/>
        </w:rPr>
        <w:t>杨义兰</w:t>
      </w:r>
      <w:r>
        <w:rPr>
          <w:rFonts w:hint="eastAsia"/>
          <w:sz w:val="28"/>
          <w:szCs w:val="28"/>
          <w:lang w:eastAsia="zh-CN"/>
        </w:rPr>
        <w:t>存在重大过错；乘客</w:t>
      </w:r>
      <w:r>
        <w:rPr>
          <w:rFonts w:hint="eastAsia"/>
          <w:sz w:val="28"/>
          <w:szCs w:val="28"/>
          <w:lang w:val="en-US" w:eastAsia="zh-CN"/>
        </w:rPr>
        <w:t>廖昌莲</w:t>
      </w:r>
      <w:r>
        <w:rPr>
          <w:rFonts w:hint="eastAsia"/>
          <w:sz w:val="28"/>
          <w:szCs w:val="28"/>
          <w:lang w:eastAsia="zh-CN"/>
        </w:rPr>
        <w:t>明知该车已超载且无偿搭乘，</w:t>
      </w:r>
      <w:r>
        <w:rPr>
          <w:rFonts w:hint="eastAsia"/>
          <w:sz w:val="28"/>
          <w:szCs w:val="28"/>
          <w:lang w:val="en-US" w:eastAsia="zh-CN"/>
        </w:rPr>
        <w:t>廖昌莲应承担相应的民事责任</w:t>
      </w:r>
      <w:r>
        <w:rPr>
          <w:rFonts w:hint="eastAsia"/>
          <w:sz w:val="28"/>
          <w:szCs w:val="28"/>
          <w:lang w:eastAsia="zh-CN"/>
        </w:rPr>
        <w:t>。</w:t>
      </w:r>
    </w:p>
    <w:p>
      <w:pPr>
        <w:ind w:firstLine="560" w:firstLineChars="200"/>
        <w:rPr>
          <w:rFonts w:hint="eastAsia"/>
          <w:sz w:val="28"/>
          <w:szCs w:val="28"/>
          <w:lang w:eastAsia="zh-CN"/>
        </w:rPr>
      </w:pPr>
      <w:r>
        <w:rPr>
          <w:rFonts w:hint="eastAsia"/>
          <w:sz w:val="28"/>
          <w:szCs w:val="28"/>
          <w:lang w:eastAsia="zh-CN"/>
        </w:rPr>
        <w:t>综上，本院根据本案查明的过错程度，原因力事实，确定驾驶员</w:t>
      </w:r>
      <w:r>
        <w:rPr>
          <w:rFonts w:hint="eastAsia"/>
          <w:sz w:val="28"/>
          <w:szCs w:val="28"/>
        </w:rPr>
        <w:t>杨义兰</w:t>
      </w:r>
      <w:r>
        <w:rPr>
          <w:rFonts w:hint="eastAsia"/>
          <w:sz w:val="28"/>
          <w:szCs w:val="28"/>
          <w:lang w:eastAsia="zh-CN"/>
        </w:rPr>
        <w:t>承担</w:t>
      </w:r>
      <w:r>
        <w:rPr>
          <w:rFonts w:hint="eastAsia"/>
          <w:sz w:val="28"/>
          <w:szCs w:val="28"/>
          <w:lang w:val="en-US" w:eastAsia="zh-CN"/>
        </w:rPr>
        <w:t>80</w:t>
      </w:r>
      <w:r>
        <w:rPr>
          <w:rFonts w:hint="eastAsia"/>
          <w:sz w:val="28"/>
          <w:szCs w:val="28"/>
          <w:lang w:eastAsia="zh-CN"/>
        </w:rPr>
        <w:t>％的责任，</w:t>
      </w:r>
      <w:r>
        <w:rPr>
          <w:rFonts w:hint="eastAsia"/>
          <w:sz w:val="28"/>
          <w:szCs w:val="28"/>
          <w:lang w:val="en-US" w:eastAsia="zh-CN"/>
        </w:rPr>
        <w:t>廖昌莲</w:t>
      </w:r>
      <w:r>
        <w:rPr>
          <w:rFonts w:hint="eastAsia"/>
          <w:sz w:val="28"/>
          <w:szCs w:val="28"/>
          <w:lang w:eastAsia="zh-CN"/>
        </w:rPr>
        <w:t>承担</w:t>
      </w:r>
      <w:r>
        <w:rPr>
          <w:rFonts w:hint="eastAsia"/>
          <w:sz w:val="28"/>
          <w:szCs w:val="28"/>
          <w:lang w:val="en-US" w:eastAsia="zh-CN"/>
        </w:rPr>
        <w:t>15</w:t>
      </w:r>
      <w:r>
        <w:rPr>
          <w:rFonts w:hint="eastAsia"/>
          <w:sz w:val="28"/>
          <w:szCs w:val="28"/>
          <w:lang w:eastAsia="zh-CN"/>
        </w:rPr>
        <w:t>％的责任，</w:t>
      </w:r>
      <w:r>
        <w:rPr>
          <w:rFonts w:hint="eastAsia"/>
          <w:sz w:val="28"/>
          <w:szCs w:val="28"/>
          <w:lang w:val="en-US" w:eastAsia="zh-CN"/>
        </w:rPr>
        <w:t>被告</w:t>
      </w:r>
      <w:r>
        <w:rPr>
          <w:rFonts w:hint="eastAsia"/>
          <w:sz w:val="28"/>
          <w:szCs w:val="28"/>
          <w:lang w:eastAsia="zh-CN"/>
        </w:rPr>
        <w:t>三合街道办事处承担</w:t>
      </w:r>
      <w:r>
        <w:rPr>
          <w:rFonts w:hint="eastAsia"/>
          <w:sz w:val="28"/>
          <w:szCs w:val="28"/>
          <w:lang w:val="en-US" w:eastAsia="zh-CN"/>
        </w:rPr>
        <w:t>5</w:t>
      </w:r>
      <w:r>
        <w:rPr>
          <w:rFonts w:hint="eastAsia"/>
          <w:sz w:val="28"/>
          <w:szCs w:val="28"/>
          <w:lang w:eastAsia="zh-CN"/>
        </w:rPr>
        <w:t>％的责任，其余被告无责任。鉴于原告放弃</w:t>
      </w:r>
      <w:r>
        <w:rPr>
          <w:rFonts w:hint="eastAsia"/>
          <w:sz w:val="28"/>
          <w:szCs w:val="28"/>
        </w:rPr>
        <w:t>杨义兰</w:t>
      </w:r>
      <w:r>
        <w:rPr>
          <w:rFonts w:hint="eastAsia"/>
          <w:sz w:val="28"/>
          <w:szCs w:val="28"/>
          <w:lang w:eastAsia="zh-CN"/>
        </w:rPr>
        <w:t>承担的责任部分的请求，系原告对实体权利的处分，本院予以准许。</w:t>
      </w:r>
      <w:r>
        <w:rPr>
          <w:rFonts w:hint="eastAsia"/>
          <w:sz w:val="28"/>
          <w:szCs w:val="28"/>
          <w:lang w:val="en-US" w:eastAsia="zh-CN"/>
        </w:rPr>
        <w:t>廖昌莲</w:t>
      </w:r>
      <w:r>
        <w:rPr>
          <w:rFonts w:hint="eastAsia"/>
          <w:sz w:val="28"/>
          <w:szCs w:val="28"/>
          <w:lang w:eastAsia="zh-CN"/>
        </w:rPr>
        <w:t>承担的责任部分由原告自己承担。</w:t>
      </w:r>
    </w:p>
    <w:p>
      <w:pPr>
        <w:ind w:firstLine="560" w:firstLineChars="200"/>
        <w:rPr>
          <w:rFonts w:hint="eastAsia"/>
          <w:sz w:val="28"/>
          <w:szCs w:val="28"/>
          <w:lang w:eastAsia="zh-CN"/>
        </w:rPr>
      </w:pPr>
      <w:r>
        <w:rPr>
          <w:rFonts w:hint="eastAsia"/>
          <w:sz w:val="28"/>
          <w:szCs w:val="28"/>
          <w:lang w:eastAsia="zh-CN"/>
        </w:rPr>
        <w:t>廖昌莲死亡后的经济损失，本院依法确认如下：</w:t>
      </w:r>
      <w:r>
        <w:rPr>
          <w:rFonts w:hint="eastAsia"/>
          <w:sz w:val="28"/>
          <w:szCs w:val="28"/>
          <w:lang w:val="en-US" w:eastAsia="zh-CN"/>
        </w:rPr>
        <w:t>1.</w:t>
      </w:r>
      <w:r>
        <w:rPr>
          <w:rFonts w:hint="eastAsia"/>
          <w:sz w:val="28"/>
          <w:szCs w:val="28"/>
          <w:lang w:val="en" w:eastAsia="zh-CN"/>
        </w:rPr>
        <w:t>死亡赔偿金，计算为，</w:t>
      </w:r>
      <w:r>
        <w:rPr>
          <w:rFonts w:hint="eastAsia"/>
          <w:sz w:val="28"/>
          <w:szCs w:val="28"/>
          <w:lang w:val="en-US" w:eastAsia="zh-CN"/>
        </w:rPr>
        <w:t>40,006元/年×20年=800,120元，被扶养人生活费分别计算为，26,464元/年×11年÷3=97,034.67元（</w:t>
      </w:r>
      <w:r>
        <w:rPr>
          <w:rFonts w:hint="eastAsia"/>
          <w:sz w:val="28"/>
          <w:szCs w:val="28"/>
          <w:lang w:eastAsia="zh-CN"/>
        </w:rPr>
        <w:t>廖克祥</w:t>
      </w:r>
      <w:r>
        <w:rPr>
          <w:rFonts w:hint="eastAsia"/>
          <w:sz w:val="28"/>
          <w:szCs w:val="28"/>
          <w:lang w:val="en-US" w:eastAsia="zh-CN"/>
        </w:rPr>
        <w:t>），26,464元/年×10年÷3=88,213.33元（</w:t>
      </w:r>
      <w:r>
        <w:rPr>
          <w:rFonts w:hint="eastAsia"/>
          <w:sz w:val="28"/>
          <w:szCs w:val="28"/>
          <w:lang w:eastAsia="zh-CN"/>
        </w:rPr>
        <w:t>张福芳</w:t>
      </w:r>
      <w:r>
        <w:rPr>
          <w:rFonts w:hint="eastAsia"/>
          <w:sz w:val="28"/>
          <w:szCs w:val="28"/>
          <w:lang w:val="en-US" w:eastAsia="zh-CN"/>
        </w:rPr>
        <w:t>），26,464元/年×1年÷2</w:t>
      </w:r>
      <w:r>
        <w:rPr>
          <w:rFonts w:hint="eastAsia"/>
          <w:sz w:val="28"/>
          <w:szCs w:val="28"/>
          <w:lang w:val="en" w:eastAsia="zh-CN"/>
        </w:rPr>
        <w:t xml:space="preserve"> </w:t>
      </w:r>
      <w:r>
        <w:rPr>
          <w:rFonts w:hint="eastAsia"/>
          <w:sz w:val="28"/>
          <w:szCs w:val="28"/>
          <w:lang w:val="en-US" w:eastAsia="zh-CN"/>
        </w:rPr>
        <w:t>=13,232元（冉兴）</w:t>
      </w:r>
      <w:r>
        <w:rPr>
          <w:rFonts w:hint="eastAsia"/>
          <w:sz w:val="28"/>
          <w:szCs w:val="28"/>
          <w:lang w:val="en" w:eastAsia="zh-CN"/>
        </w:rPr>
        <w:t>，该项小计</w:t>
      </w:r>
      <w:r>
        <w:rPr>
          <w:rFonts w:hint="eastAsia"/>
          <w:sz w:val="28"/>
          <w:szCs w:val="28"/>
          <w:lang w:val="en-US" w:eastAsia="zh-CN"/>
        </w:rPr>
        <w:t>998,600元;</w:t>
      </w:r>
      <w:r>
        <w:rPr>
          <w:rFonts w:hint="eastAsia"/>
          <w:sz w:val="28"/>
          <w:szCs w:val="28"/>
          <w:lang w:val="en" w:eastAsia="zh-CN"/>
        </w:rPr>
        <w:t xml:space="preserve">                                                                                                                            </w:t>
      </w:r>
      <w:r>
        <w:rPr>
          <w:rFonts w:hint="eastAsia"/>
          <w:sz w:val="28"/>
          <w:szCs w:val="28"/>
          <w:lang w:val="en-US" w:eastAsia="zh-CN"/>
        </w:rPr>
        <w:t xml:space="preserve">    2.</w:t>
      </w:r>
      <w:r>
        <w:rPr>
          <w:rFonts w:hint="eastAsia"/>
          <w:sz w:val="28"/>
          <w:szCs w:val="28"/>
          <w:lang w:eastAsia="zh-CN"/>
        </w:rPr>
        <w:t>丧葬费。原告计算为</w:t>
      </w:r>
      <w:r>
        <w:rPr>
          <w:rFonts w:hint="eastAsia"/>
          <w:sz w:val="28"/>
          <w:szCs w:val="28"/>
          <w:lang w:val="en-US" w:eastAsia="zh-CN"/>
        </w:rPr>
        <w:t>49,190</w:t>
      </w:r>
      <w:r>
        <w:rPr>
          <w:rFonts w:hint="eastAsia"/>
          <w:sz w:val="28"/>
          <w:szCs w:val="28"/>
          <w:lang w:eastAsia="zh-CN"/>
        </w:rPr>
        <w:t>元（</w:t>
      </w:r>
      <w:r>
        <w:rPr>
          <w:rFonts w:hint="eastAsia"/>
          <w:sz w:val="28"/>
          <w:szCs w:val="28"/>
          <w:lang w:val="en-US" w:eastAsia="zh-CN"/>
        </w:rPr>
        <w:t>98,380</w:t>
      </w:r>
      <w:r>
        <w:rPr>
          <w:rFonts w:hint="eastAsia"/>
          <w:sz w:val="28"/>
          <w:szCs w:val="28"/>
          <w:lang w:eastAsia="zh-CN"/>
        </w:rPr>
        <w:t>元／年÷12个月×6个月）。精神损害抚慰金。原告拟计算</w:t>
      </w:r>
      <w:r>
        <w:rPr>
          <w:rFonts w:hint="eastAsia"/>
          <w:sz w:val="28"/>
          <w:szCs w:val="28"/>
          <w:lang w:val="en-US" w:eastAsia="zh-CN"/>
        </w:rPr>
        <w:t>50,000</w:t>
      </w:r>
      <w:r>
        <w:rPr>
          <w:rFonts w:hint="eastAsia"/>
          <w:sz w:val="28"/>
          <w:szCs w:val="28"/>
          <w:lang w:eastAsia="zh-CN"/>
        </w:rPr>
        <w:t>元。</w:t>
      </w:r>
      <w:r>
        <w:rPr>
          <w:rFonts w:hint="eastAsia"/>
          <w:sz w:val="28"/>
          <w:szCs w:val="28"/>
          <w:lang w:val="en-US" w:eastAsia="zh-CN"/>
        </w:rPr>
        <w:t>廖昌莲</w:t>
      </w:r>
      <w:r>
        <w:rPr>
          <w:rFonts w:hint="eastAsia"/>
          <w:sz w:val="28"/>
          <w:szCs w:val="28"/>
          <w:lang w:eastAsia="zh-CN"/>
        </w:rPr>
        <w:t>死亡后，给其亲属即本案原告造成了较大的精神伤害。但</w:t>
      </w:r>
      <w:r>
        <w:rPr>
          <w:rFonts w:hint="eastAsia"/>
          <w:sz w:val="28"/>
          <w:szCs w:val="28"/>
          <w:lang w:val="en-US" w:eastAsia="zh-CN"/>
        </w:rPr>
        <w:t>廖昌莲</w:t>
      </w:r>
      <w:r>
        <w:rPr>
          <w:rFonts w:hint="eastAsia"/>
          <w:sz w:val="28"/>
          <w:szCs w:val="28"/>
          <w:lang w:eastAsia="zh-CN"/>
        </w:rPr>
        <w:t>因系无偿和明知超载而搭乘在本案存在过错，故本院酌定赔为</w:t>
      </w:r>
      <w:r>
        <w:rPr>
          <w:rFonts w:hint="eastAsia"/>
          <w:sz w:val="28"/>
          <w:szCs w:val="28"/>
          <w:lang w:val="en-US" w:eastAsia="zh-CN"/>
        </w:rPr>
        <w:t>40,000元</w:t>
      </w:r>
      <w:r>
        <w:rPr>
          <w:rFonts w:hint="eastAsia"/>
          <w:sz w:val="28"/>
          <w:szCs w:val="28"/>
          <w:lang w:eastAsia="zh-CN"/>
        </w:rPr>
        <w:t>；</w:t>
      </w:r>
      <w:r>
        <w:rPr>
          <w:rFonts w:hint="eastAsia"/>
          <w:sz w:val="28"/>
          <w:szCs w:val="28"/>
          <w:lang w:val="en" w:eastAsia="zh-CN"/>
        </w:rPr>
        <w:t xml:space="preserve">                                                                                                                                                                                                                                                                                                                                                                                                                                                                                                                                                                                                                                                                                                                                                                                                                                                                                                                                                                                                                                                                                                                                                                                                                                                                                                                                                                                                                                                                                                                                                                                                                                                                                                                                                                                                                                                                                                                                                                                                                                                                                                                                                                                                                                                                                                                                                                                                                                                                                                                                                                                                                                                                                                                                                                                                                                                                                                                                                                                                                                                                                                                                                                                                                                                                                                                                                                                                                                                                                                                                                                                                                                                                                                                                                                                                                                                                                                                                                                       </w:t>
      </w:r>
      <w:r>
        <w:rPr>
          <w:rFonts w:hint="eastAsia"/>
          <w:sz w:val="28"/>
          <w:szCs w:val="28"/>
          <w:lang w:val="en-US" w:eastAsia="zh-CN"/>
        </w:rPr>
        <w:t>3.办理丧葬支出的交通费、住宿费、误工费损失。</w:t>
      </w:r>
      <w:r>
        <w:rPr>
          <w:rFonts w:hint="eastAsia"/>
          <w:sz w:val="28"/>
          <w:szCs w:val="28"/>
          <w:lang w:eastAsia="zh-CN"/>
        </w:rPr>
        <w:t>原告拟计算</w:t>
      </w:r>
      <w:r>
        <w:rPr>
          <w:rFonts w:hint="eastAsia"/>
          <w:sz w:val="28"/>
          <w:szCs w:val="28"/>
          <w:lang w:val="en-US" w:eastAsia="zh-CN"/>
        </w:rPr>
        <w:t>交通费3,000元、住宿费2,000元、误工费2,100元，虽原告</w:t>
      </w:r>
      <w:r>
        <w:rPr>
          <w:rFonts w:hint="eastAsia"/>
          <w:sz w:val="28"/>
          <w:szCs w:val="28"/>
          <w:lang w:eastAsia="zh-CN"/>
        </w:rPr>
        <w:t>未举示相关票据证明，但</w:t>
      </w:r>
      <w:r>
        <w:rPr>
          <w:rFonts w:hint="eastAsia"/>
          <w:sz w:val="28"/>
          <w:szCs w:val="28"/>
          <w:lang w:val="en-US" w:eastAsia="zh-CN"/>
        </w:rPr>
        <w:t>本院考虑实际情况，酌定赔付交通费600元、住宿费500元，误工费600元（2人×3天×100元/天），共计1,700元。</w:t>
      </w:r>
      <w:r>
        <w:rPr>
          <w:rFonts w:hint="eastAsia"/>
          <w:sz w:val="28"/>
          <w:szCs w:val="28"/>
          <w:lang w:eastAsia="zh-CN"/>
        </w:rPr>
        <w:t>上列损失共计</w:t>
      </w:r>
      <w:r>
        <w:rPr>
          <w:rFonts w:hint="eastAsia"/>
          <w:sz w:val="28"/>
          <w:szCs w:val="28"/>
          <w:lang w:val="en-US" w:eastAsia="zh-CN"/>
        </w:rPr>
        <w:t>1,089,490元。</w:t>
      </w:r>
      <w:r>
        <w:rPr>
          <w:rFonts w:hint="eastAsia"/>
          <w:sz w:val="28"/>
          <w:szCs w:val="28"/>
          <w:lang w:eastAsia="zh-CN"/>
        </w:rPr>
        <w:t>三合街道办事处应赔付的金额为，</w:t>
      </w:r>
      <w:r>
        <w:rPr>
          <w:rFonts w:hint="eastAsia"/>
          <w:sz w:val="28"/>
          <w:szCs w:val="28"/>
          <w:lang w:val="en-US" w:eastAsia="zh-CN"/>
        </w:rPr>
        <w:t>108,9490元×5%=54,474.5元，扣减已赔偿的金额20,000元，实际赔偿的金额为34,474.5元。</w:t>
      </w:r>
      <w:r>
        <w:rPr>
          <w:rStyle w:val="5"/>
          <w:rFonts w:hint="eastAsia"/>
          <w:sz w:val="28"/>
          <w:szCs w:val="28"/>
          <w:lang w:val="en-US" w:eastAsia="zh-CN"/>
        </w:rPr>
        <w:footnoteReference w:id="0"/>
      </w:r>
    </w:p>
    <w:p>
      <w:pPr>
        <w:ind w:firstLine="560" w:firstLineChars="200"/>
        <w:rPr>
          <w:rFonts w:hint="eastAsia"/>
          <w:sz w:val="28"/>
          <w:szCs w:val="28"/>
          <w:lang w:eastAsia="zh-CN"/>
        </w:rPr>
      </w:pPr>
      <w:r>
        <w:rPr>
          <w:rFonts w:hint="eastAsia" w:ascii="黑体" w:hAnsi="黑体" w:eastAsia="黑体" w:cs="黑体"/>
          <w:sz w:val="28"/>
          <w:szCs w:val="28"/>
          <w:lang w:eastAsia="zh-CN"/>
        </w:rPr>
        <w:t>[案例注解]</w:t>
      </w:r>
    </w:p>
    <w:p>
      <w:pPr>
        <w:ind w:firstLine="560" w:firstLineChars="200"/>
        <w:rPr>
          <w:rFonts w:hint="eastAsia"/>
          <w:sz w:val="28"/>
          <w:szCs w:val="28"/>
          <w:lang w:val="en-US" w:eastAsia="zh-CN"/>
        </w:rPr>
      </w:pPr>
      <w:r>
        <w:rPr>
          <w:rFonts w:hint="eastAsia"/>
          <w:sz w:val="28"/>
          <w:szCs w:val="28"/>
          <w:lang w:val="en-US" w:eastAsia="zh-CN"/>
        </w:rPr>
        <w:t>本案争议的焦点是：主体的性质及适用程序；因果关系事实的分析判断及实体责任划分问题。</w:t>
      </w:r>
    </w:p>
    <w:p>
      <w:pPr>
        <w:ind w:firstLine="560" w:firstLineChars="200"/>
        <w:rPr>
          <w:rFonts w:hint="eastAsia"/>
          <w:sz w:val="28"/>
          <w:szCs w:val="28"/>
          <w:lang w:val="en-US" w:eastAsia="zh-CN"/>
        </w:rPr>
      </w:pPr>
      <w:r>
        <w:rPr>
          <w:rFonts w:hint="eastAsia"/>
          <w:sz w:val="28"/>
          <w:szCs w:val="28"/>
          <w:lang w:val="en-US" w:eastAsia="zh-CN"/>
        </w:rPr>
        <w:t>一、主体的性质及适用程序问题。原告在诉讼中罗列了三合街道办事处、鹿鸣岩村委会、三合农服中心、丰都县交通公司、胡青勇 、王飞等第三人为民事责任主体（被告），从程序法视角看，除三合街道办事处最具争议外，其余基本没有程序上的争议，因为这些当事人均为民事主体，当然实体法上是否真正属于责任主体，应从侵权责任法视角进行事实与实体法上考察论证。首先从程序法上进行讨论分析。之所以说三合街道办事处最有争议，是因为三合街道办事处具有双重身份，一是在履行行政职责时，属于行政机关，其行为属于行政行为，产生的诉讼属于行政诉讼，当事人不能为此提起民事诉讼，如发生侵权，只能按行政诉讼程序提起行政赔偿诉讼；二是以平等的身份与自然人、法人、其他组织缔结民事法律关系或非因行政行为侵权而是因民事侵权行为产生的损害赔偿诉讼，只能提起民事诉讼。由此必须界定三合街道办事处在本案中的主体性质。从本案查明的事实看，系三合街道办事处作为业主在改造乡村公路时，因公路改造设计存在瑕疵，由于改造公路“瑕疵” 与杨义兰违规行驶行为结合导致他人损害。那么三合街道办事处改造公路的行为是行政行为或是民事行为呢？这里不妨从法律相关规定进行分析，我国《公路法》第八条第一、二款规定国务院及地方交通主管部门是国道、省道的管理监督部门，该条第三款规定，乡、民族乡、镇人民政府负责本行政区域内的乡（村）道建设和养护工作。从条文的文字表述上看，交通行政主管部门管理监督属行政行为无异议，但第三款的乡（镇）政府“建设与养护”是否也属行政行为呢？理论存疑，值得讨论。“建设”确认的是建设公路的业主资格及建设义务主体问题，“养护”确认的是公路保护维修的义务主体问题，该款并没有明确“建设”、“养护”行为的行民性质界分，如何进行界分？还必须从行政行为的概念入手进行分析。行政行为这个概念最早是德国著名行政法学家奥图.梅叶尔运用概念法学方法提炼出来的称谓，后跨越国界和法系成为行政法学的一个核心范畴和概念</w:t>
      </w:r>
      <w:r>
        <w:rPr>
          <w:rFonts w:hint="eastAsia"/>
          <w:sz w:val="28"/>
          <w:szCs w:val="28"/>
          <w:lang w:val="en-US" w:eastAsia="zh-CN"/>
        </w:rPr>
        <w:footnoteReference w:id="1"/>
      </w:r>
      <w:r>
        <w:rPr>
          <w:rFonts w:hint="eastAsia"/>
          <w:sz w:val="28"/>
          <w:szCs w:val="28"/>
          <w:lang w:val="en-US" w:eastAsia="zh-CN"/>
        </w:rPr>
        <w:t>，对于“行政行为”概念在发展过程中存在多种学说，有行为主体说、行政权说、合法行为说。行为主体说认为，凡是行政机关所作的行为均属行政行为，包括运用行政权所作的事实行为和非运用行政权所作的私法行为；行政权说认为，运用行政权所作的行为就是行政行为，包括行政法律行为、行政事实行为和准法律行为三类，但不包括行政机关非运用行政权所作出的私法行为；公法行为说认为，行政行为是具有行政法（公法）意义或效果的行为，该学说将私法行为及事实行为排除在行政行为之外。姜明安教授认为行政行为是享有行政权能的组织运用行政权对行政相对人所作的法律行为，不具有行政权能的组织的行为，或非运用行政权的行为，以及不具有法律意义的事实行为均不属于行政行为。由此可以看出姜明安教授采用了折中的方法定义了行政行为。我国2014年修正的《行政诉讼法》没有对行政行为的概念进行定义，对如何把握可诉行政行为是通过该法第十二条第一款共十二项列举的形式加兜底第二款“……人民法院受理法律、法规规定可以提起诉讼的其他行政案件”概括的方式进行处理。笔者认为，虽然我国《行政诉讼法》没有规定行政行为的概念，并非行政行为概念不重要，恰恰相反，在一些疑难复杂案件必须把握概念才能界定行政行为与民事行为，后才能确定程序法的选择及实体法律适用。为此，应当对行政行为概念进行界定。对于行政行为概念定义，笔者赞同姜明安教授的定义方法，将非运用行政权的私法行为排除在行政行为之外。界定为行政行为并非都能启动行政诉讼程序，因我国并非将所有的行政行为引发的问题都纳入行政诉讼，部分行政行为产生的问题由行政法规定的行政程序进行解决，如外交问题通过外交渠道解决，其他还有行政裁决，行政复议（不能提起行政诉讼的复议部分）等。进入行政诉讼的案件是指部分行政行为引发的，符合《行政诉讼法》第十二条规定受理范围的案件。结合行政行为概念内涵不难判断三合街道办事处在案件中的行为属性。从案件事实看，三合街道办事处决定改造乡村公路虽然是运用行政权的行为，但本案并非改造决定本身引发，而是在决定作出之后，利用自己的业主地位，通过制定招标方案，委托专业机构设计，选择施工方，对道路工程进行竣工验收，这之后的系列行为均不是运用行政权对行政相对人所作的行政行为，而是通过平等协商的形式，确定民事法律关系，这些行为属民事行为，正是这些民事行为致公路改造出现瑕疵，再因瑕疵事实与其他侵权行为结合导致了他人损害（这里姑且允许笔者从程序上进行的当事人责任拟定，实体法上是否有责任这里不论，下文再分析当事人实体法上的责任问题），由此可以得出结论，三合街道办事处现实改造乡村公路的行为属于民事行为，其主体性质属于民事主体性质，与本案的其他当事人处于同一民事主体地位。诉讼程序不存在行政诉讼问题，只能是民事诉讼。</w:t>
      </w:r>
    </w:p>
    <w:p>
      <w:pPr>
        <w:ind w:firstLine="560" w:firstLineChars="200"/>
        <w:rPr>
          <w:rFonts w:hint="eastAsia"/>
          <w:sz w:val="28"/>
          <w:szCs w:val="28"/>
          <w:lang w:val="en-US" w:eastAsia="zh-CN"/>
        </w:rPr>
      </w:pPr>
      <w:r>
        <w:rPr>
          <w:rFonts w:hint="eastAsia"/>
          <w:sz w:val="28"/>
          <w:szCs w:val="28"/>
          <w:lang w:val="en-US" w:eastAsia="zh-CN"/>
        </w:rPr>
        <w:t>二、因果关系的分析判断及实体上责任划分问题。从交警队《交通事故责任认定书》认定的事实及责任划分看，已经认定驾驶员杨义兰为全部过错，搭载的人员无责任，是否由此就排除本案其他被告及第三人的责任呢？答案是否定的。因为，对于交警队而言是从行政管理或从是否需要进行刑事追究而作的事实判定，在民事案件审理中仅仅是证据，和司法鉴定意见没有本质区别。同时也并非是发生法律效力的法律文书。这个问题全国人大法工委作过解释，</w:t>
      </w:r>
      <w:r>
        <w:rPr>
          <w:rFonts w:hint="eastAsia"/>
          <w:color w:val="000000" w:themeColor="text1"/>
          <w:sz w:val="28"/>
          <w:szCs w:val="28"/>
          <w:lang w:val="en-US" w:eastAsia="zh-CN"/>
          <w14:textFill>
            <w14:solidFill>
              <w14:schemeClr w14:val="tx1"/>
            </w14:solidFill>
          </w14:textFill>
        </w:rPr>
        <w:t>本文不作深层次研究。</w:t>
      </w:r>
      <w:r>
        <w:rPr>
          <w:rFonts w:hint="eastAsia"/>
          <w:sz w:val="28"/>
          <w:szCs w:val="28"/>
          <w:lang w:val="en-US" w:eastAsia="zh-CN"/>
        </w:rPr>
        <w:t>对于侵权损害赔偿案件，法院应进行全面的事实审理及法律审理才能作出裁判。下面就原告所列被告及第三人是否真正存在实体法赔偿责任进行分析。</w:t>
      </w:r>
      <w:r>
        <w:rPr>
          <w:rFonts w:hint="eastAsia"/>
          <w:color w:val="000000" w:themeColor="text1"/>
          <w:sz w:val="28"/>
          <w:szCs w:val="28"/>
          <w:lang w:val="en-US" w:eastAsia="zh-CN"/>
          <w14:textFill>
            <w14:solidFill>
              <w14:schemeClr w14:val="tx1"/>
            </w14:solidFill>
          </w14:textFill>
        </w:rPr>
        <w:t>驾驶员杨义兰驾驶车辆越过山坪塘这一危险路段时</w:t>
      </w:r>
      <w:r>
        <w:rPr>
          <w:rFonts w:hint="eastAsia"/>
          <w:sz w:val="28"/>
          <w:szCs w:val="28"/>
          <w:lang w:val="en-US" w:eastAsia="zh-CN"/>
        </w:rPr>
        <w:t>，本应把稳方向、</w:t>
      </w:r>
      <w:r>
        <w:rPr>
          <w:rFonts w:hint="eastAsia"/>
          <w:color w:val="000000" w:themeColor="text1"/>
          <w:sz w:val="28"/>
          <w:szCs w:val="28"/>
          <w:lang w:val="en-US" w:eastAsia="zh-CN"/>
          <w14:textFill>
            <w14:solidFill>
              <w14:schemeClr w14:val="tx1"/>
            </w14:solidFill>
          </w14:textFill>
        </w:rPr>
        <w:t>减速并把稳油门谨慎行驶，不</w:t>
      </w:r>
      <w:r>
        <w:rPr>
          <w:rFonts w:hint="eastAsia"/>
          <w:sz w:val="28"/>
          <w:szCs w:val="28"/>
          <w:lang w:val="en-US" w:eastAsia="zh-CN"/>
        </w:rPr>
        <w:t>超载行驶，但</w:t>
      </w:r>
      <w:r>
        <w:rPr>
          <w:rFonts w:hint="eastAsia"/>
          <w:color w:val="000000" w:themeColor="text1"/>
          <w:sz w:val="28"/>
          <w:szCs w:val="28"/>
          <w:lang w:val="en-US" w:eastAsia="zh-CN"/>
          <w14:textFill>
            <w14:solidFill>
              <w14:schemeClr w14:val="tx1"/>
            </w14:solidFill>
          </w14:textFill>
        </w:rPr>
        <w:t>杨义兰违背操作规则，未把稳油门、减速、换挡并</w:t>
      </w:r>
      <w:r>
        <w:rPr>
          <w:rFonts w:hint="eastAsia"/>
          <w:sz w:val="28"/>
          <w:szCs w:val="28"/>
          <w:lang w:val="en-US" w:eastAsia="zh-CN"/>
        </w:rPr>
        <w:t>超载行驶，车辆在陡坡上熄火时，未及时刹车制动，导致车辆倒退后溜，坠入山坪塘，造成特大交通事故，其违规驾驶的过错行为是损害发生直接的重要原因，应为责任主体。但鉴于其已死亡，其责任应由继承人王飞等三人在继承财产范围内承担责任，从本案事实看，无证据证明其继承人继承了杨义兰的遗产，同时原告明确表示放弃对王飞等三人的赔偿请求权，为此王飞等第三人不需要承担实体赔偿责任。被告胡青勇虽然掩埋了排水管，违背相关道路管理规定，但掩埋的排水管路段与陡坡路段距离较远，且车辆已安全越过该路段，与本次交通事故发生没有责任构成事实上</w:t>
      </w:r>
      <w:r>
        <w:rPr>
          <w:rFonts w:hint="eastAsia"/>
          <w:color w:val="000000" w:themeColor="text1"/>
          <w:sz w:val="28"/>
          <w:szCs w:val="28"/>
          <w:lang w:val="en-US" w:eastAsia="zh-CN"/>
          <w14:textFill>
            <w14:solidFill>
              <w14:schemeClr w14:val="tx1"/>
            </w14:solidFill>
          </w14:textFill>
        </w:rPr>
        <w:t>的因果关系</w:t>
      </w:r>
      <w:r>
        <w:rPr>
          <w:rFonts w:hint="eastAsia"/>
          <w:sz w:val="28"/>
          <w:szCs w:val="28"/>
          <w:lang w:val="en-US" w:eastAsia="zh-CN"/>
        </w:rPr>
        <w:t>，欠缺侵权责任归责原则构成要素，不应承担民事责任，因此胡青勇不属民事责任主体。丰都交建公司是道路的施工方，道路已施工完成并按合同约定标准经验收合格，并交付使用，退出道路的临时管理人地位，无过错，同样欠缺侵权责任归责原则构成要素，不应承担民事责任，也不属于责任主体。三合农服中心并非山坪塘的所有人或管理人，不属适格被告，对山坪塘及公路管理无法定管理职责，侵权责任无从谈起。鹿鸣岩村委属山坪塘的管理人或所有人，依照《侵权责任法》第八十五条、八十六条、第九十一条规定仅就山坪塘这个建筑物脱落、倒塌、坠落造损害的情形承担民事责任，对山坪塘修建时有通行道路的，对过往道路的行人安全有一定的保障、警示告知义务。本案不属于上列情形，而属于山坪塘相邻的后建改造公路上通行车辆的安全保障义务，该义务不属于其职责范围，为此其对发生的交通事故损害无赔偿责任，鹿鸣岩村委会不属责任主体。</w:t>
      </w:r>
      <w:r>
        <w:rPr>
          <w:rFonts w:hint="eastAsia"/>
          <w:color w:val="000000" w:themeColor="text1"/>
          <w:sz w:val="28"/>
          <w:szCs w:val="28"/>
          <w:lang w:val="en-US" w:eastAsia="zh-CN"/>
          <w14:textFill>
            <w14:solidFill>
              <w14:schemeClr w14:val="tx1"/>
            </w14:solidFill>
          </w14:textFill>
        </w:rPr>
        <w:t>三合街道办事处的责任</w:t>
      </w:r>
      <w:r>
        <w:rPr>
          <w:rFonts w:hint="eastAsia"/>
          <w:sz w:val="28"/>
          <w:szCs w:val="28"/>
          <w:lang w:val="en-US" w:eastAsia="zh-CN"/>
        </w:rPr>
        <w:t>问题。从发生交通事故的路段看，属于乡村公路，系三合街道办事处建设和养护路段，从“公路”这个建筑物的所有人或者管理人视角考量，有瑕疵担保责任，即发生脱落、垮塌造成他人损害的情形承担赔偿责任，归责原则采用的是过错推定责任、无过错责任，即发生脱落致人损害的，适用过错推定责任，垮塌致人损害的适用无过错责任。案中交通事故致害的原因并非公路这个建筑物或构筑物本身（包括附属设施）的脱落、垮塌造成，所以不属于以上情形。这里的“公路管理”是指公路所有人性质上的“民事管理”，而非“公路行政管理”。“公路行政管理”，是指对公路有行政管理职能职责的行政机关，对违反《公路法》、《道路交通安全法》等法律法规，在公路上设置路障、毁损公路等行政违法行为的管理，管理的方式是对行政管理相对人处以罚款、拘留、责令限期修复或移交司法机关追究刑事责任等。显然本案不是行政法意义上的管理范畴，而属民法上不动产物权性质上的管理。三合街道办事处是否承担民法上因公路管理不善的民事责任必须结合事故本身进行讨论。首先是发生交通事故路段，是否存在事故发生危险可能性，如存在，相应产生的问题是预防措施是否预设到位，是否达到标准，如公路设计、建设未达规范要求，证明未尽法定职责，存在过错，否则无责任可言；其次是，实际发生了交通事故损害，需要追问的是未尽职责的行为与事故发生是否有因果关系，如应作为而不作为与发生的交通事故又有“因果关系”，民事责任就因此产生。</w:t>
      </w:r>
      <w:r>
        <w:rPr>
          <w:rFonts w:hint="eastAsia"/>
          <w:color w:val="000000" w:themeColor="text1"/>
          <w:sz w:val="28"/>
          <w:szCs w:val="28"/>
          <w:lang w:val="en-US" w:eastAsia="zh-CN"/>
          <w14:textFill>
            <w14:solidFill>
              <w14:schemeClr w14:val="tx1"/>
            </w14:solidFill>
          </w14:textFill>
        </w:rPr>
        <w:t>现就第一层面进行分析。</w:t>
      </w:r>
      <w:r>
        <w:rPr>
          <w:rFonts w:hint="eastAsia"/>
          <w:sz w:val="28"/>
          <w:szCs w:val="28"/>
          <w:lang w:val="en-US" w:eastAsia="zh-CN"/>
        </w:rPr>
        <w:t>事发路段邻山坪塘，水深加塘崖存在车辆碰撞等事故发生后，车辆失控等坠入山坪塘，再生次生灾害危险性。这样的路段按照相应技术规范要求，应在修建、改造公路时设置防护栏等，由此作为公路建设单位的三合街道办事处有在该路段设置安全护栏等防护措施的义务，但实际情形为，三合街道办事处在改造公路时，因硬化路面，提高路基，致原有部分设置的防护桩高度由30㎡降低到15㎡，对原旧公路未设置防护桩的邻塘段仍未设置防护桩或护栏，该新旧公路段比较，三合街道办事处显然降低了该路段的防护技术标准或未设置防护构筑物，由此可确定三合街道办事处存在防护措施设计、建设不到位的违规行为，即三合街道办事处存在改造公路不符合安全设计规范的过失或过错；</w:t>
      </w:r>
      <w:r>
        <w:rPr>
          <w:rStyle w:val="5"/>
          <w:rFonts w:hint="eastAsia"/>
          <w:sz w:val="28"/>
          <w:szCs w:val="28"/>
          <w:lang w:val="en-US" w:eastAsia="zh-CN"/>
        </w:rPr>
        <w:footnoteReference w:id="2"/>
      </w:r>
      <w:r>
        <w:rPr>
          <w:rFonts w:hint="eastAsia"/>
          <w:color w:val="000000" w:themeColor="text1"/>
          <w:sz w:val="28"/>
          <w:szCs w:val="28"/>
          <w:lang w:val="en-US" w:eastAsia="zh-CN"/>
          <w14:textFill>
            <w14:solidFill>
              <w14:schemeClr w14:val="tx1"/>
            </w14:solidFill>
          </w14:textFill>
        </w:rPr>
        <w:t>第二层</w:t>
      </w:r>
      <w:r>
        <w:rPr>
          <w:rFonts w:hint="eastAsia"/>
          <w:sz w:val="28"/>
          <w:szCs w:val="28"/>
          <w:lang w:val="en-US" w:eastAsia="zh-CN"/>
        </w:rPr>
        <w:t>面责任成立及责任范围的因果关系问题。在大陆法系责任成立的因果关系即普通法系所称的事实因果关系，是指加害行为与权益被侵害之间存在关联时，侵权责任方可成立。责任成立因果关系的判断在德国民法上通常采“条件说”或“等值理论”，此说认为，无此行为，虽然不必生此损害，有此行为即足生此种损害者，是为有因果关系。无此行为，不必生此损害，有此行为通常也不生此种损害者即无因果关系。</w:t>
      </w:r>
      <w:r>
        <w:rPr>
          <w:rStyle w:val="5"/>
          <w:rFonts w:hint="eastAsia"/>
          <w:sz w:val="28"/>
          <w:szCs w:val="28"/>
          <w:lang w:val="en-US" w:eastAsia="zh-CN"/>
        </w:rPr>
        <w:footnoteReference w:id="3"/>
      </w:r>
      <w:r>
        <w:rPr>
          <w:rFonts w:hint="eastAsia"/>
          <w:sz w:val="28"/>
          <w:szCs w:val="28"/>
          <w:lang w:val="en-US" w:eastAsia="zh-CN"/>
        </w:rPr>
        <w:t>条件说仅解决了不可或缺必要条件之一的判断，但原因过于广泛，不能解决责任范围大小的判断，因此还必须结合相当因果关系说进行综合判断。因条件说中涵盖了自然原因的条件，扩大了责任范围因此在具体案件受到限制。后随着相当因果关系说的产生，克服了条件说的不足。我国现有赔偿责任理论通常采相当因果关系说。相当因果关系说是Freiburg大学心理学家Von Kries于1886年在其著作《概率测算原理：论客观可能性之概念》中率先提出的，他认为，作为原告损害条件的被告的行为，如果极大地增加了此种损害发生的客观可能性，那么该行为就属损害的充分原因</w:t>
      </w:r>
      <w:r>
        <w:rPr>
          <w:rStyle w:val="5"/>
          <w:rFonts w:hint="eastAsia"/>
          <w:sz w:val="28"/>
          <w:szCs w:val="28"/>
          <w:lang w:val="en-US" w:eastAsia="zh-CN"/>
        </w:rPr>
        <w:footnoteReference w:id="4"/>
      </w:r>
      <w:r>
        <w:rPr>
          <w:rFonts w:hint="eastAsia"/>
          <w:sz w:val="28"/>
          <w:szCs w:val="28"/>
          <w:lang w:val="en-US" w:eastAsia="zh-CN"/>
        </w:rPr>
        <w:t>。后得到德国法学家的</w:t>
      </w:r>
      <w:r>
        <w:rPr>
          <w:rFonts w:hint="eastAsia"/>
          <w:color w:val="000000" w:themeColor="text1"/>
          <w:sz w:val="28"/>
          <w:szCs w:val="28"/>
          <w:lang w:val="en-US" w:eastAsia="zh-CN"/>
          <w14:textFill>
            <w14:solidFill>
              <w14:schemeClr w14:val="tx1"/>
            </w14:solidFill>
          </w14:textFill>
        </w:rPr>
        <w:t>发展完善。该说认为，只要</w:t>
      </w:r>
      <w:r>
        <w:rPr>
          <w:rFonts w:hint="eastAsia"/>
          <w:sz w:val="28"/>
          <w:szCs w:val="28"/>
          <w:lang w:val="en-US" w:eastAsia="zh-CN"/>
        </w:rPr>
        <w:t>原因事实与损害结果之间在通常情形下存在可能性即认为有因果关系。因果关系中属于一因一果的单一因果关系判断相对较为容易，但很多因果关系是多因一果的复数因果关系，判断起来比较复杂，对于复数因果关系，可以进行类型化处理后，进行因果关系判断。按程啸教授所著《侵权责任法》可以将复数因果关系分为共同的因果关系、竞合的因果关系、累积的因果关系、修补的因果关系，择一的因果关系和假设的因果关系。对以上因果关系，笔者这里不一一转述，只就可能与本案有关的类型进行整理分析。</w:t>
      </w:r>
      <w:r>
        <w:rPr>
          <w:rFonts w:hint="eastAsia"/>
          <w:color w:val="000000" w:themeColor="text1"/>
          <w:sz w:val="28"/>
          <w:szCs w:val="28"/>
          <w:lang w:val="en-US" w:eastAsia="zh-CN"/>
          <w14:textFill>
            <w14:solidFill>
              <w14:schemeClr w14:val="tx1"/>
            </w14:solidFill>
          </w14:textFill>
        </w:rPr>
        <w:t>修补的因果</w:t>
      </w:r>
      <w:r>
        <w:rPr>
          <w:rFonts w:hint="eastAsia"/>
          <w:sz w:val="28"/>
          <w:szCs w:val="28"/>
          <w:lang w:val="en-US" w:eastAsia="zh-CN"/>
        </w:rPr>
        <w:t>关系是指对同一受害人造成损害结果的多个原因依次发生，在先原因造成的损害后果被在后的原因加以改变。这种因果关系造成的损害结果不是一种原因导致，是不同原因结合导致，属于按份责任。假设的因果关系是指，损害已因某个加害人的行为而发生了，即便该加害行为不存在，损害的全部或一部分也会因为另外一个与加害人无关的原因发生。</w:t>
      </w:r>
      <w:r>
        <w:rPr>
          <w:rFonts w:hint="eastAsia"/>
          <w:sz w:val="28"/>
          <w:szCs w:val="28"/>
          <w:lang w:val="en-US" w:eastAsia="zh-CN"/>
        </w:rPr>
        <w:footnoteReference w:id="5"/>
      </w:r>
      <w:r>
        <w:rPr>
          <w:rFonts w:hint="eastAsia"/>
          <w:sz w:val="28"/>
          <w:szCs w:val="28"/>
          <w:lang w:val="en-US" w:eastAsia="zh-CN"/>
        </w:rPr>
        <w:t>结合案情的判断。杨义兰驾驶车辆在上陡坡时由于“未在上坡前稳住油门，换低速挡”，上坡后车辆因前述原因牵引力不足导致车辆熄火、失控倒退时，又因制动不力，失去控制的车辆加速向山坪塘坠去，当车辆坠到悬崖边时，因缺乏防护栏阻却，最后车辆直接掉入山坪塘水中。对于杨义兰违规操作行为是交通事故的原因不难判断，按条件说就可以判断，因假如没有其违规操作行为，车辆就不会熄火倒退，事故根本就不可能发生，为此杨义兰的违规行为是损害发生的充分必要条件，是损害发生的直接原因，因此杨义兰是责任主体不存疑问。但三合街道办事处未设置防护栏的不作为行为是否是与本案的损害事实存在因果关系，用“条件说”是难以判断的，因假如三合街道办事处设置了防护栏，仍然存在两种可能，一种可能是阻却车辆坠入山坪塘，产生其他类型的交通事故或者较小的损害；一种可能是即使设置了防护栏仍然未能够阻却车辆坠入山坪塘，只是时间上推迟发生。因此这里采用“相当因果关系说”判断因果关系相对容易。假如车辆倒退到塘崖边时，如果三合街道办事处设置了防护栏，阻却车辆坠入山坪塘的可能性从概率上说是有的，除非有科学的测定数据进行推翻，否则具有阻却坠入山坪塘的可能性，据此可以判定三合街道办事处未设置防护栏的不作为行为与交通事故的方式具有因果关系。同时说明以上两种原因均为损害发生的原因，因此属于复数因果关系中的假设因果关系。其责任属于按份责任。由此判定，三合街道办事处属于责任主体。另，杨义兰搭载廖昌莲（死者，本案原告的近亲属）未收取费用，属于好意搭载，且廖昌莲应知车辆超载而搭乘，增加交通事故发生的风险，超载也可能是车辆上坡熄火的较小原因之一，廖昌莲自己也应对自己的行为负责。因此廖昌莲属于责任主体，此责任属按份责任。鉴于杨义兰、廖昌莲已在事故中死亡，其责任应由其近亲属替代承担。</w:t>
      </w:r>
    </w:p>
    <w:p>
      <w:pPr>
        <w:ind w:firstLine="560" w:firstLineChars="200"/>
        <w:rPr>
          <w:rFonts w:hint="eastAsia"/>
          <w:sz w:val="28"/>
          <w:szCs w:val="28"/>
          <w:lang w:val="en-US" w:eastAsia="zh-CN"/>
        </w:rPr>
      </w:pPr>
      <w:r>
        <w:rPr>
          <w:rFonts w:hint="eastAsia"/>
          <w:sz w:val="28"/>
          <w:szCs w:val="28"/>
          <w:lang w:val="en-US" w:eastAsia="zh-CN"/>
        </w:rPr>
        <w:t>责任大小的划分。责任大小的划分，按照侵权责任法，应当根据过错大小及原因力进行划分。从杨义兰的过错看，没有稳住车辆油门，没有减速换挡上坡，没有在车辆熄火后刹车制动导致车辆失控倒退，同时严重超载，这一系列的过错行为结合是事故发生的直接原因，也是事故发生的充分必要条件，因此过错极大。也正是车辆熄火失控倒退，才直接导致车辆加速坠入山坪塘，发生交通事故。因此无论是从过错程度及原因力大小上考量，杨义兰均应承担极大的民事责任。综上，</w:t>
      </w:r>
      <w:bookmarkStart w:id="0" w:name="_GoBack"/>
      <w:bookmarkEnd w:id="0"/>
      <w:r>
        <w:rPr>
          <w:rFonts w:hint="eastAsia"/>
          <w:sz w:val="28"/>
          <w:szCs w:val="28"/>
          <w:lang w:val="en-US" w:eastAsia="zh-CN"/>
        </w:rPr>
        <w:t>以其承担90%民事责任为合理。相应三合街道办事处虽然存在未设置防护栏的过错，未能阻却事故发生，但这种阻却仅是一种可能性，不必然产生事故阻却效果，且系间接原因，为此其仅应承担极小的责任，以三合街道办事处承担5%为合理。同理，廖昌莲本应承担极小的责任5%，但考虑杨义兰搭载廖昌莲系好意搭载，应减轻杨义兰责任10%转由廖昌莲承担，由此，杨义兰最终承担的责任为80%，廖昌莲最终承担责任为15%，以此体现社会主义核心价值观中的互惠互患精神。再结合死者责任的替代规则，及自认放弃规则（原告自认放弃杨义兰承担的责任部分）。</w:t>
      </w:r>
    </w:p>
    <w:p>
      <w:pPr>
        <w:ind w:firstLine="560" w:firstLineChars="200"/>
        <w:rPr>
          <w:rFonts w:hint="eastAsia"/>
          <w:sz w:val="28"/>
          <w:szCs w:val="28"/>
          <w:lang w:val="en-US" w:eastAsia="zh-CN"/>
        </w:rPr>
      </w:pPr>
      <w:r>
        <w:rPr>
          <w:rFonts w:hint="eastAsia"/>
          <w:sz w:val="28"/>
          <w:szCs w:val="28"/>
          <w:lang w:val="en-US" w:eastAsia="zh-CN"/>
        </w:rPr>
        <w:t>综上所述，本案一二审法院裁判时最终判决，三合街道办事处赔偿救济损失总额的5%给原告，驳回其他诉讼请求的结论，具有合法合理合情性。</w:t>
      </w:r>
    </w:p>
    <w:p>
      <w:pPr>
        <w:ind w:firstLine="560" w:firstLineChars="200"/>
        <w:rPr>
          <w:rFonts w:hint="eastAsia"/>
          <w:sz w:val="28"/>
          <w:szCs w:val="28"/>
          <w:lang w:val="en-US" w:eastAsia="zh-CN"/>
        </w:rPr>
      </w:pPr>
      <w:r>
        <w:rPr>
          <w:rFonts w:hint="eastAsia"/>
          <w:sz w:val="28"/>
          <w:szCs w:val="28"/>
          <w:lang w:val="en-US" w:eastAsia="zh-CN"/>
        </w:rPr>
        <w:t xml:space="preserve">  附：裁判文书</w:t>
      </w:r>
    </w:p>
    <w:p>
      <w:pPr>
        <w:ind w:firstLine="560" w:firstLineChars="200"/>
        <w:rPr>
          <w:rFonts w:hint="eastAsia"/>
          <w:sz w:val="28"/>
          <w:szCs w:val="28"/>
          <w:lang w:val="en-US" w:eastAsia="zh-CN"/>
        </w:rPr>
      </w:pPr>
      <w:r>
        <w:rPr>
          <w:rFonts w:hint="eastAsia"/>
          <w:sz w:val="28"/>
          <w:szCs w:val="28"/>
          <w:lang w:val="en-US" w:eastAsia="zh-CN"/>
        </w:rPr>
        <w:t xml:space="preserve">             </w:t>
      </w:r>
    </w:p>
    <w:p>
      <w:pPr>
        <w:ind w:firstLine="560" w:firstLineChars="200"/>
        <w:rPr>
          <w:rFonts w:hint="eastAsia"/>
          <w:sz w:val="28"/>
          <w:szCs w:val="28"/>
          <w:lang w:val="en-US" w:eastAsia="zh-CN"/>
        </w:rPr>
      </w:pPr>
      <w:r>
        <w:rPr>
          <w:rFonts w:hint="eastAsia"/>
          <w:sz w:val="28"/>
          <w:szCs w:val="28"/>
          <w:lang w:val="en-US" w:eastAsia="zh-CN"/>
        </w:rPr>
        <w:t xml:space="preserve">               一审法院合议庭成员  江彪  余孝安  李晓林</w:t>
      </w:r>
    </w:p>
    <w:p>
      <w:pPr>
        <w:ind w:firstLine="560" w:firstLineChars="200"/>
        <w:rPr>
          <w:rFonts w:hint="eastAsia"/>
          <w:sz w:val="28"/>
          <w:szCs w:val="28"/>
          <w:lang w:val="en-US" w:eastAsia="zh-CN"/>
        </w:rPr>
      </w:pPr>
      <w:r>
        <w:rPr>
          <w:rFonts w:hint="eastAsia"/>
          <w:sz w:val="28"/>
          <w:szCs w:val="28"/>
          <w:lang w:val="en-US" w:eastAsia="zh-CN"/>
        </w:rPr>
        <w:t xml:space="preserve">               二审法院合议庭成员  张斌  陈胜友  杨  洋               </w:t>
      </w:r>
    </w:p>
    <w:p>
      <w:pPr>
        <w:ind w:firstLine="560" w:firstLineChars="200"/>
        <w:rPr>
          <w:rFonts w:hint="eastAsia"/>
          <w:sz w:val="28"/>
          <w:szCs w:val="28"/>
        </w:rPr>
      </w:pPr>
      <w:r>
        <w:rPr>
          <w:rFonts w:hint="eastAsia"/>
          <w:sz w:val="28"/>
          <w:szCs w:val="28"/>
          <w:lang w:eastAsia="zh-CN"/>
        </w:rPr>
        <w:t>　</w:t>
      </w:r>
      <w:r>
        <w:rPr>
          <w:rFonts w:hint="eastAsia"/>
          <w:sz w:val="28"/>
          <w:szCs w:val="28"/>
          <w:lang w:val="en-US" w:eastAsia="zh-CN"/>
        </w:rPr>
        <w:t xml:space="preserve">          </w:t>
      </w:r>
      <w:r>
        <w:rPr>
          <w:rFonts w:hint="eastAsia"/>
          <w:sz w:val="28"/>
          <w:szCs w:val="28"/>
          <w:lang w:eastAsia="zh-CN"/>
        </w:rPr>
        <w:t>编</w:t>
      </w:r>
      <w:r>
        <w:rPr>
          <w:rFonts w:hint="eastAsia"/>
          <w:sz w:val="28"/>
          <w:szCs w:val="28"/>
        </w:rPr>
        <w:t>写人  重庆市丰都县人民法院</w:t>
      </w:r>
      <w:r>
        <w:rPr>
          <w:rFonts w:hint="eastAsia"/>
          <w:sz w:val="28"/>
          <w:szCs w:val="28"/>
          <w:lang w:eastAsia="zh-CN"/>
        </w:rPr>
        <w:t>高级</w:t>
      </w:r>
      <w:r>
        <w:rPr>
          <w:rFonts w:hint="eastAsia"/>
          <w:sz w:val="28"/>
          <w:szCs w:val="28"/>
        </w:rPr>
        <w:t>法官 余孝安</w:t>
      </w:r>
    </w:p>
    <w:p>
      <w:pPr>
        <w:rPr>
          <w:rFonts w:hint="eastAsia"/>
          <w:sz w:val="28"/>
          <w:szCs w:val="28"/>
        </w:rPr>
      </w:pPr>
    </w:p>
    <w:p>
      <w:pPr>
        <w:rPr>
          <w:rFonts w:hint="eastAsia"/>
          <w:sz w:val="28"/>
          <w:szCs w:val="28"/>
        </w:rPr>
      </w:pPr>
    </w:p>
    <w:p>
      <w:pPr>
        <w:rPr>
          <w:rFonts w:hint="eastAsia"/>
          <w:sz w:val="28"/>
          <w:szCs w:val="28"/>
        </w:rPr>
      </w:pPr>
    </w:p>
    <w:p>
      <w:pPr>
        <w:rPr>
          <w:sz w:val="28"/>
          <w:szCs w:val="28"/>
        </w:rPr>
      </w:pPr>
    </w:p>
    <w:p>
      <w:pPr>
        <w:rPr>
          <w:sz w:val="28"/>
          <w:szCs w:val="28"/>
        </w:rPr>
      </w:pPr>
    </w:p>
    <w:p>
      <w:pPr>
        <w:rPr>
          <w:sz w:val="28"/>
          <w:szCs w:val="28"/>
        </w:rPr>
      </w:pPr>
    </w:p>
    <w:p>
      <w:pPr>
        <w:rPr>
          <w:sz w:val="28"/>
          <w:szCs w:val="28"/>
        </w:rPr>
      </w:pPr>
    </w:p>
    <w:sectPr>
      <w:footnotePr>
        <w:numFmt w:val="decimalEnclosedCircleChinese"/>
        <w:numRestart w:val="eachPage"/>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Lucida Sans Unicode">
    <w:panose1 w:val="020B0602030504020204"/>
    <w:charset w:val="00"/>
    <w:family w:val="auto"/>
    <w:pitch w:val="default"/>
    <w:sig w:usb0="80001AFF" w:usb1="0000396B" w:usb2="00000000" w:usb3="00000000" w:csb0="0000003F" w:csb1="D7F70000"/>
  </w:font>
  <w:font w:name="新宋体">
    <w:panose1 w:val="02010609030101010101"/>
    <w:charset w:val="86"/>
    <w:family w:val="auto"/>
    <w:pitch w:val="default"/>
    <w:sig w:usb0="00000003" w:usb1="080E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2"/>
        <w:snapToGrid w:val="0"/>
        <w:rPr>
          <w:rFonts w:hint="eastAsia" w:eastAsiaTheme="minorEastAsia"/>
          <w:lang w:eastAsia="zh-CN"/>
        </w:rPr>
      </w:pPr>
      <w:r>
        <w:rPr>
          <w:rStyle w:val="5"/>
        </w:rPr>
        <w:footnoteRef/>
      </w:r>
      <w:r>
        <w:t xml:space="preserve"> </w:t>
      </w:r>
      <w:r>
        <w:rPr>
          <w:rFonts w:hint="eastAsia"/>
          <w:lang w:eastAsia="zh-CN"/>
        </w:rPr>
        <w:t>本案系一起特大交通事故案件引发的</w:t>
      </w:r>
      <w:r>
        <w:rPr>
          <w:rFonts w:hint="eastAsia"/>
          <w:lang w:val="en-US" w:eastAsia="zh-CN"/>
        </w:rPr>
        <w:t>8</w:t>
      </w:r>
      <w:r>
        <w:rPr>
          <w:rFonts w:hint="eastAsia"/>
          <w:lang w:eastAsia="zh-CN"/>
        </w:rPr>
        <w:t>件生命权纠纷中的一件。其他</w:t>
      </w:r>
      <w:r>
        <w:rPr>
          <w:rFonts w:hint="eastAsia"/>
          <w:lang w:val="en-US" w:eastAsia="zh-CN"/>
        </w:rPr>
        <w:t>7</w:t>
      </w:r>
      <w:r>
        <w:rPr>
          <w:rFonts w:hint="eastAsia"/>
          <w:lang w:eastAsia="zh-CN"/>
        </w:rPr>
        <w:t>案均类案同判。</w:t>
      </w:r>
    </w:p>
  </w:footnote>
  <w:footnote w:id="1">
    <w:p>
      <w:pPr>
        <w:pStyle w:val="2"/>
        <w:snapToGrid w:val="0"/>
      </w:pPr>
      <w:r>
        <w:rPr>
          <w:rStyle w:val="5"/>
        </w:rPr>
        <w:footnoteRef/>
      </w:r>
      <w:r>
        <w:t xml:space="preserve"> </w:t>
      </w:r>
      <w:r>
        <w:rPr>
          <w:rFonts w:hint="eastAsia"/>
          <w:lang w:eastAsia="zh-CN"/>
        </w:rPr>
        <w:t>姜明安：《行政法与行政诉讼法》，北京大学出版社，</w:t>
      </w:r>
      <w:r>
        <w:rPr>
          <w:rFonts w:hint="eastAsia"/>
          <w:lang w:val="en-US" w:eastAsia="zh-CN"/>
        </w:rPr>
        <w:t>2009年（第三版）第139页。</w:t>
      </w:r>
    </w:p>
  </w:footnote>
  <w:footnote w:id="2">
    <w:p>
      <w:pPr>
        <w:pStyle w:val="2"/>
        <w:snapToGrid w:val="0"/>
      </w:pPr>
      <w:r>
        <w:rPr>
          <w:rStyle w:val="5"/>
        </w:rPr>
        <w:footnoteRef/>
      </w:r>
      <w:r>
        <w:t xml:space="preserve"> </w:t>
      </w:r>
      <w:r>
        <w:rPr>
          <w:rFonts w:hint="eastAsia"/>
          <w:lang w:eastAsia="zh-CN"/>
        </w:rPr>
        <w:t>交通部</w:t>
      </w:r>
      <w:r>
        <w:rPr>
          <w:rFonts w:hint="eastAsia"/>
          <w:lang w:val="en-US" w:eastAsia="zh-CN"/>
        </w:rPr>
        <w:t>《公路工程技术规范》（JTGB01-2014）第10.2.4条第3款之规定“路侧有悬崖、深谷、深沟、江河湖泊等路段应设置路侧护栏……”</w:t>
      </w:r>
    </w:p>
  </w:footnote>
  <w:footnote w:id="3">
    <w:p>
      <w:pPr>
        <w:pStyle w:val="2"/>
        <w:snapToGrid w:val="0"/>
        <w:rPr>
          <w:rFonts w:hint="default" w:eastAsiaTheme="minorEastAsia"/>
          <w:lang w:val="en-US" w:eastAsia="zh-CN"/>
        </w:rPr>
      </w:pPr>
      <w:r>
        <w:rPr>
          <w:rStyle w:val="5"/>
        </w:rPr>
        <w:footnoteRef/>
      </w:r>
      <w:r>
        <w:t xml:space="preserve"> </w:t>
      </w:r>
      <w:r>
        <w:rPr>
          <w:rFonts w:hint="eastAsia"/>
          <w:lang w:eastAsia="zh-CN"/>
        </w:rPr>
        <w:t>王伯琦：《民法债编总论》，台北国立编译馆</w:t>
      </w:r>
      <w:r>
        <w:rPr>
          <w:rFonts w:hint="eastAsia"/>
          <w:lang w:val="en-US" w:eastAsia="zh-CN"/>
        </w:rPr>
        <w:t>1956年版，第77页。</w:t>
      </w:r>
    </w:p>
  </w:footnote>
  <w:footnote w:id="4">
    <w:p>
      <w:pPr>
        <w:pStyle w:val="2"/>
        <w:snapToGrid w:val="0"/>
        <w:rPr>
          <w:rFonts w:hint="default" w:eastAsiaTheme="minorEastAsia"/>
          <w:lang w:val="en-US" w:eastAsia="zh-CN"/>
        </w:rPr>
      </w:pPr>
      <w:r>
        <w:rPr>
          <w:rStyle w:val="5"/>
        </w:rPr>
        <w:footnoteRef/>
      </w:r>
      <w:r>
        <w:t xml:space="preserve"> </w:t>
      </w:r>
      <w:r>
        <w:rPr>
          <w:rFonts w:hint="eastAsia"/>
          <w:lang w:eastAsia="zh-CN"/>
        </w:rPr>
        <w:t>程啸著：《侵权责任法》，法律出版社，</w:t>
      </w:r>
      <w:r>
        <w:rPr>
          <w:rFonts w:hint="eastAsia"/>
          <w:lang w:val="en-US" w:eastAsia="zh-CN"/>
        </w:rPr>
        <w:t>2015年9月第2版第236页。</w:t>
      </w:r>
    </w:p>
  </w:footnote>
  <w:footnote w:id="5">
    <w:p>
      <w:pPr>
        <w:pStyle w:val="2"/>
        <w:snapToGrid w:val="0"/>
        <w:rPr>
          <w:rFonts w:hint="default" w:eastAsiaTheme="minorEastAsia"/>
          <w:lang w:val="en-US" w:eastAsia="zh-CN"/>
        </w:rPr>
      </w:pPr>
      <w:r>
        <w:rPr>
          <w:rStyle w:val="5"/>
        </w:rPr>
        <w:footnoteRef/>
      </w:r>
      <w:r>
        <w:t xml:space="preserve"> </w:t>
      </w:r>
      <w:r>
        <w:rPr>
          <w:rFonts w:hint="eastAsia"/>
          <w:lang w:eastAsia="zh-CN"/>
        </w:rPr>
        <w:t>程啸著《侵权责任法》，法律出版社，</w:t>
      </w:r>
      <w:r>
        <w:rPr>
          <w:rFonts w:hint="eastAsia"/>
          <w:lang w:val="en-US" w:eastAsia="zh-CN"/>
        </w:rPr>
        <w:t>2015年9月第2版第238-264页。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02FE7"/>
    <w:rsid w:val="0D1F7758"/>
    <w:rsid w:val="0D35197F"/>
    <w:rsid w:val="0D6C01B3"/>
    <w:rsid w:val="1F4C45E4"/>
    <w:rsid w:val="25214009"/>
    <w:rsid w:val="2542030A"/>
    <w:rsid w:val="27BE3040"/>
    <w:rsid w:val="31247C0F"/>
    <w:rsid w:val="404409E3"/>
    <w:rsid w:val="40880F79"/>
    <w:rsid w:val="533C7AB5"/>
    <w:rsid w:val="55497ADA"/>
    <w:rsid w:val="5C2226B1"/>
    <w:rsid w:val="626D0C98"/>
    <w:rsid w:val="7B171692"/>
    <w:rsid w:val="7C272D22"/>
    <w:rsid w:val="7D060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 w:type="paragraph" w:customStyle="1" w:styleId="6">
    <w:name w:val="lawyeeWritContent0"/>
    <w:basedOn w:val="7"/>
    <w:qFormat/>
    <w:uiPriority w:val="0"/>
    <w:pPr>
      <w:ind w:firstLine="200" w:firstLineChars="200"/>
    </w:pPr>
    <w:rPr>
      <w:rFonts w:ascii="仿宋_GB2312" w:eastAsia="仿宋_GB2312" w:cs="Times New Roman"/>
      <w:sz w:val="32"/>
    </w:rPr>
  </w:style>
  <w:style w:type="paragraph" w:customStyle="1" w:styleId="7">
    <w:name w:val="lawyeeCourtName1"/>
    <w:basedOn w:val="1"/>
    <w:qFormat/>
    <w:uiPriority w:val="0"/>
    <w:pPr>
      <w:spacing w:line="520" w:lineRule="exact"/>
      <w:jc w:val="center"/>
    </w:pPr>
    <w:rPr>
      <w:rFonts w:ascii="方正小标宋简体" w:eastAsia="方正小标宋简体"/>
      <w:sz w:val="44"/>
    </w:rPr>
  </w:style>
  <w:style w:type="paragraph" w:customStyle="1" w:styleId="8">
    <w:name w:val="司法正文"/>
    <w:qFormat/>
    <w:uiPriority w:val="0"/>
    <w:pPr>
      <w:widowControl w:val="0"/>
      <w:ind w:firstLine="200" w:firstLineChars="200"/>
    </w:pPr>
    <w:rPr>
      <w:rFonts w:ascii="仿宋" w:hAnsi="仿宋" w:eastAsia="仿宋" w:cs="Times New Roman"/>
      <w:kern w:val="3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2022-06-28T13:01:00Z</dcterms:created>
  <dc:creator>Administrator</dc:creator>
  <cp:lastModifiedBy>Administrator</cp:lastModifiedBy>
  <dcterms:modified xsi:type="dcterms:W3CDTF">2022-07-05T05:20:35Z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