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47F" w:rsidRDefault="00B5047F" w:rsidP="00B5047F">
      <w:pPr>
        <w:spacing w:line="360" w:lineRule="auto"/>
        <w:jc w:val="center"/>
        <w:rPr>
          <w:rFonts w:eastAsia="方正小标宋_GBK"/>
          <w:b/>
          <w:bCs/>
          <w:spacing w:val="80"/>
          <w:sz w:val="52"/>
          <w:szCs w:val="52"/>
        </w:rPr>
      </w:pPr>
      <w:r>
        <w:rPr>
          <w:rFonts w:eastAsia="方正小标宋_GBK" w:cs="方正小标宋_GBK" w:hint="eastAsia"/>
          <w:b/>
          <w:bCs/>
          <w:spacing w:val="80"/>
          <w:sz w:val="52"/>
          <w:szCs w:val="52"/>
        </w:rPr>
        <w:t>重庆市丰都县人民法院</w:t>
      </w:r>
    </w:p>
    <w:p w:rsidR="00B5047F" w:rsidRDefault="00B5047F" w:rsidP="00B5047F">
      <w:pPr>
        <w:spacing w:line="360" w:lineRule="auto"/>
        <w:jc w:val="center"/>
        <w:rPr>
          <w:rFonts w:eastAsia="华文中宋"/>
          <w:b/>
          <w:bCs/>
          <w:spacing w:val="140"/>
          <w:sz w:val="66"/>
          <w:szCs w:val="66"/>
        </w:rPr>
      </w:pPr>
      <w:r>
        <w:rPr>
          <w:rFonts w:eastAsia="华文中宋" w:hAnsi="华文中宋" w:cs="华文中宋" w:hint="eastAsia"/>
          <w:b/>
          <w:bCs/>
          <w:spacing w:val="140"/>
          <w:sz w:val="66"/>
          <w:szCs w:val="66"/>
        </w:rPr>
        <w:t>民事判决</w:t>
      </w:r>
      <w:r>
        <w:rPr>
          <w:rFonts w:eastAsia="华文中宋" w:hAnsi="华文中宋" w:cs="华文中宋" w:hint="eastAsia"/>
          <w:b/>
          <w:bCs/>
          <w:sz w:val="66"/>
          <w:szCs w:val="66"/>
        </w:rPr>
        <w:t>书</w:t>
      </w:r>
    </w:p>
    <w:p w:rsidR="00B5047F" w:rsidRDefault="00B5047F" w:rsidP="00B5047F">
      <w:pPr>
        <w:spacing w:line="560" w:lineRule="exact"/>
        <w:jc w:val="center"/>
        <w:rPr>
          <w:rFonts w:ascii="仿宋_GB2312" w:eastAsia="仿宋_GB2312" w:cs="仿宋_GB2312"/>
          <w:sz w:val="32"/>
          <w:szCs w:val="32"/>
        </w:rPr>
      </w:pPr>
      <w:r>
        <w:rPr>
          <w:rFonts w:ascii="仿宋_GB2312" w:eastAsia="仿宋_GB2312" w:cs="仿宋_GB2312"/>
          <w:sz w:val="32"/>
          <w:szCs w:val="32"/>
        </w:rPr>
        <w:t xml:space="preserve">                             </w:t>
      </w:r>
    </w:p>
    <w:p w:rsidR="00B5047F" w:rsidRDefault="00B5047F" w:rsidP="00B5047F">
      <w:pPr>
        <w:spacing w:line="560" w:lineRule="exact"/>
        <w:rPr>
          <w:rFonts w:ascii="仿宋_GB2312" w:eastAsia="仿宋_GB2312"/>
          <w:sz w:val="32"/>
          <w:szCs w:val="32"/>
        </w:rPr>
      </w:pPr>
      <w:r>
        <w:rPr>
          <w:rFonts w:ascii="仿宋_GB2312" w:eastAsia="仿宋_GB2312" w:cs="仿宋_GB2312"/>
          <w:sz w:val="32"/>
          <w:szCs w:val="32"/>
        </w:rPr>
        <w:t xml:space="preserve">                             (2012)</w:t>
      </w:r>
      <w:r>
        <w:rPr>
          <w:rFonts w:ascii="仿宋_GB2312" w:eastAsia="仿宋_GB2312" w:cs="仿宋_GB2312" w:hint="eastAsia"/>
          <w:sz w:val="32"/>
          <w:szCs w:val="32"/>
        </w:rPr>
        <w:t>丰法民初字第</w:t>
      </w:r>
      <w:r>
        <w:rPr>
          <w:rFonts w:ascii="仿宋_GB2312" w:eastAsia="仿宋_GB2312" w:cs="仿宋_GB2312"/>
          <w:sz w:val="32"/>
          <w:szCs w:val="32"/>
        </w:rPr>
        <w:t>00100</w:t>
      </w:r>
      <w:r>
        <w:rPr>
          <w:rFonts w:ascii="仿宋_GB2312" w:eastAsia="仿宋_GB2312" w:cs="仿宋_GB2312" w:hint="eastAsia"/>
          <w:sz w:val="32"/>
          <w:szCs w:val="32"/>
        </w:rPr>
        <w:t>号</w:t>
      </w:r>
    </w:p>
    <w:p w:rsidR="00B5047F" w:rsidRDefault="00B5047F" w:rsidP="00B5047F">
      <w:pPr>
        <w:spacing w:line="580" w:lineRule="exact"/>
        <w:rPr>
          <w:rFonts w:ascii="仿宋_GB2312" w:eastAsia="仿宋_GB2312"/>
          <w:sz w:val="32"/>
          <w:szCs w:val="32"/>
        </w:rPr>
      </w:pPr>
    </w:p>
    <w:p w:rsidR="00B5047F" w:rsidRDefault="00B5047F" w:rsidP="00B5047F">
      <w:pPr>
        <w:snapToGrid w:val="0"/>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原告谭长江，男，</w:t>
      </w:r>
      <w:r>
        <w:rPr>
          <w:rFonts w:ascii="仿宋_GB2312" w:eastAsia="仿宋_GB2312" w:cs="仿宋_GB2312"/>
          <w:sz w:val="32"/>
          <w:szCs w:val="32"/>
        </w:rPr>
        <w:t>1962</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12</w:t>
      </w:r>
      <w:r>
        <w:rPr>
          <w:rFonts w:ascii="仿宋_GB2312" w:eastAsia="仿宋_GB2312" w:cs="仿宋_GB2312" w:hint="eastAsia"/>
          <w:sz w:val="32"/>
          <w:szCs w:val="32"/>
        </w:rPr>
        <w:t>日出生，汉族，农民，住丰都县江池镇邹家村</w:t>
      </w:r>
      <w:r>
        <w:rPr>
          <w:rFonts w:ascii="仿宋_GB2312" w:eastAsia="仿宋_GB2312" w:cs="仿宋_GB2312"/>
          <w:sz w:val="32"/>
          <w:szCs w:val="32"/>
        </w:rPr>
        <w:t>5</w:t>
      </w:r>
      <w:r>
        <w:rPr>
          <w:rFonts w:ascii="仿宋_GB2312" w:eastAsia="仿宋_GB2312" w:cs="仿宋_GB2312" w:hint="eastAsia"/>
          <w:sz w:val="32"/>
          <w:szCs w:val="32"/>
        </w:rPr>
        <w:t>组，公民身份号码</w:t>
      </w:r>
      <w:r>
        <w:rPr>
          <w:rFonts w:ascii="仿宋_GB2312" w:eastAsia="仿宋_GB2312" w:cs="仿宋_GB2312"/>
          <w:sz w:val="32"/>
          <w:szCs w:val="32"/>
        </w:rPr>
        <w:t>512324196204127211</w:t>
      </w:r>
      <w:r>
        <w:rPr>
          <w:rFonts w:ascii="仿宋_GB2312" w:eastAsia="仿宋_GB2312" w:cs="仿宋_GB2312" w:hint="eastAsia"/>
          <w:sz w:val="32"/>
          <w:szCs w:val="32"/>
        </w:rPr>
        <w:t>。</w:t>
      </w:r>
    </w:p>
    <w:p w:rsidR="00B5047F" w:rsidRDefault="00B5047F" w:rsidP="00B5047F">
      <w:pPr>
        <w:snapToGrid w:val="0"/>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委托代理人黄玉君，石柱县南宾法律服务所法律工作者。</w:t>
      </w:r>
    </w:p>
    <w:p w:rsidR="00B5047F" w:rsidRDefault="00B5047F" w:rsidP="00B5047F">
      <w:pPr>
        <w:snapToGrid w:val="0"/>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委托代理人谭春荣，石柱县南宾法律服务所法律工作者。</w:t>
      </w:r>
    </w:p>
    <w:p w:rsidR="00B5047F" w:rsidRDefault="00B5047F" w:rsidP="00B5047F">
      <w:pPr>
        <w:snapToGrid w:val="0"/>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被告马兹财（又名马之才），男，</w:t>
      </w:r>
      <w:r>
        <w:rPr>
          <w:rFonts w:ascii="仿宋_GB2312" w:eastAsia="仿宋_GB2312" w:cs="仿宋_GB2312"/>
          <w:sz w:val="32"/>
          <w:szCs w:val="32"/>
        </w:rPr>
        <w:t>1946</w:t>
      </w:r>
      <w:r>
        <w:rPr>
          <w:rFonts w:ascii="仿宋_GB2312" w:eastAsia="仿宋_GB2312" w:cs="仿宋_GB2312" w:hint="eastAsia"/>
          <w:sz w:val="32"/>
          <w:szCs w:val="32"/>
        </w:rPr>
        <w:t>年</w:t>
      </w:r>
      <w:r>
        <w:rPr>
          <w:rFonts w:ascii="仿宋_GB2312" w:eastAsia="仿宋_GB2312" w:cs="仿宋_GB2312"/>
          <w:sz w:val="32"/>
          <w:szCs w:val="32"/>
        </w:rPr>
        <w:t>9</w:t>
      </w:r>
      <w:r>
        <w:rPr>
          <w:rFonts w:ascii="仿宋_GB2312" w:eastAsia="仿宋_GB2312" w:cs="仿宋_GB2312" w:hint="eastAsia"/>
          <w:sz w:val="32"/>
          <w:szCs w:val="32"/>
        </w:rPr>
        <w:t>月</w:t>
      </w:r>
      <w:r>
        <w:rPr>
          <w:rFonts w:ascii="仿宋_GB2312" w:eastAsia="仿宋_GB2312" w:cs="仿宋_GB2312"/>
          <w:sz w:val="32"/>
          <w:szCs w:val="32"/>
        </w:rPr>
        <w:t>30</w:t>
      </w:r>
      <w:r>
        <w:rPr>
          <w:rFonts w:ascii="仿宋_GB2312" w:eastAsia="仿宋_GB2312" w:cs="仿宋_GB2312" w:hint="eastAsia"/>
          <w:sz w:val="32"/>
          <w:szCs w:val="32"/>
        </w:rPr>
        <w:t>日出生，汉族，农民，住丰都县江池镇大安村</w:t>
      </w:r>
      <w:r>
        <w:rPr>
          <w:rFonts w:ascii="仿宋_GB2312" w:eastAsia="仿宋_GB2312" w:cs="仿宋_GB2312"/>
          <w:sz w:val="32"/>
          <w:szCs w:val="32"/>
        </w:rPr>
        <w:t>1</w:t>
      </w:r>
      <w:r>
        <w:rPr>
          <w:rFonts w:ascii="仿宋_GB2312" w:eastAsia="仿宋_GB2312" w:cs="仿宋_GB2312" w:hint="eastAsia"/>
          <w:sz w:val="32"/>
          <w:szCs w:val="32"/>
        </w:rPr>
        <w:t>组，公民身份号码</w:t>
      </w:r>
      <w:r>
        <w:rPr>
          <w:rFonts w:ascii="仿宋_GB2312" w:eastAsia="仿宋_GB2312" w:cs="仿宋_GB2312"/>
          <w:sz w:val="32"/>
          <w:szCs w:val="32"/>
        </w:rPr>
        <w:t>512324194609307211</w:t>
      </w:r>
      <w:r>
        <w:rPr>
          <w:rFonts w:ascii="仿宋_GB2312" w:eastAsia="仿宋_GB2312" w:cs="仿宋_GB2312" w:hint="eastAsia"/>
          <w:sz w:val="32"/>
          <w:szCs w:val="32"/>
        </w:rPr>
        <w:t>。</w:t>
      </w:r>
    </w:p>
    <w:p w:rsidR="00B5047F" w:rsidRDefault="00B5047F" w:rsidP="00B5047F">
      <w:pPr>
        <w:snapToGrid w:val="0"/>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委托代理人杜洪君，丰都县龙河法律服务所法律工作者。</w:t>
      </w:r>
    </w:p>
    <w:p w:rsidR="00B5047F" w:rsidRDefault="00B5047F" w:rsidP="00B5047F">
      <w:pPr>
        <w:snapToGrid w:val="0"/>
        <w:spacing w:line="580" w:lineRule="exact"/>
        <w:ind w:firstLine="645"/>
        <w:rPr>
          <w:rFonts w:ascii="仿宋_GB2312" w:eastAsia="仿宋_GB2312"/>
          <w:sz w:val="32"/>
          <w:szCs w:val="32"/>
        </w:rPr>
      </w:pPr>
      <w:r>
        <w:rPr>
          <w:rFonts w:ascii="仿宋_GB2312" w:eastAsia="仿宋_GB2312" w:cs="仿宋_GB2312" w:hint="eastAsia"/>
          <w:sz w:val="32"/>
          <w:szCs w:val="32"/>
        </w:rPr>
        <w:t>原告谭长江与被告马兹财土地承包经营权确认纠纷一案，本院</w:t>
      </w:r>
      <w:r>
        <w:rPr>
          <w:rFonts w:ascii="仿宋_GB2312" w:eastAsia="仿宋_GB2312" w:cs="仿宋_GB2312"/>
          <w:sz w:val="32"/>
          <w:szCs w:val="32"/>
        </w:rPr>
        <w:t>2011</w:t>
      </w:r>
      <w:r>
        <w:rPr>
          <w:rFonts w:ascii="仿宋_GB2312" w:eastAsia="仿宋_GB2312" w:cs="仿宋_GB2312" w:hint="eastAsia"/>
          <w:sz w:val="32"/>
          <w:szCs w:val="32"/>
        </w:rPr>
        <w:t>年</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23</w:t>
      </w:r>
      <w:r>
        <w:rPr>
          <w:rFonts w:ascii="仿宋_GB2312" w:eastAsia="仿宋_GB2312" w:cs="仿宋_GB2312" w:hint="eastAsia"/>
          <w:sz w:val="32"/>
          <w:szCs w:val="32"/>
        </w:rPr>
        <w:t>日立案受理后，依法由代理审判员杜春秋适用简易程序于</w:t>
      </w:r>
      <w:r>
        <w:rPr>
          <w:rFonts w:ascii="仿宋_GB2312" w:eastAsia="仿宋_GB2312" w:cs="仿宋_GB2312"/>
          <w:sz w:val="32"/>
          <w:szCs w:val="32"/>
        </w:rPr>
        <w:t>2012</w:t>
      </w:r>
      <w:r>
        <w:rPr>
          <w:rFonts w:ascii="仿宋_GB2312" w:eastAsia="仿宋_GB2312" w:cs="仿宋_GB2312" w:hint="eastAsia"/>
          <w:sz w:val="32"/>
          <w:szCs w:val="32"/>
        </w:rPr>
        <w:t>年</w:t>
      </w:r>
      <w:r>
        <w:rPr>
          <w:rFonts w:ascii="仿宋_GB2312" w:eastAsia="仿宋_GB2312" w:cs="仿宋_GB2312"/>
          <w:sz w:val="32"/>
          <w:szCs w:val="32"/>
        </w:rPr>
        <w:t>2</w:t>
      </w:r>
      <w:r>
        <w:rPr>
          <w:rFonts w:ascii="仿宋_GB2312" w:eastAsia="仿宋_GB2312" w:cs="仿宋_GB2312" w:hint="eastAsia"/>
          <w:sz w:val="32"/>
          <w:szCs w:val="32"/>
        </w:rPr>
        <w:t>月</w:t>
      </w:r>
      <w:r>
        <w:rPr>
          <w:rFonts w:ascii="仿宋_GB2312" w:eastAsia="仿宋_GB2312" w:cs="仿宋_GB2312"/>
          <w:sz w:val="32"/>
          <w:szCs w:val="32"/>
        </w:rPr>
        <w:t>16</w:t>
      </w:r>
      <w:r>
        <w:rPr>
          <w:rFonts w:ascii="仿宋_GB2312" w:eastAsia="仿宋_GB2312" w:cs="仿宋_GB2312" w:hint="eastAsia"/>
          <w:sz w:val="32"/>
          <w:szCs w:val="32"/>
        </w:rPr>
        <w:t>日公开开庭进行了审理。原告谭长江及其委托代理人黄玉君、谭春荣，被告马兹财及其委托代理人杜洪君到庭参加诉讼。在诉讼中，因案情复杂，本案转入普通程序，由审判员刘静担任审判长，与代理审判员杜春秋、人民陪审</w:t>
      </w:r>
      <w:r>
        <w:rPr>
          <w:rFonts w:ascii="仿宋_GB2312" w:eastAsia="仿宋_GB2312" w:cs="仿宋_GB2312" w:hint="eastAsia"/>
          <w:sz w:val="32"/>
          <w:szCs w:val="32"/>
        </w:rPr>
        <w:lastRenderedPageBreak/>
        <w:t>员游光明组成合议庭于</w:t>
      </w:r>
      <w:r>
        <w:rPr>
          <w:rFonts w:ascii="仿宋_GB2312" w:eastAsia="仿宋_GB2312" w:cs="仿宋_GB2312"/>
          <w:sz w:val="32"/>
          <w:szCs w:val="32"/>
        </w:rPr>
        <w:t>2012</w:t>
      </w:r>
      <w:r>
        <w:rPr>
          <w:rFonts w:ascii="仿宋_GB2312" w:eastAsia="仿宋_GB2312" w:cs="仿宋_GB2312" w:hint="eastAsia"/>
          <w:sz w:val="32"/>
          <w:szCs w:val="32"/>
        </w:rPr>
        <w:t>年</w:t>
      </w:r>
      <w:r>
        <w:rPr>
          <w:rFonts w:ascii="仿宋_GB2312" w:eastAsia="仿宋_GB2312" w:cs="仿宋_GB2312"/>
          <w:sz w:val="32"/>
          <w:szCs w:val="32"/>
        </w:rPr>
        <w:t>3</w:t>
      </w:r>
      <w:r>
        <w:rPr>
          <w:rFonts w:ascii="仿宋_GB2312" w:eastAsia="仿宋_GB2312" w:cs="仿宋_GB2312" w:hint="eastAsia"/>
          <w:sz w:val="32"/>
          <w:szCs w:val="32"/>
        </w:rPr>
        <w:t>月</w:t>
      </w:r>
      <w:r>
        <w:rPr>
          <w:rFonts w:ascii="仿宋_GB2312" w:eastAsia="仿宋_GB2312" w:cs="仿宋_GB2312"/>
          <w:sz w:val="32"/>
          <w:szCs w:val="32"/>
        </w:rPr>
        <w:t>30</w:t>
      </w:r>
      <w:r>
        <w:rPr>
          <w:rFonts w:ascii="仿宋_GB2312" w:eastAsia="仿宋_GB2312" w:cs="仿宋_GB2312" w:hint="eastAsia"/>
          <w:sz w:val="32"/>
          <w:szCs w:val="32"/>
        </w:rPr>
        <w:t>日公开开庭进行了审理。原告谭长江，被告马兹财的委托代理人杜洪君到庭参加诉讼。本案现已审理终结。</w:t>
      </w:r>
    </w:p>
    <w:p w:rsidR="00B5047F" w:rsidRDefault="00B5047F" w:rsidP="00B5047F">
      <w:pPr>
        <w:snapToGrid w:val="0"/>
        <w:spacing w:line="580" w:lineRule="exact"/>
        <w:ind w:firstLine="645"/>
        <w:rPr>
          <w:rFonts w:ascii="仿宋_GB2312" w:eastAsia="仿宋_GB2312"/>
          <w:sz w:val="32"/>
          <w:szCs w:val="32"/>
        </w:rPr>
      </w:pPr>
      <w:r>
        <w:rPr>
          <w:rFonts w:ascii="仿宋_GB2312" w:eastAsia="仿宋_GB2312" w:cs="仿宋_GB2312" w:hint="eastAsia"/>
          <w:sz w:val="32"/>
          <w:szCs w:val="32"/>
        </w:rPr>
        <w:t>原告谭长江诉称，原、被告于</w:t>
      </w:r>
      <w:r>
        <w:rPr>
          <w:rFonts w:ascii="仿宋_GB2312" w:eastAsia="仿宋_GB2312" w:cs="仿宋_GB2312"/>
          <w:sz w:val="32"/>
          <w:szCs w:val="32"/>
        </w:rPr>
        <w:t>2009</w:t>
      </w:r>
      <w:r>
        <w:rPr>
          <w:rFonts w:ascii="仿宋_GB2312" w:eastAsia="仿宋_GB2312" w:cs="仿宋_GB2312" w:hint="eastAsia"/>
          <w:sz w:val="32"/>
          <w:szCs w:val="32"/>
        </w:rPr>
        <w:t>年</w:t>
      </w:r>
      <w:r>
        <w:rPr>
          <w:rFonts w:ascii="仿宋_GB2312" w:eastAsia="仿宋_GB2312" w:cs="仿宋_GB2312"/>
          <w:sz w:val="32"/>
          <w:szCs w:val="32"/>
        </w:rPr>
        <w:t>1</w:t>
      </w:r>
      <w:r>
        <w:rPr>
          <w:rFonts w:ascii="仿宋_GB2312" w:eastAsia="仿宋_GB2312" w:cs="仿宋_GB2312" w:hint="eastAsia"/>
          <w:sz w:val="32"/>
          <w:szCs w:val="32"/>
        </w:rPr>
        <w:t>月</w:t>
      </w:r>
      <w:r>
        <w:rPr>
          <w:rFonts w:ascii="仿宋_GB2312" w:eastAsia="仿宋_GB2312" w:cs="仿宋_GB2312"/>
          <w:sz w:val="32"/>
          <w:szCs w:val="32"/>
        </w:rPr>
        <w:t>17</w:t>
      </w:r>
      <w:r>
        <w:rPr>
          <w:rFonts w:ascii="仿宋_GB2312" w:eastAsia="仿宋_GB2312" w:cs="仿宋_GB2312" w:hint="eastAsia"/>
          <w:sz w:val="32"/>
          <w:szCs w:val="32"/>
        </w:rPr>
        <w:t>日签订《房屋买卖合同》，其中第四条约定：“甲方（被告）有四个人的包产田地及山林、竹林、石坝等按国家规定长期转让给乙方（原告）经营使用”，该约定征得了发包方江池镇大安村</w:t>
      </w:r>
      <w:r>
        <w:rPr>
          <w:rFonts w:ascii="仿宋_GB2312" w:eastAsia="仿宋_GB2312" w:cs="仿宋_GB2312"/>
          <w:sz w:val="32"/>
          <w:szCs w:val="32"/>
        </w:rPr>
        <w:t>1</w:t>
      </w:r>
      <w:r>
        <w:rPr>
          <w:rFonts w:ascii="仿宋_GB2312" w:eastAsia="仿宋_GB2312" w:cs="仿宋_GB2312" w:hint="eastAsia"/>
          <w:sz w:val="32"/>
          <w:szCs w:val="32"/>
        </w:rPr>
        <w:t>组的同意（负责人冉从楷组长签字），且村干部刘康、谭正兰及村民杜永华均在场签字。原、被告之间的土地转让依法成立，程序合法，双方的土地转让是承包经营权的转让，原告同发包方已确立新的承包关系，本案讼争土地应确权给原告。</w:t>
      </w:r>
      <w:r>
        <w:rPr>
          <w:rFonts w:ascii="仿宋_GB2312" w:eastAsia="仿宋_GB2312" w:cs="仿宋_GB2312"/>
          <w:sz w:val="32"/>
          <w:szCs w:val="32"/>
        </w:rPr>
        <w:t>2011</w:t>
      </w:r>
      <w:r>
        <w:rPr>
          <w:rFonts w:ascii="仿宋_GB2312" w:eastAsia="仿宋_GB2312" w:cs="仿宋_GB2312" w:hint="eastAsia"/>
          <w:sz w:val="32"/>
          <w:szCs w:val="32"/>
        </w:rPr>
        <w:t>年</w:t>
      </w:r>
      <w:r>
        <w:rPr>
          <w:rFonts w:ascii="仿宋_GB2312" w:eastAsia="仿宋_GB2312" w:cs="仿宋_GB2312"/>
          <w:sz w:val="32"/>
          <w:szCs w:val="32"/>
        </w:rPr>
        <w:t>11</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日，丰都县农村土地纠纷调解仲裁委员会作出丰都农仲案</w:t>
      </w:r>
      <w:r>
        <w:rPr>
          <w:rFonts w:ascii="仿宋_GB2312" w:eastAsia="仿宋_GB2312" w:cs="仿宋_GB2312"/>
          <w:sz w:val="32"/>
          <w:szCs w:val="32"/>
        </w:rPr>
        <w:t>[2011]</w:t>
      </w:r>
      <w:r>
        <w:rPr>
          <w:rFonts w:ascii="仿宋_GB2312" w:eastAsia="仿宋_GB2312" w:cs="仿宋_GB2312" w:hint="eastAsia"/>
          <w:sz w:val="32"/>
          <w:szCs w:val="32"/>
        </w:rPr>
        <w:t>第</w:t>
      </w:r>
      <w:r>
        <w:rPr>
          <w:rFonts w:ascii="仿宋_GB2312" w:eastAsia="仿宋_GB2312" w:cs="仿宋_GB2312"/>
          <w:sz w:val="32"/>
          <w:szCs w:val="32"/>
        </w:rPr>
        <w:t>08</w:t>
      </w:r>
      <w:r>
        <w:rPr>
          <w:rFonts w:ascii="仿宋_GB2312" w:eastAsia="仿宋_GB2312" w:cs="仿宋_GB2312" w:hint="eastAsia"/>
          <w:sz w:val="32"/>
          <w:szCs w:val="32"/>
        </w:rPr>
        <w:t>号仲裁裁决，将讼争土地确权给被告属认定事实错误。综上，请求人民法院判令撤销丰都农仲案</w:t>
      </w:r>
      <w:r>
        <w:rPr>
          <w:rFonts w:ascii="仿宋_GB2312" w:eastAsia="仿宋_GB2312" w:cs="仿宋_GB2312"/>
          <w:sz w:val="32"/>
          <w:szCs w:val="32"/>
        </w:rPr>
        <w:t>[2011]</w:t>
      </w:r>
      <w:r>
        <w:rPr>
          <w:rFonts w:ascii="仿宋_GB2312" w:eastAsia="仿宋_GB2312" w:cs="仿宋_GB2312" w:hint="eastAsia"/>
          <w:sz w:val="32"/>
          <w:szCs w:val="32"/>
        </w:rPr>
        <w:t>第</w:t>
      </w:r>
      <w:r>
        <w:rPr>
          <w:rFonts w:ascii="仿宋_GB2312" w:eastAsia="仿宋_GB2312" w:cs="仿宋_GB2312"/>
          <w:sz w:val="32"/>
          <w:szCs w:val="32"/>
        </w:rPr>
        <w:t>08</w:t>
      </w:r>
      <w:r>
        <w:rPr>
          <w:rFonts w:ascii="仿宋_GB2312" w:eastAsia="仿宋_GB2312" w:cs="仿宋_GB2312" w:hint="eastAsia"/>
          <w:sz w:val="32"/>
          <w:szCs w:val="32"/>
        </w:rPr>
        <w:t>号仲裁裁决，确认原、被告签订的《房屋买卖合同》中第四条约定有效；由被告承担诉讼费用。</w:t>
      </w:r>
    </w:p>
    <w:p w:rsidR="00B5047F" w:rsidRDefault="00B5047F" w:rsidP="00B5047F">
      <w:pPr>
        <w:snapToGrid w:val="0"/>
        <w:spacing w:line="580" w:lineRule="exact"/>
        <w:ind w:firstLine="645"/>
        <w:rPr>
          <w:rFonts w:ascii="仿宋_GB2312" w:eastAsia="仿宋_GB2312"/>
          <w:sz w:val="32"/>
          <w:szCs w:val="32"/>
        </w:rPr>
      </w:pPr>
      <w:r>
        <w:rPr>
          <w:rFonts w:ascii="仿宋_GB2312" w:eastAsia="仿宋_GB2312" w:cs="仿宋_GB2312" w:hint="eastAsia"/>
          <w:sz w:val="32"/>
          <w:szCs w:val="32"/>
        </w:rPr>
        <w:t>被告马兹财辩称，</w:t>
      </w:r>
      <w:r>
        <w:rPr>
          <w:rFonts w:ascii="仿宋_GB2312" w:eastAsia="仿宋_GB2312" w:cs="仿宋_GB2312"/>
          <w:sz w:val="32"/>
          <w:szCs w:val="32"/>
        </w:rPr>
        <w:t>1</w:t>
      </w:r>
      <w:r>
        <w:rPr>
          <w:rFonts w:ascii="仿宋_GB2312" w:eastAsia="仿宋_GB2312" w:cs="仿宋_GB2312" w:hint="eastAsia"/>
          <w:sz w:val="32"/>
          <w:szCs w:val="32"/>
        </w:rPr>
        <w:t>、原、被告双方签订《房屋买卖合同》属实，但该合同中关于土地转让的条款未经发包方同意，也未经等价交换；</w:t>
      </w:r>
      <w:r>
        <w:rPr>
          <w:rFonts w:ascii="仿宋_GB2312" w:eastAsia="仿宋_GB2312" w:cs="仿宋_GB2312"/>
          <w:sz w:val="32"/>
          <w:szCs w:val="32"/>
        </w:rPr>
        <w:t>2</w:t>
      </w:r>
      <w:r>
        <w:rPr>
          <w:rFonts w:ascii="仿宋_GB2312" w:eastAsia="仿宋_GB2312" w:cs="仿宋_GB2312" w:hint="eastAsia"/>
          <w:sz w:val="32"/>
          <w:szCs w:val="32"/>
        </w:rPr>
        <w:t>、被告并未认可将土地长期转让给原告；</w:t>
      </w:r>
      <w:r>
        <w:rPr>
          <w:rFonts w:ascii="仿宋_GB2312" w:eastAsia="仿宋_GB2312" w:cs="仿宋_GB2312"/>
          <w:sz w:val="32"/>
          <w:szCs w:val="32"/>
        </w:rPr>
        <w:t>3</w:t>
      </w:r>
      <w:r>
        <w:rPr>
          <w:rFonts w:ascii="仿宋_GB2312" w:eastAsia="仿宋_GB2312" w:cs="仿宋_GB2312" w:hint="eastAsia"/>
          <w:sz w:val="32"/>
          <w:szCs w:val="32"/>
        </w:rPr>
        <w:t>、冉从楷、刘康等在合同上签字是作为在场人认证房屋买卖的事情，并不代表同意土地转让；</w:t>
      </w:r>
      <w:r>
        <w:rPr>
          <w:rFonts w:ascii="仿宋_GB2312" w:eastAsia="仿宋_GB2312" w:cs="仿宋_GB2312"/>
          <w:sz w:val="32"/>
          <w:szCs w:val="32"/>
        </w:rPr>
        <w:t>4</w:t>
      </w:r>
      <w:r>
        <w:rPr>
          <w:rFonts w:ascii="仿宋_GB2312" w:eastAsia="仿宋_GB2312" w:cs="仿宋_GB2312" w:hint="eastAsia"/>
          <w:sz w:val="32"/>
          <w:szCs w:val="32"/>
        </w:rPr>
        <w:t>、丰都农仲案</w:t>
      </w:r>
      <w:r>
        <w:rPr>
          <w:rFonts w:ascii="仿宋_GB2312" w:eastAsia="仿宋_GB2312" w:cs="仿宋_GB2312"/>
          <w:sz w:val="32"/>
          <w:szCs w:val="32"/>
        </w:rPr>
        <w:t>[2011]</w:t>
      </w:r>
      <w:r>
        <w:rPr>
          <w:rFonts w:ascii="仿宋_GB2312" w:eastAsia="仿宋_GB2312" w:cs="仿宋_GB2312" w:hint="eastAsia"/>
          <w:sz w:val="32"/>
          <w:szCs w:val="32"/>
        </w:rPr>
        <w:t>第</w:t>
      </w:r>
      <w:r>
        <w:rPr>
          <w:rFonts w:ascii="仿宋_GB2312" w:eastAsia="仿宋_GB2312" w:cs="仿宋_GB2312"/>
          <w:sz w:val="32"/>
          <w:szCs w:val="32"/>
        </w:rPr>
        <w:t>08</w:t>
      </w:r>
      <w:r>
        <w:rPr>
          <w:rFonts w:ascii="仿宋_GB2312" w:eastAsia="仿宋_GB2312" w:cs="仿宋_GB2312" w:hint="eastAsia"/>
          <w:sz w:val="32"/>
          <w:szCs w:val="32"/>
        </w:rPr>
        <w:t>号仲裁裁决是合法</w:t>
      </w:r>
      <w:r>
        <w:rPr>
          <w:rFonts w:ascii="仿宋_GB2312" w:eastAsia="仿宋_GB2312" w:cs="仿宋_GB2312" w:hint="eastAsia"/>
          <w:sz w:val="32"/>
          <w:szCs w:val="32"/>
        </w:rPr>
        <w:lastRenderedPageBreak/>
        <w:t>有效的；</w:t>
      </w:r>
      <w:r>
        <w:rPr>
          <w:rFonts w:ascii="仿宋_GB2312" w:eastAsia="仿宋_GB2312" w:cs="仿宋_GB2312"/>
          <w:sz w:val="32"/>
          <w:szCs w:val="32"/>
        </w:rPr>
        <w:t>5</w:t>
      </w:r>
      <w:r>
        <w:rPr>
          <w:rFonts w:ascii="仿宋_GB2312" w:eastAsia="仿宋_GB2312" w:cs="仿宋_GB2312" w:hint="eastAsia"/>
          <w:sz w:val="32"/>
          <w:szCs w:val="32"/>
        </w:rPr>
        <w:t>、请求驳回原告的诉讼请求。</w:t>
      </w:r>
    </w:p>
    <w:p w:rsidR="00B5047F" w:rsidRDefault="00B5047F" w:rsidP="00B5047F">
      <w:pPr>
        <w:snapToGrid w:val="0"/>
        <w:spacing w:line="580" w:lineRule="exact"/>
        <w:ind w:firstLine="645"/>
        <w:rPr>
          <w:rFonts w:ascii="仿宋_GB2312" w:eastAsia="仿宋_GB2312"/>
          <w:sz w:val="32"/>
          <w:szCs w:val="32"/>
        </w:rPr>
      </w:pPr>
      <w:r>
        <w:rPr>
          <w:rFonts w:ascii="仿宋_GB2312" w:eastAsia="仿宋_GB2312" w:cs="仿宋_GB2312" w:hint="eastAsia"/>
          <w:sz w:val="32"/>
          <w:szCs w:val="32"/>
        </w:rPr>
        <w:t>经审理查明，马兹财又名马之才。</w:t>
      </w:r>
      <w:r>
        <w:rPr>
          <w:rFonts w:ascii="仿宋_GB2312" w:eastAsia="仿宋_GB2312" w:cs="仿宋_GB2312"/>
          <w:sz w:val="32"/>
          <w:szCs w:val="32"/>
        </w:rPr>
        <w:t>2009</w:t>
      </w:r>
      <w:r>
        <w:rPr>
          <w:rFonts w:ascii="仿宋_GB2312" w:eastAsia="仿宋_GB2312" w:cs="仿宋_GB2312" w:hint="eastAsia"/>
          <w:sz w:val="32"/>
          <w:szCs w:val="32"/>
        </w:rPr>
        <w:t>年</w:t>
      </w:r>
      <w:r>
        <w:rPr>
          <w:rFonts w:ascii="仿宋_GB2312" w:eastAsia="仿宋_GB2312" w:cs="仿宋_GB2312"/>
          <w:sz w:val="32"/>
          <w:szCs w:val="32"/>
        </w:rPr>
        <w:t>1</w:t>
      </w:r>
      <w:r>
        <w:rPr>
          <w:rFonts w:ascii="仿宋_GB2312" w:eastAsia="仿宋_GB2312" w:cs="仿宋_GB2312" w:hint="eastAsia"/>
          <w:sz w:val="32"/>
          <w:szCs w:val="32"/>
        </w:rPr>
        <w:t>月</w:t>
      </w:r>
      <w:r>
        <w:rPr>
          <w:rFonts w:ascii="仿宋_GB2312" w:eastAsia="仿宋_GB2312" w:cs="仿宋_GB2312"/>
          <w:sz w:val="32"/>
          <w:szCs w:val="32"/>
        </w:rPr>
        <w:t>17</w:t>
      </w:r>
      <w:r>
        <w:rPr>
          <w:rFonts w:ascii="仿宋_GB2312" w:eastAsia="仿宋_GB2312" w:cs="仿宋_GB2312" w:hint="eastAsia"/>
          <w:sz w:val="32"/>
          <w:szCs w:val="32"/>
        </w:rPr>
        <w:t>日，谭长江作为乙方、马之财作为甲方签订《房屋买卖合同》，约定：甲方座落在丰都县江池镇大安村</w:t>
      </w:r>
      <w:r>
        <w:rPr>
          <w:rFonts w:ascii="仿宋_GB2312" w:eastAsia="仿宋_GB2312" w:cs="仿宋_GB2312"/>
          <w:sz w:val="32"/>
          <w:szCs w:val="32"/>
        </w:rPr>
        <w:t>1</w:t>
      </w:r>
      <w:r>
        <w:rPr>
          <w:rFonts w:ascii="仿宋_GB2312" w:eastAsia="仿宋_GB2312" w:cs="仿宋_GB2312" w:hint="eastAsia"/>
          <w:sz w:val="32"/>
          <w:szCs w:val="32"/>
        </w:rPr>
        <w:t>组（千庄坝）的三间一楼一底土木结构房屋及猪圈、牛栏以</w:t>
      </w:r>
      <w:r>
        <w:rPr>
          <w:rFonts w:ascii="仿宋_GB2312" w:eastAsia="仿宋_GB2312" w:cs="仿宋_GB2312"/>
          <w:sz w:val="32"/>
          <w:szCs w:val="32"/>
        </w:rPr>
        <w:t>2</w:t>
      </w:r>
      <w:r>
        <w:rPr>
          <w:rFonts w:ascii="仿宋_GB2312" w:eastAsia="仿宋_GB2312" w:cs="仿宋_GB2312" w:hint="eastAsia"/>
          <w:sz w:val="32"/>
          <w:szCs w:val="32"/>
        </w:rPr>
        <w:t>万元之价出售给乙方；其中第四条约定：“</w:t>
      </w:r>
      <w:r>
        <w:rPr>
          <w:rFonts w:ascii="仿宋_GB2312" w:eastAsia="仿宋_GB2312" w:cs="仿宋_GB2312"/>
          <w:sz w:val="32"/>
          <w:szCs w:val="32"/>
        </w:rPr>
        <w:t>1</w:t>
      </w:r>
      <w:r>
        <w:rPr>
          <w:rFonts w:ascii="仿宋_GB2312" w:eastAsia="仿宋_GB2312" w:cs="仿宋_GB2312" w:hint="eastAsia"/>
          <w:sz w:val="32"/>
          <w:szCs w:val="32"/>
        </w:rPr>
        <w:t>、甲方有四个人的包产田地及山林、竹林、石坝等按国家规定长期转让给乙方经营使用。</w:t>
      </w:r>
      <w:r>
        <w:rPr>
          <w:rFonts w:ascii="仿宋_GB2312" w:eastAsia="仿宋_GB2312" w:cs="仿宋_GB2312"/>
          <w:sz w:val="32"/>
          <w:szCs w:val="32"/>
        </w:rPr>
        <w:t>2</w:t>
      </w:r>
      <w:r>
        <w:rPr>
          <w:rFonts w:ascii="仿宋_GB2312" w:eastAsia="仿宋_GB2312" w:cs="仿宋_GB2312" w:hint="eastAsia"/>
          <w:sz w:val="32"/>
          <w:szCs w:val="32"/>
        </w:rPr>
        <w:t>、在甲方的承包田地中，河坝的一个田预提留给甲方管理，如果甲方今后要回来居住，其承包权属甲方，如果甲方不回来居住，其承包权属乙方。现暂由乙方经营耕种</w:t>
      </w:r>
      <w:r>
        <w:rPr>
          <w:rFonts w:ascii="仿宋_GB2312" w:eastAsia="仿宋_GB2312"/>
          <w:sz w:val="32"/>
          <w:szCs w:val="32"/>
        </w:rPr>
        <w:t>……”</w:t>
      </w:r>
      <w:r>
        <w:rPr>
          <w:rFonts w:ascii="仿宋_GB2312" w:eastAsia="仿宋_GB2312" w:cs="仿宋_GB2312" w:hint="eastAsia"/>
          <w:sz w:val="32"/>
          <w:szCs w:val="32"/>
        </w:rPr>
        <w:t>；同时，双方在该合同中补充约定：</w:t>
      </w:r>
      <w:r>
        <w:rPr>
          <w:rFonts w:ascii="仿宋_GB2312" w:eastAsia="仿宋_GB2312" w:cs="仿宋_GB2312"/>
          <w:sz w:val="32"/>
          <w:szCs w:val="32"/>
        </w:rPr>
        <w:t>1</w:t>
      </w:r>
      <w:r>
        <w:rPr>
          <w:rFonts w:ascii="仿宋_GB2312" w:eastAsia="仿宋_GB2312" w:cs="仿宋_GB2312" w:hint="eastAsia"/>
          <w:sz w:val="32"/>
          <w:szCs w:val="32"/>
        </w:rPr>
        <w:t>、国家土地直补由甲方所得；</w:t>
      </w:r>
      <w:r>
        <w:rPr>
          <w:rFonts w:ascii="仿宋_GB2312" w:eastAsia="仿宋_GB2312" w:cs="仿宋_GB2312"/>
          <w:sz w:val="32"/>
          <w:szCs w:val="32"/>
        </w:rPr>
        <w:t>2</w:t>
      </w:r>
      <w:r>
        <w:rPr>
          <w:rFonts w:ascii="仿宋_GB2312" w:eastAsia="仿宋_GB2312" w:cs="仿宋_GB2312" w:hint="eastAsia"/>
          <w:sz w:val="32"/>
          <w:szCs w:val="32"/>
        </w:rPr>
        <w:t>、今后国家开发所占乙方经营的田土归乙方所有；</w:t>
      </w:r>
      <w:r>
        <w:rPr>
          <w:rFonts w:ascii="仿宋_GB2312" w:eastAsia="仿宋_GB2312" w:cs="仿宋_GB2312"/>
          <w:sz w:val="32"/>
          <w:szCs w:val="32"/>
        </w:rPr>
        <w:t>3</w:t>
      </w:r>
      <w:r>
        <w:rPr>
          <w:rFonts w:ascii="仿宋_GB2312" w:eastAsia="仿宋_GB2312" w:cs="仿宋_GB2312" w:hint="eastAsia"/>
          <w:sz w:val="32"/>
          <w:szCs w:val="32"/>
        </w:rPr>
        <w:t>、现鱼池所占的三分田的经营承包权永远属于甲方。合同签订后，谭长江与马兹财将该合同送丰都县江池镇大安村</w:t>
      </w:r>
      <w:r>
        <w:rPr>
          <w:rFonts w:ascii="仿宋_GB2312" w:eastAsia="仿宋_GB2312" w:cs="仿宋_GB2312"/>
          <w:sz w:val="32"/>
          <w:szCs w:val="32"/>
        </w:rPr>
        <w:t>1</w:t>
      </w:r>
      <w:r>
        <w:rPr>
          <w:rFonts w:ascii="仿宋_GB2312" w:eastAsia="仿宋_GB2312" w:cs="仿宋_GB2312" w:hint="eastAsia"/>
          <w:sz w:val="32"/>
          <w:szCs w:val="32"/>
        </w:rPr>
        <w:t>组组长冉从楷、该村党支部书记刘康及村长谭正兰签字确认。后马兹财依照合同约定将房屋、土地等交付给谭长江居住使用至今，谭长江也依约支付了合同价款。</w:t>
      </w:r>
    </w:p>
    <w:p w:rsidR="00B5047F" w:rsidRDefault="00B5047F" w:rsidP="00B5047F">
      <w:pPr>
        <w:snapToGrid w:val="0"/>
        <w:spacing w:line="580" w:lineRule="exact"/>
        <w:ind w:firstLine="645"/>
        <w:rPr>
          <w:rFonts w:ascii="仿宋_GB2312" w:eastAsia="仿宋_GB2312"/>
          <w:sz w:val="32"/>
          <w:szCs w:val="32"/>
        </w:rPr>
      </w:pPr>
      <w:r>
        <w:rPr>
          <w:rFonts w:ascii="仿宋_GB2312" w:eastAsia="仿宋_GB2312" w:cs="仿宋_GB2312"/>
          <w:sz w:val="32"/>
          <w:szCs w:val="32"/>
        </w:rPr>
        <w:t>2010</w:t>
      </w:r>
      <w:r>
        <w:rPr>
          <w:rFonts w:ascii="仿宋_GB2312" w:eastAsia="仿宋_GB2312" w:cs="仿宋_GB2312" w:hint="eastAsia"/>
          <w:sz w:val="32"/>
          <w:szCs w:val="32"/>
        </w:rPr>
        <w:t>年对农村承包土地进行确认颁证期间，因原、被告双方对讼争土地的流转性质产生分歧，丰都县江池镇大安村</w:t>
      </w:r>
      <w:r>
        <w:rPr>
          <w:rFonts w:ascii="仿宋_GB2312" w:eastAsia="仿宋_GB2312" w:cs="仿宋_GB2312"/>
          <w:sz w:val="32"/>
          <w:szCs w:val="32"/>
        </w:rPr>
        <w:t>1</w:t>
      </w:r>
      <w:r>
        <w:rPr>
          <w:rFonts w:ascii="仿宋_GB2312" w:eastAsia="仿宋_GB2312" w:cs="仿宋_GB2312" w:hint="eastAsia"/>
          <w:sz w:val="32"/>
          <w:szCs w:val="32"/>
        </w:rPr>
        <w:t>组未就讼争土地给谭长江进行登记办理，谭长江遂向丰都县农村土地调解仲裁委员会申请仲裁，该委于</w:t>
      </w:r>
      <w:r>
        <w:rPr>
          <w:rFonts w:ascii="仿宋_GB2312" w:eastAsia="仿宋_GB2312" w:cs="仿宋_GB2312"/>
          <w:sz w:val="32"/>
          <w:szCs w:val="32"/>
        </w:rPr>
        <w:t>2011</w:t>
      </w:r>
      <w:r>
        <w:rPr>
          <w:rFonts w:ascii="仿宋_GB2312" w:eastAsia="仿宋_GB2312" w:cs="仿宋_GB2312" w:hint="eastAsia"/>
          <w:sz w:val="32"/>
          <w:szCs w:val="32"/>
        </w:rPr>
        <w:t>年</w:t>
      </w:r>
      <w:r>
        <w:rPr>
          <w:rFonts w:ascii="仿宋_GB2312" w:eastAsia="仿宋_GB2312" w:cs="仿宋_GB2312"/>
          <w:sz w:val="32"/>
          <w:szCs w:val="32"/>
        </w:rPr>
        <w:t>11</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日以丰都农仲案字</w:t>
      </w:r>
      <w:r>
        <w:rPr>
          <w:rFonts w:ascii="仿宋_GB2312" w:eastAsia="仿宋_GB2312" w:cs="仿宋_GB2312"/>
          <w:sz w:val="32"/>
          <w:szCs w:val="32"/>
        </w:rPr>
        <w:t>[2011]</w:t>
      </w:r>
      <w:r>
        <w:rPr>
          <w:rFonts w:ascii="仿宋_GB2312" w:eastAsia="仿宋_GB2312" w:cs="仿宋_GB2312" w:hint="eastAsia"/>
          <w:sz w:val="32"/>
          <w:szCs w:val="32"/>
        </w:rPr>
        <w:t>第</w:t>
      </w:r>
      <w:r>
        <w:rPr>
          <w:rFonts w:ascii="仿宋_GB2312" w:eastAsia="仿宋_GB2312" w:cs="仿宋_GB2312"/>
          <w:sz w:val="32"/>
          <w:szCs w:val="32"/>
        </w:rPr>
        <w:t>08</w:t>
      </w:r>
      <w:r>
        <w:rPr>
          <w:rFonts w:ascii="仿宋_GB2312" w:eastAsia="仿宋_GB2312" w:cs="仿宋_GB2312" w:hint="eastAsia"/>
          <w:sz w:val="32"/>
          <w:szCs w:val="32"/>
        </w:rPr>
        <w:t>号仲裁裁决书裁决“本争议土地确权于被申请</w:t>
      </w:r>
      <w:r>
        <w:rPr>
          <w:rFonts w:ascii="仿宋_GB2312" w:eastAsia="仿宋_GB2312" w:cs="仿宋_GB2312" w:hint="eastAsia"/>
          <w:sz w:val="32"/>
          <w:szCs w:val="32"/>
        </w:rPr>
        <w:lastRenderedPageBreak/>
        <w:t>人马兹才，由申请人谭长江耕种至本轮承包期限结束”。谭长江对该裁决不服，于同年</w:t>
      </w:r>
      <w:r>
        <w:rPr>
          <w:rFonts w:ascii="仿宋_GB2312" w:eastAsia="仿宋_GB2312" w:cs="仿宋_GB2312"/>
          <w:sz w:val="32"/>
          <w:szCs w:val="32"/>
        </w:rPr>
        <w:t>12</w:t>
      </w:r>
      <w:r>
        <w:rPr>
          <w:rFonts w:ascii="仿宋_GB2312" w:eastAsia="仿宋_GB2312" w:cs="仿宋_GB2312" w:hint="eastAsia"/>
          <w:sz w:val="32"/>
          <w:szCs w:val="32"/>
        </w:rPr>
        <w:t>与</w:t>
      </w:r>
      <w:r>
        <w:rPr>
          <w:rFonts w:ascii="仿宋_GB2312" w:eastAsia="仿宋_GB2312" w:cs="仿宋_GB2312"/>
          <w:sz w:val="32"/>
          <w:szCs w:val="32"/>
        </w:rPr>
        <w:t>23</w:t>
      </w:r>
      <w:r>
        <w:rPr>
          <w:rFonts w:ascii="仿宋_GB2312" w:eastAsia="仿宋_GB2312" w:cs="仿宋_GB2312" w:hint="eastAsia"/>
          <w:sz w:val="32"/>
          <w:szCs w:val="32"/>
        </w:rPr>
        <w:t>日起诉来院。</w:t>
      </w:r>
    </w:p>
    <w:p w:rsidR="00B5047F" w:rsidRDefault="00B5047F" w:rsidP="00B5047F">
      <w:pPr>
        <w:snapToGrid w:val="0"/>
        <w:spacing w:line="580" w:lineRule="exact"/>
        <w:ind w:firstLine="645"/>
        <w:rPr>
          <w:rFonts w:ascii="仿宋_GB2312" w:eastAsia="仿宋_GB2312"/>
          <w:sz w:val="32"/>
          <w:szCs w:val="32"/>
        </w:rPr>
      </w:pPr>
      <w:r>
        <w:rPr>
          <w:rFonts w:ascii="仿宋_GB2312" w:eastAsia="仿宋_GB2312" w:cs="仿宋_GB2312" w:hint="eastAsia"/>
          <w:sz w:val="32"/>
          <w:szCs w:val="32"/>
        </w:rPr>
        <w:t>上述事实，有原、被告的陈述，《房屋买卖合同》，丰都农仲案</w:t>
      </w:r>
      <w:r>
        <w:rPr>
          <w:rFonts w:ascii="仿宋_GB2312" w:eastAsia="仿宋_GB2312" w:cs="仿宋_GB2312"/>
          <w:sz w:val="32"/>
          <w:szCs w:val="32"/>
        </w:rPr>
        <w:t>[2011]</w:t>
      </w:r>
      <w:r>
        <w:rPr>
          <w:rFonts w:ascii="仿宋_GB2312" w:eastAsia="仿宋_GB2312" w:cs="仿宋_GB2312" w:hint="eastAsia"/>
          <w:sz w:val="32"/>
          <w:szCs w:val="32"/>
        </w:rPr>
        <w:t>第</w:t>
      </w:r>
      <w:r>
        <w:rPr>
          <w:rFonts w:ascii="仿宋_GB2312" w:eastAsia="仿宋_GB2312" w:cs="仿宋_GB2312"/>
          <w:sz w:val="32"/>
          <w:szCs w:val="32"/>
        </w:rPr>
        <w:t>08</w:t>
      </w:r>
      <w:r>
        <w:rPr>
          <w:rFonts w:ascii="仿宋_GB2312" w:eastAsia="仿宋_GB2312" w:cs="仿宋_GB2312" w:hint="eastAsia"/>
          <w:sz w:val="32"/>
          <w:szCs w:val="32"/>
        </w:rPr>
        <w:t>号仲裁裁决书，农地承包权（</w:t>
      </w:r>
      <w:r>
        <w:rPr>
          <w:rFonts w:ascii="仿宋_GB2312" w:eastAsia="仿宋_GB2312" w:cs="仿宋_GB2312"/>
          <w:sz w:val="32"/>
          <w:szCs w:val="32"/>
        </w:rPr>
        <w:t>2010</w:t>
      </w:r>
      <w:r>
        <w:rPr>
          <w:rFonts w:ascii="仿宋_GB2312" w:eastAsia="仿宋_GB2312" w:cs="仿宋_GB2312" w:hint="eastAsia"/>
          <w:sz w:val="32"/>
          <w:szCs w:val="32"/>
        </w:rPr>
        <w:t>）第</w:t>
      </w:r>
      <w:r>
        <w:rPr>
          <w:rFonts w:ascii="仿宋_GB2312" w:eastAsia="仿宋_GB2312" w:cs="仿宋_GB2312"/>
          <w:sz w:val="32"/>
          <w:szCs w:val="32"/>
        </w:rPr>
        <w:t>CQ271506070018</w:t>
      </w:r>
      <w:r>
        <w:rPr>
          <w:rFonts w:ascii="仿宋_GB2312" w:eastAsia="仿宋_GB2312" w:cs="仿宋_GB2312" w:hint="eastAsia"/>
          <w:sz w:val="32"/>
          <w:szCs w:val="32"/>
        </w:rPr>
        <w:t>号《中华人民共和国农村承包经营权证书》，农村土地建设用地使用证，林权证，照片，证人证言等证据在案佐证，并经庭审举证、质证，本院予以确认。</w:t>
      </w:r>
    </w:p>
    <w:p w:rsidR="00B5047F" w:rsidRDefault="00B5047F" w:rsidP="00B5047F">
      <w:pPr>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本院认为，原、被告签订的《房屋买卖合同》经双方当事人签字捺印，在补充约定时，对其第四条中约定“甲方有四个人的包产田地及山林、竹林、石坝等按国家规定长期转让给乙方经营使用”也并无修改，可确认是双方当事人真实意思表示，且涉及土地流转的条款一并经双方当事人及村民小组负责人签字确认，是合法有效的。被告马兹财辩称，其在签订合同时的真实意思是将土地转包而非转让，查无实证，本院不予采信；被告马兹财辩称讼争合同中关于土地流转的条款，未经发包方及大安村</w:t>
      </w:r>
      <w:r>
        <w:rPr>
          <w:rFonts w:ascii="仿宋_GB2312" w:eastAsia="仿宋_GB2312" w:cs="仿宋_GB2312"/>
          <w:sz w:val="32"/>
          <w:szCs w:val="32"/>
        </w:rPr>
        <w:t>1</w:t>
      </w:r>
      <w:r>
        <w:rPr>
          <w:rFonts w:ascii="仿宋_GB2312" w:eastAsia="仿宋_GB2312" w:cs="仿宋_GB2312" w:hint="eastAsia"/>
          <w:sz w:val="32"/>
          <w:szCs w:val="32"/>
        </w:rPr>
        <w:t>组同意，经查，讼争合同已经江池镇大安村</w:t>
      </w:r>
      <w:r>
        <w:rPr>
          <w:rFonts w:ascii="仿宋_GB2312" w:eastAsia="仿宋_GB2312" w:cs="仿宋_GB2312"/>
          <w:sz w:val="32"/>
          <w:szCs w:val="32"/>
        </w:rPr>
        <w:t>1</w:t>
      </w:r>
      <w:r>
        <w:rPr>
          <w:rFonts w:ascii="仿宋_GB2312" w:eastAsia="仿宋_GB2312" w:cs="仿宋_GB2312" w:hint="eastAsia"/>
          <w:sz w:val="32"/>
          <w:szCs w:val="32"/>
        </w:rPr>
        <w:t>组时任组长冉从楷看后亲笔签字确认，应视为对该土地转让条款的追认。冉从楷同时作为证人出庭作证，其证明讼争协议上的签字只是对原、被告房屋买卖的见证，不是同意讼争土地流转；但讼争协议上证人冉从楷签字捺印，并未特别注明只对房屋买卖见证，则应视为是对整个讼争协议的确认；对证人冉从楷的证言，本院不予采纳。故原、</w:t>
      </w:r>
      <w:r>
        <w:rPr>
          <w:rFonts w:ascii="仿宋_GB2312" w:eastAsia="仿宋_GB2312" w:cs="仿宋_GB2312" w:hint="eastAsia"/>
          <w:sz w:val="32"/>
          <w:szCs w:val="32"/>
        </w:rPr>
        <w:lastRenderedPageBreak/>
        <w:t>被告签订的《房屋买卖合同》中第四条关于讼争土地的流转条款是得到发包方同意的，是合法有效的。</w:t>
      </w:r>
      <w:r>
        <w:rPr>
          <w:rFonts w:eastAsia="仿宋_GB2312" w:cs="仿宋_GB2312" w:hint="eastAsia"/>
          <w:sz w:val="32"/>
          <w:szCs w:val="32"/>
        </w:rPr>
        <w:t>综上，原告谭长江请求</w:t>
      </w:r>
      <w:r>
        <w:rPr>
          <w:rFonts w:ascii="仿宋_GB2312" w:eastAsia="仿宋_GB2312" w:cs="仿宋_GB2312" w:hint="eastAsia"/>
          <w:sz w:val="32"/>
          <w:szCs w:val="32"/>
        </w:rPr>
        <w:t>确认原、被告签订的《房屋买卖合同》中第四条约定有效的诉讼请求</w:t>
      </w:r>
      <w:r>
        <w:rPr>
          <w:rFonts w:eastAsia="仿宋_GB2312" w:cs="仿宋_GB2312" w:hint="eastAsia"/>
          <w:sz w:val="32"/>
          <w:szCs w:val="32"/>
        </w:rPr>
        <w:t>，本院予以支持。据此，依照《中华人民共和国农村土地承包法》第三十七条第一款之规定并经本院审判委员会讨论，判决如下：</w:t>
      </w:r>
    </w:p>
    <w:p w:rsidR="00B5047F" w:rsidRDefault="00B5047F" w:rsidP="00B5047F">
      <w:pPr>
        <w:snapToGrid w:val="0"/>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一、原告谭长江与被告马兹财签订的《房屋买卖合同》第四条中关于土地、山林转让的约定有效；</w:t>
      </w:r>
    </w:p>
    <w:p w:rsidR="00B5047F" w:rsidRDefault="00B5047F" w:rsidP="00B5047F">
      <w:pPr>
        <w:tabs>
          <w:tab w:val="left" w:pos="7200"/>
        </w:tabs>
        <w:snapToGrid w:val="0"/>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二、驳回原告谭长江的其余诉讼请求。</w:t>
      </w:r>
    </w:p>
    <w:p w:rsidR="00B5047F" w:rsidRDefault="00B5047F" w:rsidP="00B5047F">
      <w:pPr>
        <w:snapToGrid w:val="0"/>
        <w:spacing w:line="580" w:lineRule="exact"/>
        <w:rPr>
          <w:rFonts w:ascii="仿宋_GB2312" w:eastAsia="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案件受理费</w:t>
      </w:r>
      <w:r>
        <w:rPr>
          <w:rFonts w:ascii="仿宋_GB2312" w:eastAsia="仿宋_GB2312" w:cs="仿宋_GB2312"/>
          <w:sz w:val="32"/>
          <w:szCs w:val="32"/>
        </w:rPr>
        <w:t>80</w:t>
      </w:r>
      <w:r>
        <w:rPr>
          <w:rFonts w:ascii="仿宋_GB2312" w:eastAsia="仿宋_GB2312" w:cs="仿宋_GB2312" w:hint="eastAsia"/>
          <w:sz w:val="32"/>
          <w:szCs w:val="32"/>
        </w:rPr>
        <w:t>元，由被告马兹财负担。</w:t>
      </w:r>
    </w:p>
    <w:p w:rsidR="00B5047F" w:rsidRDefault="00B5047F" w:rsidP="00B5047F">
      <w:pPr>
        <w:tabs>
          <w:tab w:val="left" w:pos="7560"/>
        </w:tabs>
        <w:snapToGrid w:val="0"/>
        <w:spacing w:line="580" w:lineRule="exact"/>
        <w:ind w:firstLine="645"/>
        <w:rPr>
          <w:rFonts w:ascii="仿宋_GB2312" w:eastAsia="仿宋_GB2312"/>
          <w:sz w:val="32"/>
          <w:szCs w:val="32"/>
        </w:rPr>
      </w:pPr>
      <w:r>
        <w:rPr>
          <w:rFonts w:ascii="仿宋_GB2312" w:eastAsia="仿宋_GB2312" w:cs="仿宋_GB2312" w:hint="eastAsia"/>
          <w:sz w:val="32"/>
          <w:szCs w:val="32"/>
        </w:rPr>
        <w:t>如不服本判决，可在判决书送达之日起十五日内，向本院递交上诉状，并按对方当事人的人数提出副本，上诉于重庆市第三中级人民法院。</w:t>
      </w:r>
    </w:p>
    <w:p w:rsidR="00B5047F" w:rsidRDefault="00B5047F" w:rsidP="00B5047F">
      <w:pPr>
        <w:spacing w:line="580" w:lineRule="exact"/>
        <w:ind w:firstLineChars="1293" w:firstLine="4138"/>
        <w:rPr>
          <w:rFonts w:ascii="仿宋_GB2312" w:eastAsia="仿宋_GB2312"/>
          <w:sz w:val="32"/>
          <w:szCs w:val="32"/>
        </w:rPr>
      </w:pPr>
      <w:r>
        <w:rPr>
          <w:rFonts w:ascii="仿宋_GB2312" w:eastAsia="仿宋_GB2312" w:cs="仿宋_GB2312"/>
          <w:sz w:val="32"/>
          <w:szCs w:val="32"/>
        </w:rPr>
        <w:t xml:space="preserve">          </w:t>
      </w:r>
    </w:p>
    <w:p w:rsidR="00B5047F" w:rsidRDefault="00B5047F" w:rsidP="00B5047F">
      <w:pPr>
        <w:snapToGrid w:val="0"/>
        <w:spacing w:line="600" w:lineRule="exact"/>
        <w:ind w:right="26"/>
        <w:jc w:val="left"/>
        <w:rPr>
          <w:rFonts w:ascii="仿宋_GB2312" w:eastAsia="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审</w:t>
      </w:r>
      <w:r>
        <w:rPr>
          <w:rFonts w:ascii="仿宋_GB2312" w:eastAsia="仿宋_GB2312" w:cs="仿宋_GB2312"/>
          <w:sz w:val="32"/>
          <w:szCs w:val="32"/>
        </w:rPr>
        <w:t xml:space="preserve">  </w:t>
      </w:r>
      <w:r>
        <w:rPr>
          <w:rFonts w:ascii="仿宋_GB2312" w:eastAsia="仿宋_GB2312" w:cs="仿宋_GB2312" w:hint="eastAsia"/>
          <w:sz w:val="32"/>
          <w:szCs w:val="32"/>
        </w:rPr>
        <w:t>判</w:t>
      </w:r>
      <w:r>
        <w:rPr>
          <w:rFonts w:ascii="仿宋_GB2312" w:eastAsia="仿宋_GB2312" w:cs="仿宋_GB2312"/>
          <w:sz w:val="32"/>
          <w:szCs w:val="32"/>
        </w:rPr>
        <w:t xml:space="preserve">  </w:t>
      </w:r>
      <w:r>
        <w:rPr>
          <w:rFonts w:ascii="仿宋_GB2312" w:eastAsia="仿宋_GB2312" w:cs="仿宋_GB2312" w:hint="eastAsia"/>
          <w:sz w:val="32"/>
          <w:szCs w:val="32"/>
        </w:rPr>
        <w:t>长</w:t>
      </w:r>
      <w:r>
        <w:rPr>
          <w:rFonts w:ascii="仿宋_GB2312" w:eastAsia="仿宋_GB2312" w:cs="仿宋_GB2312"/>
          <w:sz w:val="32"/>
          <w:szCs w:val="32"/>
        </w:rPr>
        <w:t xml:space="preserve">    </w:t>
      </w:r>
      <w:r>
        <w:rPr>
          <w:rFonts w:ascii="仿宋_GB2312" w:eastAsia="仿宋_GB2312" w:cs="仿宋_GB2312" w:hint="eastAsia"/>
          <w:sz w:val="32"/>
          <w:szCs w:val="32"/>
        </w:rPr>
        <w:t>刘</w:t>
      </w:r>
      <w:r>
        <w:rPr>
          <w:rFonts w:ascii="仿宋_GB2312" w:eastAsia="仿宋_GB2312" w:cs="仿宋_GB2312"/>
          <w:sz w:val="32"/>
          <w:szCs w:val="32"/>
        </w:rPr>
        <w:t xml:space="preserve">  </w:t>
      </w:r>
      <w:r>
        <w:rPr>
          <w:rFonts w:ascii="仿宋_GB2312" w:eastAsia="仿宋_GB2312" w:cs="仿宋_GB2312" w:hint="eastAsia"/>
          <w:sz w:val="32"/>
          <w:szCs w:val="32"/>
        </w:rPr>
        <w:t>静</w:t>
      </w:r>
    </w:p>
    <w:p w:rsidR="00B5047F" w:rsidRDefault="00B5047F" w:rsidP="00B5047F">
      <w:pPr>
        <w:snapToGrid w:val="0"/>
        <w:spacing w:line="600" w:lineRule="exact"/>
        <w:ind w:right="26" w:firstLineChars="1350" w:firstLine="4320"/>
        <w:jc w:val="left"/>
        <w:rPr>
          <w:rFonts w:ascii="仿宋_GB2312" w:eastAsia="仿宋_GB2312"/>
          <w:sz w:val="32"/>
          <w:szCs w:val="32"/>
        </w:rPr>
      </w:pPr>
      <w:r>
        <w:rPr>
          <w:rFonts w:ascii="仿宋_GB2312" w:eastAsia="仿宋_GB2312" w:cs="仿宋_GB2312" w:hint="eastAsia"/>
          <w:sz w:val="32"/>
          <w:szCs w:val="32"/>
        </w:rPr>
        <w:t>代理审判员</w:t>
      </w:r>
      <w:r>
        <w:rPr>
          <w:rFonts w:ascii="仿宋_GB2312" w:eastAsia="仿宋_GB2312" w:cs="仿宋_GB2312"/>
          <w:sz w:val="32"/>
          <w:szCs w:val="32"/>
        </w:rPr>
        <w:t xml:space="preserve">    </w:t>
      </w:r>
      <w:r>
        <w:rPr>
          <w:rFonts w:ascii="仿宋_GB2312" w:eastAsia="仿宋_GB2312" w:cs="仿宋_GB2312" w:hint="eastAsia"/>
          <w:sz w:val="32"/>
          <w:szCs w:val="32"/>
        </w:rPr>
        <w:t>杜春秋</w:t>
      </w:r>
    </w:p>
    <w:p w:rsidR="00B5047F" w:rsidRDefault="00B5047F" w:rsidP="00B5047F">
      <w:pPr>
        <w:snapToGrid w:val="0"/>
        <w:spacing w:line="600" w:lineRule="exact"/>
        <w:ind w:right="26" w:firstLineChars="1350" w:firstLine="4320"/>
        <w:jc w:val="left"/>
        <w:rPr>
          <w:rFonts w:ascii="仿宋_GB2312" w:eastAsia="仿宋_GB2312"/>
          <w:sz w:val="32"/>
          <w:szCs w:val="32"/>
        </w:rPr>
      </w:pPr>
      <w:r>
        <w:rPr>
          <w:rFonts w:ascii="仿宋_GB2312" w:eastAsia="仿宋_GB2312" w:cs="仿宋_GB2312" w:hint="eastAsia"/>
          <w:sz w:val="32"/>
          <w:szCs w:val="32"/>
        </w:rPr>
        <w:t>人民陪审员</w:t>
      </w:r>
      <w:r>
        <w:rPr>
          <w:rFonts w:ascii="仿宋_GB2312" w:eastAsia="仿宋_GB2312" w:cs="仿宋_GB2312"/>
          <w:sz w:val="32"/>
          <w:szCs w:val="32"/>
        </w:rPr>
        <w:t xml:space="preserve">    </w:t>
      </w:r>
      <w:r>
        <w:rPr>
          <w:rFonts w:ascii="仿宋_GB2312" w:eastAsia="仿宋_GB2312" w:cs="仿宋_GB2312" w:hint="eastAsia"/>
          <w:sz w:val="32"/>
          <w:szCs w:val="32"/>
        </w:rPr>
        <w:t>游光明</w:t>
      </w:r>
    </w:p>
    <w:p w:rsidR="00B5047F" w:rsidRDefault="00B5047F" w:rsidP="00B5047F">
      <w:pPr>
        <w:snapToGrid w:val="0"/>
        <w:spacing w:line="600" w:lineRule="exact"/>
        <w:ind w:right="26"/>
        <w:jc w:val="left"/>
        <w:rPr>
          <w:rFonts w:ascii="仿宋_GB2312" w:eastAsia="仿宋_GB2312"/>
          <w:sz w:val="32"/>
          <w:szCs w:val="32"/>
        </w:rPr>
      </w:pPr>
    </w:p>
    <w:p w:rsidR="00B5047F" w:rsidRDefault="00B5047F" w:rsidP="00B5047F">
      <w:pPr>
        <w:snapToGrid w:val="0"/>
        <w:spacing w:line="600" w:lineRule="exact"/>
        <w:ind w:right="26" w:firstLineChars="1350" w:firstLine="4320"/>
        <w:jc w:val="left"/>
        <w:rPr>
          <w:rFonts w:ascii="仿宋_GB2312" w:eastAsia="仿宋_GB2312"/>
          <w:sz w:val="32"/>
          <w:szCs w:val="32"/>
        </w:rPr>
      </w:pPr>
      <w:r>
        <w:rPr>
          <w:rFonts w:ascii="仿宋_GB2312" w:eastAsia="仿宋_GB2312" w:cs="仿宋_GB2312" w:hint="eastAsia"/>
          <w:sz w:val="32"/>
          <w:szCs w:val="32"/>
        </w:rPr>
        <w:t>二</w:t>
      </w:r>
      <w:r>
        <w:rPr>
          <w:rFonts w:ascii="宋体" w:hAnsi="宋体" w:cs="宋体" w:hint="eastAsia"/>
          <w:sz w:val="32"/>
          <w:szCs w:val="32"/>
        </w:rPr>
        <w:t>〇</w:t>
      </w:r>
      <w:r>
        <w:rPr>
          <w:rFonts w:ascii="仿宋_GB2312" w:eastAsia="仿宋_GB2312" w:hAnsi="仿宋_GB2312" w:cs="仿宋_GB2312" w:hint="eastAsia"/>
          <w:sz w:val="32"/>
          <w:szCs w:val="32"/>
        </w:rPr>
        <w:t>一二年五月十六</w:t>
      </w:r>
      <w:r>
        <w:rPr>
          <w:rFonts w:ascii="仿宋_GB2312" w:eastAsia="仿宋_GB2312" w:cs="仿宋_GB2312" w:hint="eastAsia"/>
          <w:sz w:val="32"/>
          <w:szCs w:val="32"/>
        </w:rPr>
        <w:t>日</w:t>
      </w:r>
    </w:p>
    <w:p w:rsidR="00B5047F" w:rsidRDefault="00B5047F" w:rsidP="00B5047F">
      <w:pPr>
        <w:snapToGrid w:val="0"/>
        <w:spacing w:line="600" w:lineRule="exact"/>
        <w:ind w:right="26" w:firstLineChars="1550" w:firstLine="4960"/>
        <w:jc w:val="left"/>
        <w:rPr>
          <w:rFonts w:ascii="仿宋_GB2312" w:eastAsia="仿宋_GB2312" w:cs="仿宋_GB2312"/>
          <w:sz w:val="32"/>
          <w:szCs w:val="32"/>
        </w:rPr>
      </w:pPr>
      <w:r>
        <w:rPr>
          <w:rFonts w:ascii="仿宋_GB2312" w:eastAsia="仿宋_GB2312" w:cs="仿宋_GB2312"/>
          <w:sz w:val="32"/>
          <w:szCs w:val="32"/>
        </w:rPr>
        <w:t xml:space="preserve"> </w:t>
      </w:r>
    </w:p>
    <w:p w:rsidR="00B5047F" w:rsidRPr="00DC30BA" w:rsidRDefault="00B5047F" w:rsidP="00B5047F">
      <w:r>
        <w:rPr>
          <w:rFonts w:ascii="仿宋_GB2312" w:eastAsia="仿宋_GB2312" w:cs="仿宋_GB2312"/>
          <w:sz w:val="32"/>
          <w:szCs w:val="32"/>
        </w:rPr>
        <w:t xml:space="preserve">                           </w:t>
      </w:r>
      <w:r>
        <w:rPr>
          <w:rFonts w:ascii="仿宋_GB2312" w:eastAsia="仿宋_GB2312" w:cs="仿宋_GB2312" w:hint="eastAsia"/>
          <w:sz w:val="32"/>
          <w:szCs w:val="32"/>
        </w:rPr>
        <w:t>书</w:t>
      </w:r>
      <w:r>
        <w:rPr>
          <w:rFonts w:ascii="仿宋_GB2312" w:eastAsia="仿宋_GB2312" w:cs="仿宋_GB2312"/>
          <w:sz w:val="32"/>
          <w:szCs w:val="32"/>
        </w:rPr>
        <w:t xml:space="preserve">  </w:t>
      </w:r>
      <w:r>
        <w:rPr>
          <w:rFonts w:ascii="仿宋_GB2312" w:eastAsia="仿宋_GB2312" w:cs="仿宋_GB2312" w:hint="eastAsia"/>
          <w:sz w:val="32"/>
          <w:szCs w:val="32"/>
        </w:rPr>
        <w:t>记</w:t>
      </w:r>
      <w:r>
        <w:rPr>
          <w:rFonts w:ascii="仿宋_GB2312" w:eastAsia="仿宋_GB2312" w:cs="仿宋_GB2312"/>
          <w:sz w:val="32"/>
          <w:szCs w:val="32"/>
        </w:rPr>
        <w:t xml:space="preserve">  </w:t>
      </w:r>
      <w:r>
        <w:rPr>
          <w:rFonts w:ascii="仿宋_GB2312" w:eastAsia="仿宋_GB2312" w:cs="仿宋_GB2312" w:hint="eastAsia"/>
          <w:sz w:val="32"/>
          <w:szCs w:val="32"/>
        </w:rPr>
        <w:t>员</w:t>
      </w:r>
      <w:r>
        <w:rPr>
          <w:rFonts w:ascii="仿宋_GB2312" w:eastAsia="仿宋_GB2312" w:cs="仿宋_GB2312"/>
          <w:sz w:val="32"/>
          <w:szCs w:val="32"/>
        </w:rPr>
        <w:t xml:space="preserve">    </w:t>
      </w:r>
      <w:r>
        <w:rPr>
          <w:rFonts w:ascii="仿宋_GB2312" w:eastAsia="仿宋_GB2312" w:cs="仿宋_GB2312" w:hint="eastAsia"/>
          <w:sz w:val="32"/>
          <w:szCs w:val="32"/>
        </w:rPr>
        <w:t>田小清</w:t>
      </w:r>
    </w:p>
    <w:p w:rsidR="00B5047F" w:rsidRPr="00D776E9" w:rsidRDefault="00B5047F" w:rsidP="00B5047F"/>
    <w:p w:rsidR="00B5047F" w:rsidRPr="008748BD" w:rsidRDefault="00B5047F" w:rsidP="00B5047F"/>
    <w:p w:rsidR="00923EC0" w:rsidRPr="00B5047F" w:rsidRDefault="00923EC0"/>
    <w:sectPr w:rsidR="00923EC0" w:rsidRPr="00B5047F">
      <w:headerReference w:type="default" r:id="rId6"/>
      <w:footerReference w:type="default" r:id="rId7"/>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EC0" w:rsidRDefault="00923EC0" w:rsidP="00B5047F">
      <w:r>
        <w:separator/>
      </w:r>
    </w:p>
  </w:endnote>
  <w:endnote w:type="continuationSeparator" w:id="1">
    <w:p w:rsidR="00923EC0" w:rsidRDefault="00923EC0" w:rsidP="00B504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黑体"/>
    <w:charset w:val="86"/>
    <w:family w:val="script"/>
    <w:pitch w:val="fixed"/>
    <w:sig w:usb0="00000001" w:usb1="080E0000" w:usb2="00000010" w:usb3="00000000" w:csb0="00040000" w:csb1="00000000"/>
  </w:font>
  <w:font w:name="华文中宋">
    <w:altName w:val="Dotum"/>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73" w:rsidRDefault="00923EC0">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B5047F">
      <w:rPr>
        <w:rStyle w:val="a5"/>
        <w:rFonts w:ascii="仿宋_GB2312" w:cs="仿宋_GB2312"/>
        <w:noProof/>
        <w:sz w:val="28"/>
        <w:szCs w:val="28"/>
      </w:rPr>
      <w:t>5</w:t>
    </w:r>
    <w:r>
      <w:rPr>
        <w:rStyle w:val="a5"/>
        <w:rFonts w:ascii="仿宋_GB2312" w:cs="仿宋_GB2312"/>
        <w:sz w:val="28"/>
        <w:szCs w:val="28"/>
      </w:rPr>
      <w:fldChar w:fldCharType="end"/>
    </w:r>
    <w:r>
      <w:rPr>
        <w:rStyle w:val="a5"/>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EC0" w:rsidRDefault="00923EC0" w:rsidP="00B5047F">
      <w:r>
        <w:separator/>
      </w:r>
    </w:p>
  </w:footnote>
  <w:footnote w:type="continuationSeparator" w:id="1">
    <w:p w:rsidR="00923EC0" w:rsidRDefault="00923EC0" w:rsidP="00B504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73" w:rsidRDefault="00923EC0" w:rsidP="00C55F9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047F"/>
    <w:rsid w:val="00923EC0"/>
    <w:rsid w:val="00B504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47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047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5047F"/>
    <w:rPr>
      <w:sz w:val="18"/>
      <w:szCs w:val="18"/>
    </w:rPr>
  </w:style>
  <w:style w:type="paragraph" w:styleId="a4">
    <w:name w:val="footer"/>
    <w:basedOn w:val="a"/>
    <w:link w:val="Char0"/>
    <w:uiPriority w:val="99"/>
    <w:unhideWhenUsed/>
    <w:rsid w:val="00B5047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5047F"/>
    <w:rPr>
      <w:sz w:val="18"/>
      <w:szCs w:val="18"/>
    </w:rPr>
  </w:style>
  <w:style w:type="character" w:styleId="a5">
    <w:name w:val="page number"/>
    <w:basedOn w:val="a0"/>
    <w:uiPriority w:val="99"/>
    <w:rsid w:val="00B5047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391</Words>
  <Characters>2233</Characters>
  <Application>Microsoft Office Word</Application>
  <DocSecurity>0</DocSecurity>
  <Lines>18</Lines>
  <Paragraphs>5</Paragraphs>
  <ScaleCrop>false</ScaleCrop>
  <Company>Microsoft</Company>
  <LinksUpToDate>false</LinksUpToDate>
  <CharactersWithSpaces>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2013-09-25T01:21:00Z</dcterms:created>
  <dcterms:modified xsi:type="dcterms:W3CDTF">2013-09-25T01:21:00Z</dcterms:modified>
</cp:coreProperties>
</file>