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宋体" w:hAnsi="宋体" w:eastAsia="宋体"/>
          <w:sz w:val="32"/>
          <w:szCs w:val="32"/>
        </w:rPr>
      </w:pPr>
      <w:r>
        <w:rPr>
          <w:rFonts w:hint="eastAsia" w:ascii="仿宋" w:hAnsi="仿宋" w:eastAsia="仿宋"/>
          <w:color w:val="000000"/>
          <w:sz w:val="32"/>
          <w:szCs w:val="32"/>
          <w:lang w:eastAsia="zh-CN"/>
        </w:rPr>
        <w:t>　　</w:t>
      </w:r>
      <w:r>
        <w:rPr>
          <w:rFonts w:hint="eastAsia" w:ascii="仿宋" w:hAnsi="仿宋" w:eastAsia="仿宋"/>
          <w:color w:val="000000"/>
          <w:sz w:val="32"/>
          <w:szCs w:val="32"/>
        </w:rPr>
        <w:t>陈清龙</w:t>
      </w:r>
      <w:r>
        <w:rPr>
          <w:rFonts w:hint="eastAsia" w:ascii="仿宋" w:hAnsi="仿宋" w:eastAsia="仿宋"/>
          <w:color w:val="000000"/>
          <w:sz w:val="32"/>
          <w:szCs w:val="32"/>
          <w:lang w:eastAsia="zh-CN"/>
        </w:rPr>
        <w:t>等诉</w:t>
      </w:r>
      <w:r>
        <w:rPr>
          <w:rFonts w:hint="eastAsia" w:ascii="仿宋" w:hAnsi="仿宋" w:eastAsia="仿宋"/>
          <w:color w:val="000000"/>
          <w:sz w:val="32"/>
          <w:szCs w:val="32"/>
        </w:rPr>
        <w:t>秦清平机动车交通事故责任案</w:t>
      </w:r>
    </w:p>
    <w:p>
      <w:pPr>
        <w:ind w:firstLine="880" w:firstLineChars="200"/>
        <w:rPr>
          <w:rFonts w:hint="eastAsia" w:ascii="宋体" w:hAnsi="宋体" w:eastAsia="宋体"/>
          <w:sz w:val="32"/>
          <w:szCs w:val="32"/>
          <w:lang w:val="en-US" w:eastAsia="zh-CN"/>
        </w:rPr>
      </w:pPr>
      <w:r>
        <w:rPr>
          <w:rFonts w:hint="eastAsia" w:ascii="宋体" w:hAnsi="宋体" w:eastAsia="宋体"/>
          <w:sz w:val="44"/>
          <w:szCs w:val="44"/>
          <w:lang w:val="en-US" w:eastAsia="zh-CN"/>
        </w:rPr>
        <w:t xml:space="preserve">         </w:t>
      </w:r>
      <w:r>
        <w:rPr>
          <w:rFonts w:hint="eastAsia" w:ascii="宋体" w:hAnsi="宋体" w:eastAsia="宋体"/>
          <w:sz w:val="32"/>
          <w:szCs w:val="32"/>
          <w:lang w:val="en-US" w:eastAsia="zh-CN"/>
        </w:rPr>
        <w:t>（亲属搭乘）</w:t>
      </w:r>
    </w:p>
    <w:p>
      <w:pPr>
        <w:spacing w:line="360" w:lineRule="auto"/>
        <w:ind w:firstLine="640" w:firstLineChars="200"/>
        <w:rPr>
          <w:rFonts w:hint="eastAsia" w:ascii="Times New Roman" w:hAnsi="Times New Roman" w:eastAsia="黑体" w:cs="Times New Roman"/>
          <w:sz w:val="28"/>
          <w:szCs w:val="28"/>
          <w:lang w:eastAsia="zh-CN"/>
        </w:rPr>
      </w:pPr>
      <w:r>
        <w:rPr>
          <w:rFonts w:hint="eastAsia" w:ascii="宋体" w:hAnsi="宋体" w:eastAsia="宋体"/>
          <w:sz w:val="32"/>
          <w:szCs w:val="32"/>
          <w:lang w:val="en-US" w:eastAsia="zh-CN"/>
        </w:rPr>
        <w:t xml:space="preserve">   裁判要旨：</w:t>
      </w:r>
      <w:r>
        <w:rPr>
          <w:rFonts w:hint="eastAsia" w:ascii="Times New Roman" w:hAnsi="Times New Roman" w:eastAsia="黑体" w:cs="Times New Roman"/>
          <w:sz w:val="28"/>
          <w:szCs w:val="28"/>
          <w:lang w:eastAsia="zh-CN"/>
        </w:rPr>
        <w:t>搭载亲属朋友发生交通事故造成亲属朋友损害的可根据案情减轻搭载人的赔偿责任。</w:t>
      </w:r>
    </w:p>
    <w:p>
      <w:pPr>
        <w:ind w:firstLine="640" w:firstLineChars="200"/>
        <w:rPr>
          <w:rFonts w:hint="default" w:ascii="宋体" w:hAnsi="宋体" w:eastAsia="宋体"/>
          <w:sz w:val="32"/>
          <w:szCs w:val="32"/>
          <w:lang w:val="en-US" w:eastAsia="zh-CN"/>
        </w:rPr>
      </w:pPr>
    </w:p>
    <w:p>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 xml:space="preserve">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首部</w:t>
      </w:r>
      <w:r>
        <w:rPr>
          <w:rFonts w:hint="default" w:ascii="Times New Roman" w:hAnsi="Times New Roman" w:eastAsia="黑体" w:cs="Times New Roman"/>
          <w:sz w:val="28"/>
          <w:szCs w:val="28"/>
        </w:rPr>
        <w:t>]</w:t>
      </w:r>
    </w:p>
    <w:p>
      <w:pPr>
        <w:ind w:firstLine="560" w:firstLineChars="200"/>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1.判决书字号</w:t>
      </w:r>
      <w:r>
        <w:rPr>
          <w:rFonts w:hint="eastAsia" w:ascii="黑体" w:hAnsi="黑体" w:eastAsia="黑体" w:cs="黑体"/>
          <w:sz w:val="28"/>
          <w:szCs w:val="28"/>
          <w:lang w:eastAsia="zh-CN"/>
        </w:rPr>
        <w:t>：</w:t>
      </w:r>
      <w:r>
        <w:rPr>
          <w:rFonts w:hint="eastAsia" w:ascii="黑体" w:hAnsi="黑体" w:eastAsia="黑体" w:cs="黑体"/>
          <w:sz w:val="28"/>
          <w:szCs w:val="28"/>
        </w:rPr>
        <w:t>重庆市</w:t>
      </w:r>
      <w:r>
        <w:rPr>
          <w:rFonts w:hint="eastAsia" w:ascii="黑体" w:hAnsi="黑体" w:eastAsia="黑体" w:cs="黑体"/>
          <w:sz w:val="28"/>
          <w:szCs w:val="28"/>
          <w:lang w:eastAsia="zh-CN"/>
        </w:rPr>
        <w:t>丰都县</w:t>
      </w:r>
      <w:r>
        <w:rPr>
          <w:rFonts w:hint="eastAsia" w:ascii="黑体" w:hAnsi="黑体" w:eastAsia="黑体" w:cs="黑体"/>
          <w:sz w:val="28"/>
          <w:szCs w:val="28"/>
        </w:rPr>
        <w:t>人民法院</w:t>
      </w:r>
      <w:r>
        <w:rPr>
          <w:rFonts w:hint="eastAsia" w:ascii="仿宋" w:hAnsi="仿宋" w:eastAsia="仿宋"/>
          <w:color w:val="000000"/>
          <w:kern w:val="0"/>
          <w:sz w:val="32"/>
          <w:szCs w:val="32"/>
        </w:rPr>
        <w:t>(2018)渝0230民初4485号</w:t>
      </w:r>
      <w:r>
        <w:rPr>
          <w:rFonts w:hint="eastAsia" w:ascii="黑体" w:hAnsi="黑体" w:eastAsia="黑体" w:cs="黑体"/>
          <w:sz w:val="28"/>
          <w:szCs w:val="28"/>
        </w:rPr>
        <w:t>。</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2.</w:t>
      </w:r>
      <w:r>
        <w:rPr>
          <w:rFonts w:hint="eastAsia" w:ascii="黑体" w:hAnsi="黑体" w:eastAsia="黑体" w:cs="黑体"/>
          <w:sz w:val="28"/>
          <w:szCs w:val="28"/>
        </w:rPr>
        <w:t>案由：</w:t>
      </w:r>
      <w:r>
        <w:rPr>
          <w:rFonts w:hint="eastAsia" w:ascii="仿宋" w:hAnsi="仿宋" w:eastAsia="仿宋"/>
          <w:color w:val="000000"/>
          <w:sz w:val="32"/>
          <w:szCs w:val="32"/>
        </w:rPr>
        <w:t>机动车交通事故责任纠纷</w:t>
      </w:r>
    </w:p>
    <w:p>
      <w:pPr>
        <w:numPr>
          <w:ilvl w:val="0"/>
          <w:numId w:val="0"/>
        </w:numPr>
        <w:ind w:firstLine="1120" w:firstLineChars="400"/>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诉讼双方：</w:t>
      </w:r>
    </w:p>
    <w:p>
      <w:pPr>
        <w:spacing w:line="540" w:lineRule="exact"/>
        <w:ind w:firstLine="560" w:firstLineChars="200"/>
        <w:rPr>
          <w:rFonts w:hint="eastAsia" w:ascii="仿宋" w:hAnsi="仿宋" w:eastAsia="仿宋"/>
          <w:color w:val="000000"/>
          <w:sz w:val="32"/>
          <w:szCs w:val="32"/>
        </w:rPr>
      </w:pPr>
      <w:r>
        <w:rPr>
          <w:rFonts w:hint="eastAsia" w:ascii="黑体" w:hAnsi="黑体" w:eastAsia="黑体" w:cs="黑体"/>
          <w:sz w:val="28"/>
          <w:szCs w:val="28"/>
          <w:lang w:eastAsia="zh-CN"/>
        </w:rPr>
        <w:t>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原告：</w:t>
      </w:r>
      <w:r>
        <w:rPr>
          <w:rFonts w:hint="eastAsia" w:ascii="仿宋" w:hAnsi="仿宋" w:eastAsia="仿宋"/>
          <w:color w:val="000000"/>
          <w:sz w:val="32"/>
          <w:szCs w:val="32"/>
        </w:rPr>
        <w:t>陈清龙</w:t>
      </w:r>
    </w:p>
    <w:p>
      <w:pPr>
        <w:spacing w:line="540" w:lineRule="exact"/>
        <w:ind w:firstLine="1280" w:firstLineChars="400"/>
        <w:rPr>
          <w:rFonts w:hint="eastAsia" w:ascii="仿宋" w:hAnsi="仿宋" w:eastAsia="仿宋"/>
          <w:color w:val="000000"/>
          <w:kern w:val="0"/>
          <w:sz w:val="32"/>
          <w:szCs w:val="32"/>
        </w:rPr>
      </w:pPr>
      <w:r>
        <w:rPr>
          <w:rFonts w:hint="eastAsia" w:ascii="仿宋" w:hAnsi="仿宋" w:eastAsia="仿宋"/>
          <w:color w:val="000000"/>
          <w:sz w:val="32"/>
          <w:szCs w:val="32"/>
          <w:lang w:eastAsia="zh-CN"/>
        </w:rPr>
        <w:t>原告：</w:t>
      </w:r>
      <w:r>
        <w:rPr>
          <w:rFonts w:hint="eastAsia" w:ascii="仿宋" w:hAnsi="仿宋" w:eastAsia="仿宋"/>
          <w:color w:val="000000"/>
          <w:sz w:val="32"/>
          <w:szCs w:val="32"/>
          <w:lang w:val="en-US" w:eastAsia="zh-CN"/>
        </w:rPr>
        <w:t xml:space="preserve"> </w:t>
      </w:r>
      <w:r>
        <w:rPr>
          <w:rFonts w:hint="eastAsia" w:ascii="仿宋" w:hAnsi="仿宋" w:eastAsia="仿宋"/>
          <w:color w:val="000000"/>
          <w:kern w:val="0"/>
          <w:sz w:val="32"/>
          <w:szCs w:val="32"/>
        </w:rPr>
        <w:t>金蕊</w:t>
      </w:r>
    </w:p>
    <w:p>
      <w:pPr>
        <w:autoSpaceDE w:val="0"/>
        <w:autoSpaceDN w:val="0"/>
        <w:adjustRightInd w:val="0"/>
        <w:spacing w:line="560" w:lineRule="exact"/>
        <w:ind w:firstLine="1280" w:firstLineChars="400"/>
        <w:rPr>
          <w:rFonts w:hint="eastAsia" w:ascii="仿宋" w:hAnsi="仿宋" w:eastAsia="仿宋"/>
          <w:color w:val="000000"/>
          <w:kern w:val="0"/>
          <w:sz w:val="32"/>
          <w:szCs w:val="32"/>
        </w:rPr>
      </w:pPr>
      <w:r>
        <w:rPr>
          <w:rFonts w:hint="eastAsia" w:ascii="仿宋" w:hAnsi="仿宋" w:eastAsia="仿宋"/>
          <w:color w:val="000000"/>
          <w:kern w:val="0"/>
          <w:sz w:val="32"/>
          <w:szCs w:val="32"/>
        </w:rPr>
        <w:t>上列原告的共同委托诉讼代理人：秦峰，重庆森吉律师事务所律师。</w:t>
      </w:r>
    </w:p>
    <w:p>
      <w:pPr>
        <w:spacing w:line="540" w:lineRule="exact"/>
        <w:ind w:firstLine="1280" w:firstLineChars="400"/>
        <w:rPr>
          <w:rFonts w:hint="eastAsia" w:ascii="仿宋" w:hAnsi="仿宋" w:eastAsia="仿宋"/>
          <w:color w:val="000000"/>
          <w:sz w:val="32"/>
          <w:szCs w:val="32"/>
        </w:rPr>
      </w:pPr>
      <w:r>
        <w:rPr>
          <w:rFonts w:hint="eastAsia" w:ascii="仿宋" w:hAnsi="仿宋" w:eastAsia="仿宋"/>
          <w:color w:val="000000"/>
          <w:kern w:val="0"/>
          <w:sz w:val="32"/>
          <w:szCs w:val="32"/>
          <w:lang w:eastAsia="zh-CN"/>
        </w:rPr>
        <w:t>被告：</w:t>
      </w:r>
      <w:r>
        <w:rPr>
          <w:rFonts w:hint="eastAsia" w:ascii="仿宋" w:hAnsi="仿宋" w:eastAsia="仿宋"/>
          <w:color w:val="000000"/>
          <w:sz w:val="32"/>
          <w:szCs w:val="32"/>
        </w:rPr>
        <w:t>秦清平</w:t>
      </w:r>
    </w:p>
    <w:p>
      <w:pPr>
        <w:spacing w:line="540" w:lineRule="exact"/>
        <w:ind w:firstLine="1280" w:firstLineChars="400"/>
        <w:rPr>
          <w:rFonts w:hint="eastAsia" w:ascii="仿宋" w:hAnsi="仿宋" w:eastAsia="仿宋"/>
          <w:color w:val="000000"/>
          <w:kern w:val="0"/>
          <w:sz w:val="32"/>
          <w:szCs w:val="32"/>
        </w:rPr>
      </w:pPr>
      <w:r>
        <w:rPr>
          <w:rFonts w:hint="eastAsia" w:ascii="仿宋" w:hAnsi="仿宋" w:eastAsia="仿宋"/>
          <w:color w:val="000000"/>
          <w:kern w:val="0"/>
          <w:sz w:val="32"/>
          <w:szCs w:val="32"/>
        </w:rPr>
        <w:t>委托诉讼代理人：徐洪文，重庆东龙律师事务所律师。</w:t>
      </w:r>
    </w:p>
    <w:p>
      <w:pPr>
        <w:numPr>
          <w:ilvl w:val="0"/>
          <w:numId w:val="1"/>
        </w:numPr>
        <w:spacing w:line="540" w:lineRule="exact"/>
        <w:ind w:firstLine="1280" w:firstLineChars="400"/>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审级：一审</w:t>
      </w:r>
    </w:p>
    <w:p>
      <w:pPr>
        <w:numPr>
          <w:ilvl w:val="0"/>
          <w:numId w:val="1"/>
        </w:numPr>
        <w:spacing w:line="540" w:lineRule="exact"/>
        <w:ind w:firstLine="1280" w:firstLineChars="400"/>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审判机关和审判组织</w:t>
      </w:r>
    </w:p>
    <w:p>
      <w:pPr>
        <w:numPr>
          <w:ilvl w:val="0"/>
          <w:numId w:val="0"/>
        </w:numPr>
        <w:spacing w:line="540" w:lineRule="exac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审判机关：重庆市丰都县人民法院。</w:t>
      </w:r>
    </w:p>
    <w:p>
      <w:pPr>
        <w:numPr>
          <w:ilvl w:val="0"/>
          <w:numId w:val="0"/>
        </w:numPr>
        <w:spacing w:line="540" w:lineRule="exact"/>
        <w:rPr>
          <w:rFonts w:hint="eastAsia"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独任审判员：代孝国</w:t>
      </w:r>
    </w:p>
    <w:p>
      <w:pPr>
        <w:numPr>
          <w:ilvl w:val="0"/>
          <w:numId w:val="0"/>
        </w:numPr>
        <w:spacing w:line="540" w:lineRule="exact"/>
        <w:rPr>
          <w:rFonts w:hint="default" w:ascii="仿宋" w:hAnsi="仿宋" w:eastAsia="仿宋"/>
          <w:color w:val="000000"/>
          <w:kern w:val="0"/>
          <w:sz w:val="32"/>
          <w:szCs w:val="32"/>
          <w:lang w:val="en-US" w:eastAsia="zh-CN"/>
        </w:rPr>
      </w:pPr>
      <w:r>
        <w:rPr>
          <w:rFonts w:hint="eastAsia" w:ascii="仿宋" w:hAnsi="仿宋" w:eastAsia="仿宋"/>
          <w:color w:val="000000"/>
          <w:kern w:val="0"/>
          <w:sz w:val="32"/>
          <w:szCs w:val="32"/>
          <w:lang w:val="en-US" w:eastAsia="zh-CN"/>
        </w:rPr>
        <w:t xml:space="preserve">        6.审结时间：2018年11月1日</w:t>
      </w:r>
    </w:p>
    <w:p>
      <w:pPr>
        <w:spacing w:line="360" w:lineRule="auto"/>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　　</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二</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诉辩主张</w:t>
      </w:r>
    </w:p>
    <w:p>
      <w:pPr>
        <w:snapToGrid w:val="0"/>
        <w:spacing w:line="560" w:lineRule="exact"/>
        <w:ind w:firstLine="560" w:firstLineChars="200"/>
        <w:rPr>
          <w:rFonts w:hint="eastAsia" w:ascii="仿宋" w:hAnsi="仿宋" w:eastAsia="仿宋"/>
          <w:color w:val="000000"/>
          <w:sz w:val="32"/>
          <w:szCs w:val="32"/>
        </w:rPr>
      </w:pPr>
      <w:r>
        <w:rPr>
          <w:rFonts w:hint="eastAsia" w:ascii="Times New Roman" w:hAnsi="Times New Roman" w:eastAsia="黑体" w:cs="Times New Roman"/>
          <w:sz w:val="28"/>
          <w:szCs w:val="28"/>
          <w:lang w:val="en-US" w:eastAsia="zh-CN"/>
        </w:rPr>
        <w:t xml:space="preserve">    1.</w:t>
      </w:r>
      <w:r>
        <w:rPr>
          <w:rFonts w:hint="eastAsia" w:ascii="仿宋" w:hAnsi="仿宋" w:eastAsia="仿宋"/>
          <w:color w:val="000000"/>
          <w:sz w:val="32"/>
          <w:szCs w:val="32"/>
        </w:rPr>
        <w:t>陈清龙、金蕊</w:t>
      </w:r>
      <w:r>
        <w:rPr>
          <w:rFonts w:hint="eastAsia" w:ascii="仿宋" w:hAnsi="仿宋" w:eastAsia="仿宋"/>
          <w:color w:val="000000"/>
          <w:sz w:val="32"/>
          <w:szCs w:val="32"/>
          <w:lang w:eastAsia="zh-CN"/>
        </w:rPr>
        <w:t>诉称</w:t>
      </w:r>
      <w:r>
        <w:rPr>
          <w:rFonts w:hint="eastAsia" w:ascii="仿宋" w:hAnsi="仿宋" w:eastAsia="仿宋"/>
          <w:color w:val="000000"/>
          <w:sz w:val="32"/>
          <w:szCs w:val="32"/>
        </w:rPr>
        <w:t>：陈清龙系陈明秀之父，金蕊系陈明秀之女，秦清平与陈明秀系夫妻关系（再婚）。2018年6月22日6时44分许，秦清平驾驶两轮电动车搭载陈明秀从丰都县党政大楼沿平都大道向丰都县龙河大桥方向行驶。当行驶至平都大道名山路口路段时，在停车制动过程中，因操作不当致使车辆侧翻倒地，造成陈明秀头颅受伤经抢救无效于2018年6月24日17时许死亡。后经重庆市丰都县公安局交通巡逻警察大队认定，秦清平在此次事故中为全部过错，负此次事故的全部责任。虽陈明秀的户口为农村户口，但长期在企业务工，并购买了丰都县三合街道龙城大道288号7幢13-7号房屋居住生活，应按城镇标准予以赔偿。</w:t>
      </w:r>
      <w:r>
        <w:rPr>
          <w:rFonts w:hint="eastAsia" w:ascii="仿宋" w:hAnsi="仿宋" w:eastAsia="仿宋"/>
          <w:color w:val="000000"/>
          <w:sz w:val="32"/>
          <w:szCs w:val="32"/>
          <w:lang w:eastAsia="zh-CN"/>
        </w:rPr>
        <w:t>请求，</w:t>
      </w:r>
      <w:r>
        <w:rPr>
          <w:rFonts w:hint="eastAsia" w:ascii="仿宋" w:hAnsi="仿宋" w:eastAsia="仿宋"/>
          <w:color w:val="000000"/>
          <w:sz w:val="32"/>
          <w:szCs w:val="32"/>
        </w:rPr>
        <w:t>判决秦清平赔偿陈清龙、金蕊因陈明秀死亡后的各项损失计753778元（其中，死亡赔偿金643860元、丧葬费37159元、被扶养人生活费22759元、精神损失抚慰金50000元），并承担本案的诉讼费用。</w:t>
      </w:r>
    </w:p>
    <w:p>
      <w:pPr>
        <w:snapToGrid w:val="0"/>
        <w:spacing w:line="560" w:lineRule="exact"/>
        <w:ind w:firstLine="640" w:firstLineChars="200"/>
        <w:rPr>
          <w:rFonts w:hint="eastAsia" w:ascii="仿宋" w:hAnsi="仿宋" w:eastAsia="仿宋"/>
          <w:color w:val="000000"/>
          <w:kern w:val="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秦清平</w:t>
      </w:r>
      <w:r>
        <w:rPr>
          <w:rFonts w:hint="eastAsia" w:ascii="仿宋" w:hAnsi="仿宋" w:eastAsia="仿宋"/>
          <w:color w:val="000000"/>
          <w:kern w:val="0"/>
          <w:sz w:val="32"/>
          <w:szCs w:val="32"/>
        </w:rPr>
        <w:t>辩称，对发生交通事故的事实无异议。秦清平是为了家庭共同事务而驾驶电动车，陈明秀死亡后的损失应由陈明秀与秦清平共同承担。陈明秀在事故发生前一直在农村居住生活，死亡赔偿金应按农村标准计算。陈清龙、金蕊主张赔偿的丧葬费计算有误，且已由秦清平承担。对陈清龙主张赔偿的被扶养人生活费，因陈清龙每月有退休工资2974.40元，不应予以支付。对陈清龙、金蕊主张赔偿的精神损失抚慰金，因死亡赔偿金已有精神损失抚慰金的性质，且秦清平失去了妻子，精神已受到了严重打击，不应再支持精神损失抚慰金。请求法院依法判决。</w:t>
      </w:r>
    </w:p>
    <w:p>
      <w:pPr>
        <w:spacing w:line="360" w:lineRule="auto"/>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[三]事实与证据</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重庆市丰都县人民法院公开审理查明：</w:t>
      </w:r>
      <w:r>
        <w:rPr>
          <w:rFonts w:hint="eastAsia" w:ascii="仿宋" w:hAnsi="仿宋" w:eastAsia="仿宋"/>
          <w:color w:val="000000"/>
          <w:sz w:val="32"/>
          <w:szCs w:val="32"/>
        </w:rPr>
        <w:t xml:space="preserve">陈清龙系陈明秀之父，金蕊系陈明秀之女。陈明秀与秦清平于2010年2月1日登记结婚（均系再婚）。2018年6月22日6时44分许，秦清平驾驶两轮电动车搭载其妻子陈明秀（去龙城华府看望其生病的父亲陈清龙）从丰都县党政大楼沿平都大道向丰都县龙河大桥方向行驶，当行驶至重庆市丰都县三合街道平都大道名山路口时，在停车制动过程中，因操作措施不当致使车辆侧翻到底，造成陈明秀经抢救无效于2018年6月24日17时许死亡的交通事故。2018年7月25日，经重庆市丰都县公安局交通巡逻警察大队委托，重庆市正港交通事故司法鉴定所对秦清平驾驶的无号牌电动两轮车进行了车辆安全技术性能检验鉴定，其结论为：被鉴定车辆无牌绿源电动两轮车（车架号19282171112747 电机号LYDM7B3000011 Y 1058BQ550 1058）的外观（后视镜）设置完整，该车的转向、传动、行驶、制动系统性能有效。2018年8月1日，经重庆市丰都县公安局交通巡逻警察大队事故认定，其意见为：秦清平在此次事故中为全部过错，负此次事故的全部责任；陈明秀在此次事故中无过错，不负此次事故责任。 </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另查明，现陈清龙每月在丰都县社会保障局领取养老金2974.40元。陈明秀户口性质为农村户口，事发前一直在丰都县三合街道丁庄村1组居住生活。</w:t>
      </w:r>
    </w:p>
    <w:p>
      <w:pPr>
        <w:spacing w:line="360" w:lineRule="auto"/>
        <w:ind w:firstLine="560" w:firstLineChars="200"/>
        <w:rPr>
          <w:rFonts w:hint="eastAsia"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上述事实有下列证据：</w:t>
      </w:r>
    </w:p>
    <w:p>
      <w:pPr>
        <w:numPr>
          <w:ilvl w:val="0"/>
          <w:numId w:val="2"/>
        </w:numPr>
        <w:spacing w:line="360" w:lineRule="auto"/>
        <w:ind w:firstLine="640" w:firstLineChars="200"/>
        <w:rPr>
          <w:rFonts w:hint="eastAsia" w:ascii="仿宋" w:hAnsi="仿宋" w:eastAsia="仿宋"/>
          <w:color w:val="000000"/>
          <w:kern w:val="0"/>
          <w:sz w:val="32"/>
          <w:szCs w:val="32"/>
          <w:lang w:eastAsia="zh-CN"/>
        </w:rPr>
      </w:pPr>
      <w:r>
        <w:rPr>
          <w:rFonts w:hint="eastAsia" w:ascii="仿宋" w:hAnsi="仿宋" w:eastAsia="仿宋"/>
          <w:color w:val="000000"/>
          <w:kern w:val="0"/>
          <w:sz w:val="32"/>
          <w:szCs w:val="32"/>
        </w:rPr>
        <w:t>有公民身份证复印件</w:t>
      </w:r>
      <w:r>
        <w:rPr>
          <w:rFonts w:hint="eastAsia" w:ascii="仿宋" w:hAnsi="仿宋" w:eastAsia="仿宋"/>
          <w:color w:val="000000"/>
          <w:kern w:val="0"/>
          <w:sz w:val="32"/>
          <w:szCs w:val="32"/>
          <w:lang w:eastAsia="zh-CN"/>
        </w:rPr>
        <w:t>，证明原被告的基本情况；</w:t>
      </w:r>
    </w:p>
    <w:p>
      <w:pPr>
        <w:numPr>
          <w:ilvl w:val="0"/>
          <w:numId w:val="2"/>
        </w:numPr>
        <w:spacing w:line="360" w:lineRule="auto"/>
        <w:ind w:firstLine="640" w:firstLineChars="200"/>
        <w:rPr>
          <w:rFonts w:hint="eastAsia" w:ascii="Times New Roman" w:hAnsi="Times New Roman" w:eastAsia="黑体" w:cs="Times New Roman"/>
          <w:sz w:val="28"/>
          <w:szCs w:val="28"/>
          <w:lang w:eastAsia="zh-CN"/>
        </w:rPr>
      </w:pPr>
      <w:r>
        <w:rPr>
          <w:rFonts w:hint="eastAsia" w:ascii="仿宋" w:hAnsi="仿宋" w:eastAsia="仿宋"/>
          <w:color w:val="000000"/>
          <w:kern w:val="0"/>
          <w:sz w:val="32"/>
          <w:szCs w:val="32"/>
        </w:rPr>
        <w:t>道路交通事故认定书</w:t>
      </w:r>
      <w:r>
        <w:rPr>
          <w:rFonts w:hint="eastAsia" w:ascii="仿宋" w:hAnsi="仿宋" w:eastAsia="仿宋"/>
          <w:color w:val="000000"/>
          <w:kern w:val="0"/>
          <w:sz w:val="32"/>
          <w:szCs w:val="32"/>
          <w:lang w:eastAsia="zh-CN"/>
        </w:rPr>
        <w:t>，证明发生交通事故的事实；</w:t>
      </w:r>
    </w:p>
    <w:p>
      <w:pPr>
        <w:numPr>
          <w:ilvl w:val="0"/>
          <w:numId w:val="2"/>
        </w:numPr>
        <w:spacing w:line="360" w:lineRule="auto"/>
        <w:ind w:firstLine="640" w:firstLineChars="200"/>
        <w:rPr>
          <w:rFonts w:hint="eastAsia" w:ascii="Times New Roman" w:hAnsi="Times New Roman" w:eastAsia="黑体" w:cs="Times New Roman"/>
          <w:sz w:val="28"/>
          <w:szCs w:val="28"/>
          <w:lang w:eastAsia="zh-CN"/>
        </w:rPr>
      </w:pPr>
      <w:r>
        <w:rPr>
          <w:rFonts w:hint="eastAsia" w:ascii="仿宋" w:hAnsi="仿宋" w:eastAsia="仿宋"/>
          <w:color w:val="000000"/>
          <w:kern w:val="0"/>
          <w:sz w:val="32"/>
          <w:szCs w:val="32"/>
        </w:rPr>
        <w:t>司法鉴定意见书</w:t>
      </w:r>
      <w:r>
        <w:rPr>
          <w:rFonts w:hint="eastAsia" w:ascii="仿宋" w:hAnsi="仿宋" w:eastAsia="仿宋"/>
          <w:color w:val="000000"/>
          <w:kern w:val="0"/>
          <w:sz w:val="32"/>
          <w:szCs w:val="32"/>
          <w:lang w:eastAsia="zh-CN"/>
        </w:rPr>
        <w:t>，证明死者死亡的原因；</w:t>
      </w:r>
    </w:p>
    <w:p>
      <w:pPr>
        <w:numPr>
          <w:ilvl w:val="0"/>
          <w:numId w:val="2"/>
        </w:numPr>
        <w:spacing w:line="360" w:lineRule="auto"/>
        <w:ind w:firstLine="640" w:firstLineChars="200"/>
        <w:rPr>
          <w:rFonts w:hint="eastAsia" w:ascii="Times New Roman" w:hAnsi="Times New Roman" w:eastAsia="黑体" w:cs="Times New Roman"/>
          <w:sz w:val="28"/>
          <w:szCs w:val="28"/>
          <w:lang w:eastAsia="zh-CN"/>
        </w:rPr>
      </w:pPr>
      <w:r>
        <w:rPr>
          <w:rFonts w:hint="eastAsia" w:ascii="仿宋" w:hAnsi="仿宋" w:eastAsia="仿宋"/>
          <w:color w:val="000000"/>
          <w:kern w:val="0"/>
          <w:sz w:val="32"/>
          <w:szCs w:val="32"/>
        </w:rPr>
        <w:t>死亡注销户口证明</w:t>
      </w:r>
      <w:r>
        <w:rPr>
          <w:rFonts w:hint="eastAsia" w:ascii="仿宋" w:hAnsi="仿宋" w:eastAsia="仿宋"/>
          <w:color w:val="000000"/>
          <w:kern w:val="0"/>
          <w:sz w:val="32"/>
          <w:szCs w:val="32"/>
          <w:lang w:eastAsia="zh-CN"/>
        </w:rPr>
        <w:t>，证明</w:t>
      </w:r>
      <w:r>
        <w:rPr>
          <w:rFonts w:hint="eastAsia" w:ascii="仿宋" w:hAnsi="仿宋" w:eastAsia="仿宋"/>
          <w:color w:val="000000"/>
          <w:sz w:val="32"/>
          <w:szCs w:val="32"/>
        </w:rPr>
        <w:t>陈明秀</w:t>
      </w:r>
      <w:r>
        <w:rPr>
          <w:rFonts w:hint="eastAsia" w:ascii="仿宋" w:hAnsi="仿宋" w:eastAsia="仿宋"/>
          <w:color w:val="000000"/>
          <w:sz w:val="32"/>
          <w:szCs w:val="32"/>
          <w:lang w:eastAsia="zh-CN"/>
        </w:rPr>
        <w:t>死亡</w:t>
      </w:r>
      <w:r>
        <w:rPr>
          <w:rFonts w:hint="eastAsia" w:ascii="仿宋" w:hAnsi="仿宋" w:eastAsia="仿宋"/>
          <w:color w:val="000000"/>
          <w:kern w:val="0"/>
          <w:sz w:val="32"/>
          <w:szCs w:val="32"/>
          <w:lang w:eastAsia="zh-CN"/>
        </w:rPr>
        <w:t>；</w:t>
      </w:r>
    </w:p>
    <w:p>
      <w:pPr>
        <w:numPr>
          <w:ilvl w:val="0"/>
          <w:numId w:val="2"/>
        </w:numPr>
        <w:spacing w:line="360" w:lineRule="auto"/>
        <w:ind w:firstLine="640" w:firstLineChars="200"/>
        <w:rPr>
          <w:rFonts w:hint="eastAsia" w:ascii="Times New Roman" w:hAnsi="Times New Roman" w:eastAsia="黑体" w:cs="Times New Roman"/>
          <w:sz w:val="28"/>
          <w:szCs w:val="28"/>
          <w:lang w:eastAsia="zh-CN"/>
        </w:rPr>
      </w:pPr>
      <w:r>
        <w:rPr>
          <w:rFonts w:hint="eastAsia" w:ascii="仿宋" w:hAnsi="仿宋" w:eastAsia="仿宋"/>
          <w:color w:val="000000"/>
          <w:kern w:val="0"/>
          <w:sz w:val="32"/>
          <w:szCs w:val="32"/>
        </w:rPr>
        <w:t>居委会证明</w:t>
      </w:r>
      <w:r>
        <w:rPr>
          <w:rFonts w:hint="eastAsia" w:ascii="仿宋" w:hAnsi="仿宋" w:eastAsia="仿宋"/>
          <w:color w:val="000000"/>
          <w:kern w:val="0"/>
          <w:sz w:val="32"/>
          <w:szCs w:val="32"/>
          <w:lang w:eastAsia="zh-CN"/>
        </w:rPr>
        <w:t>，证明原被告与</w:t>
      </w:r>
      <w:r>
        <w:rPr>
          <w:rFonts w:hint="eastAsia" w:ascii="仿宋" w:hAnsi="仿宋" w:eastAsia="仿宋"/>
          <w:color w:val="000000"/>
          <w:sz w:val="32"/>
          <w:szCs w:val="32"/>
        </w:rPr>
        <w:t>陈明秀</w:t>
      </w:r>
      <w:r>
        <w:rPr>
          <w:rFonts w:hint="eastAsia" w:ascii="仿宋" w:hAnsi="仿宋" w:eastAsia="仿宋"/>
          <w:color w:val="000000"/>
          <w:sz w:val="32"/>
          <w:szCs w:val="32"/>
          <w:lang w:eastAsia="zh-CN"/>
        </w:rPr>
        <w:t>的社会关系</w:t>
      </w:r>
      <w:r>
        <w:rPr>
          <w:rFonts w:hint="eastAsia" w:ascii="仿宋" w:hAnsi="仿宋" w:eastAsia="仿宋"/>
          <w:color w:val="000000"/>
          <w:kern w:val="0"/>
          <w:sz w:val="32"/>
          <w:szCs w:val="32"/>
          <w:lang w:eastAsia="zh-CN"/>
        </w:rPr>
        <w:t>；</w:t>
      </w:r>
    </w:p>
    <w:p>
      <w:pPr>
        <w:numPr>
          <w:ilvl w:val="0"/>
          <w:numId w:val="2"/>
        </w:numPr>
        <w:spacing w:line="360" w:lineRule="auto"/>
        <w:ind w:firstLine="640" w:firstLineChars="200"/>
        <w:rPr>
          <w:rFonts w:hint="eastAsia" w:ascii="Times New Roman" w:hAnsi="Times New Roman" w:eastAsia="黑体" w:cs="Times New Roman"/>
          <w:sz w:val="28"/>
          <w:szCs w:val="28"/>
          <w:lang w:eastAsia="zh-CN"/>
        </w:rPr>
      </w:pPr>
      <w:r>
        <w:rPr>
          <w:rFonts w:hint="eastAsia" w:ascii="仿宋" w:hAnsi="仿宋" w:eastAsia="仿宋"/>
          <w:color w:val="000000"/>
          <w:kern w:val="0"/>
          <w:sz w:val="32"/>
          <w:szCs w:val="32"/>
        </w:rPr>
        <w:t>丰都县社会保障局证明及双方当事人在庭审中的陈述</w:t>
      </w:r>
      <w:r>
        <w:rPr>
          <w:rFonts w:hint="eastAsia" w:ascii="仿宋" w:hAnsi="仿宋" w:eastAsia="仿宋"/>
          <w:color w:val="000000"/>
          <w:kern w:val="0"/>
          <w:sz w:val="32"/>
          <w:szCs w:val="32"/>
          <w:lang w:eastAsia="zh-CN"/>
        </w:rPr>
        <w:t>，证明</w:t>
      </w:r>
      <w:r>
        <w:rPr>
          <w:rFonts w:hint="eastAsia" w:ascii="仿宋" w:hAnsi="仿宋" w:eastAsia="仿宋"/>
          <w:color w:val="000000"/>
          <w:sz w:val="32"/>
          <w:szCs w:val="32"/>
        </w:rPr>
        <w:t>陈清龙</w:t>
      </w:r>
      <w:r>
        <w:rPr>
          <w:rFonts w:hint="eastAsia" w:ascii="仿宋" w:hAnsi="仿宋" w:eastAsia="仿宋"/>
          <w:color w:val="000000"/>
          <w:sz w:val="32"/>
          <w:szCs w:val="32"/>
          <w:lang w:eastAsia="zh-CN"/>
        </w:rPr>
        <w:t>生活来源情况</w:t>
      </w:r>
      <w:r>
        <w:rPr>
          <w:rFonts w:hint="eastAsia" w:ascii="仿宋" w:hAnsi="仿宋" w:eastAsia="仿宋"/>
          <w:color w:val="000000"/>
          <w:kern w:val="0"/>
          <w:sz w:val="32"/>
          <w:szCs w:val="32"/>
          <w:lang w:eastAsia="zh-CN"/>
        </w:rPr>
        <w:t>。</w:t>
      </w:r>
    </w:p>
    <w:p>
      <w:pPr>
        <w:spacing w:line="360" w:lineRule="auto"/>
        <w:ind w:firstLine="560" w:firstLineChars="200"/>
        <w:rPr>
          <w:rFonts w:hint="eastAsia" w:ascii="Times New Roman" w:hAnsi="Times New Roman" w:eastAsia="黑体" w:cs="Times New Roman"/>
          <w:sz w:val="28"/>
          <w:szCs w:val="28"/>
          <w:lang w:eastAsia="zh-CN"/>
        </w:rPr>
      </w:pP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四</w:t>
      </w:r>
      <w:r>
        <w:rPr>
          <w:rFonts w:hint="default" w:ascii="Times New Roman" w:hAnsi="Times New Roman" w:eastAsia="黑体" w:cs="Times New Roman"/>
          <w:sz w:val="28"/>
          <w:szCs w:val="28"/>
        </w:rPr>
        <w:t>]</w:t>
      </w:r>
      <w:r>
        <w:rPr>
          <w:rFonts w:hint="eastAsia" w:ascii="Times New Roman" w:hAnsi="Times New Roman" w:eastAsia="黑体" w:cs="Times New Roman"/>
          <w:sz w:val="28"/>
          <w:szCs w:val="28"/>
          <w:lang w:eastAsia="zh-CN"/>
        </w:rPr>
        <w:t>裁判理由</w:t>
      </w:r>
    </w:p>
    <w:p>
      <w:pPr>
        <w:snapToGrid w:val="0"/>
        <w:spacing w:line="56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lang w:eastAsia="zh-CN"/>
        </w:rPr>
        <w:t>重庆市丰都县人民法院审理</w:t>
      </w:r>
      <w:r>
        <w:rPr>
          <w:rFonts w:hint="eastAsia" w:ascii="仿宋" w:hAnsi="仿宋" w:eastAsia="仿宋"/>
          <w:color w:val="000000"/>
          <w:kern w:val="0"/>
          <w:sz w:val="32"/>
          <w:szCs w:val="32"/>
        </w:rPr>
        <w:t>认为，公民的生命权依法受法律保护。公民、法人或者其他组织因过错侵害公民的生命权的，依法应当承担赔偿责任。本案中，秦清平驾驶两轮电动车发生交通事故致陈明秀死亡，并负此次交通事故的全部责任，应当赔偿陈明秀死亡后的各项损失。因秦清平为了家庭共同事务（看望陈明秀生病的父亲陈清龙）驾驶两轮电动车发生交通事故，陈明秀死亡的损失，本院酌定由秦清平与陈明秀各承担50%的责任。因陈明秀死亡后，因秦清平属于其权利人，且不属于《中华人民共和同继承法》第七条规定的丧失继承权的情形，故陈明秀死亡后的损失中应由秦清平赔偿的部分损失，本院酌定由秦清平赔偿陈清龙、金蕊2/3，其余的损失由陈清龙、金蕊自行承担。对秦清平已支出的丧葬费，应由陈清龙、金蕊和秦清平共同负担。</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陈明秀死亡后的损失，可确认为：1、死亡赔偿金，陈清龙、金蕊主张赔偿666619元（含被扶养人生活费22759元），其计算有误。陈明秀（死亡时为54岁）的户口性质为农村户口，且陈清龙、金蕊未举示相关的证据证明其死亡赔偿金应按城镇标准予以赔偿。其死亡赔偿金本院予以确认252760元（12638元/年×20年）。对陈清龙主张赔偿的被扶养人生活费22759元，因陈清龙每月有养老金2974.40元，故对其被扶养人生活费主张，本院不予支持；综上，死亡赔偿金，本院予以确认252760元；2、丧葬费，陈清龙、金蕊主张赔偿37159元，其计算有误。其丧葬费应计算为35444.50元（70889元/年÷2，已由秦清平支付）；3、精神损失抚慰金，陈清龙、金蕊主张赔偿50000元，其主张过高。结合本案的实际情况，本院酌定赔偿40000元。综上，陈明秀死亡后的损失，本院予以确认328204.50元。结合本案的实际情况，本院酌定由秦清平赔偿陈清龙、金蕊109401.50元（328204.50×0.5×2/3），减去应由陈清龙、金蕊承担的丧葬费23629.67元（35444.50元×2/3），秦清平尚应赔偿陈清龙、金蕊85771.83元。</w:t>
      </w:r>
    </w:p>
    <w:p>
      <w:pPr>
        <w:snapToGrid w:val="0"/>
        <w:spacing w:line="560" w:lineRule="exact"/>
        <w:ind w:firstLine="640" w:firstLineChars="200"/>
        <w:rPr>
          <w:rFonts w:hint="eastAsia" w:ascii="仿宋" w:hAnsi="仿宋" w:eastAsia="黑体"/>
          <w:color w:val="000000"/>
          <w:sz w:val="32"/>
          <w:szCs w:val="32"/>
          <w:lang w:eastAsia="zh-CN"/>
        </w:rPr>
      </w:pP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定案结论</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重庆市丰都县人民法院</w:t>
      </w:r>
      <w:r>
        <w:rPr>
          <w:rFonts w:hint="eastAsia" w:ascii="仿宋" w:hAnsi="仿宋" w:eastAsia="仿宋"/>
          <w:color w:val="000000"/>
          <w:sz w:val="32"/>
          <w:szCs w:val="32"/>
        </w:rPr>
        <w:t>依照《中华人民共和国侵权责任法》第六条、第十六条和《最高人民法院关于审理人身损害赔偿案件适用法律若干问题的解释》第十七条、第十八条、第二十七条、第二十九条之规定,并经本院审判委员会讨论研究决定，判决如下：</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一、被告</w:t>
      </w:r>
      <w:r>
        <w:rPr>
          <w:rFonts w:hint="eastAsia" w:ascii="仿宋" w:hAnsi="仿宋" w:eastAsia="仿宋"/>
          <w:color w:val="000000"/>
          <w:kern w:val="0"/>
          <w:sz w:val="32"/>
          <w:szCs w:val="32"/>
        </w:rPr>
        <w:t>秦清平</w:t>
      </w:r>
      <w:r>
        <w:rPr>
          <w:rFonts w:hint="eastAsia" w:ascii="仿宋" w:hAnsi="仿宋" w:eastAsia="仿宋"/>
          <w:color w:val="000000"/>
          <w:sz w:val="32"/>
          <w:szCs w:val="32"/>
        </w:rPr>
        <w:t>在本判决发生法律效力后15日内赔偿原告陈清龙、金蕊因陈明秀死亡后的死亡赔偿金、精神损失抚慰金等损失计85771.83元（已扣除应由原告陈清龙、金蕊承担的丧葬费23629.67元）；</w:t>
      </w:r>
    </w:p>
    <w:p>
      <w:pPr>
        <w:snapToGrid w:val="0"/>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二、驳回原告陈清龙、金蕊的其余诉讼请求。</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　</w:t>
      </w:r>
    </w:p>
    <w:p>
      <w:pPr>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　本案经丰都县人民法院一审判决后，原被告双方均服判息诉。</w:t>
      </w:r>
    </w:p>
    <w:p>
      <w:pPr>
        <w:spacing w:line="360" w:lineRule="auto"/>
        <w:ind w:firstLine="560" w:firstLineChars="200"/>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　　</w:t>
      </w:r>
    </w:p>
    <w:p>
      <w:pPr>
        <w:spacing w:line="360" w:lineRule="auto"/>
        <w:ind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　　</w:t>
      </w:r>
      <w:r>
        <w:rPr>
          <w:rFonts w:hint="default" w:ascii="Times New Roman" w:hAnsi="Times New Roman" w:eastAsia="黑体" w:cs="Times New Roman"/>
          <w:color w:val="000000"/>
          <w:sz w:val="28"/>
          <w:szCs w:val="28"/>
        </w:rPr>
        <w:t>[</w:t>
      </w:r>
      <w:r>
        <w:rPr>
          <w:rFonts w:hint="eastAsia" w:ascii="Times New Roman" w:hAnsi="Times New Roman" w:eastAsia="黑体" w:cs="Times New Roman"/>
          <w:color w:val="000000"/>
          <w:sz w:val="28"/>
          <w:szCs w:val="28"/>
          <w:lang w:eastAsia="zh-CN"/>
        </w:rPr>
        <w:t>六</w:t>
      </w:r>
      <w:r>
        <w:rPr>
          <w:rFonts w:hint="default" w:ascii="Times New Roman" w:hAnsi="Times New Roman" w:eastAsia="黑体" w:cs="Times New Roman"/>
          <w:color w:val="000000"/>
          <w:sz w:val="28"/>
          <w:szCs w:val="28"/>
        </w:rPr>
        <w:t>]</w:t>
      </w:r>
      <w:r>
        <w:rPr>
          <w:rFonts w:hint="eastAsia" w:ascii="Times New Roman" w:hAnsi="Times New Roman" w:eastAsia="黑体" w:cs="Times New Roman"/>
          <w:color w:val="000000"/>
          <w:sz w:val="28"/>
          <w:szCs w:val="28"/>
          <w:lang w:eastAsia="zh-CN"/>
        </w:rPr>
        <w:t>解说</w:t>
      </w:r>
    </w:p>
    <w:p>
      <w:pPr>
        <w:numPr>
          <w:ilvl w:val="0"/>
          <w:numId w:val="3"/>
        </w:numPr>
        <w:spacing w:line="360" w:lineRule="auto"/>
        <w:ind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交通事故中相关行政机关的责任认定并不等同于人民法院裁判中的责任认定。在交通事故中，公安机关对于事故原因及机动车之间，机动车与非机动车及行人之间，非机动车与行人之间一般都进行了部分的原因分析和对行为人之间的责任大小进行了划分，对于责任划分不服的，可以申请上一级行政机关进行复核，但不能就责任划分问题提起行政诉讼，原因在于，在行政诉讼法中没有将该行为列为行政行为，仅仅是将其作为一个比较专业的部门作出的一种意见，相当于司法鉴定意见，法院对此是否采纳，可结合证据认定的事实，包括原因事实，当事人的过错程度进行判断，最终作出过错大小程度及责任比例的划分，这是法院对民事责任独立行使裁判权的具体体现（如果公安机关根据自己的事实认定与责任认定，对当事人进行行政处罚，对于行政处罚行为而言属于行政诉讼范畴，应另当别论。）。因此本案虽然公安机关对于死者与被告之间进行了死者无过错无责任，被告承担全部过错全部责任的划分，但法院仍然没有采纳公安机关的责任划分意见，而是根据案情另行进行了新的责任划分，符合法律规定。</w:t>
      </w:r>
    </w:p>
    <w:p>
      <w:pPr>
        <w:numPr>
          <w:ilvl w:val="0"/>
          <w:numId w:val="3"/>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乘好意搭乘造成损害的赔偿问题，不能机械适用法律，违背民法的精神实质。在现实的司法实践中，少部分法官在处理交通事故责任纠纷中，喜欢简单适用《道路交通安全法》第七十六条并套用公安机关的责任认定，简单对驾驶人、行人、非机动车的具体责任比例进行划分，减除交强险及商业险赔偿额度后，余额按照过错比例进行划分，这样的处理在一般的交通事故责任纠纷案件中，一般不存在大的问题，但是在复杂或者特殊的交通事故责任纠纷中产生的问题是，对划分责任缺乏科学公正的评价，没有将过错程度与原因力进行权重考量，作出的判决缺乏公正合理性，特别是在亲情搭载，好意同乘的交通事故责任纠纷中，忽略“亲情搭载”，“好意搭载”这个基本事实，简单下判，导致裁判结果背离“诚实信用”，“互帮互助”，“助人为乐”，“见义勇为”等公序良俗，引发裁判结果与民法精神原则冲突。因此涉及亲情搭载，好意同乘的交通事故责任纠纷案件，法官必须重新审视道路交通安全法相关规则，回归民法的精神本质，从《侵权责任法》、《民法通则》、《民法总则》及相关的法律解释语境中寻找适用的法律，才能做出公正合理的判决。</w:t>
      </w:r>
    </w:p>
    <w:p>
      <w:pPr>
        <w:numPr>
          <w:ilvl w:val="0"/>
          <w:numId w:val="3"/>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载，好意同乘当事人之间的法律关系解读与法律适用。这里探讨的是保险赔偿外的损失赔偿或者补偿问题，前者法律规定很明确，这里不再研究。亲情搭载，好意同乘的当事人，不外乎有两个，一个是搭载人，一个是被搭载人。搭载人是车辆的驾驶人或所有人、管理人，被搭载人是乘客，从双方搭载的意思表示看，是被搭载人有搭载的意思表示，比如招手，语言表示，搭载人同意，或者搭载人主动作出搭载的表示，被搭载人感激中同意而生产的双方合意行为。从合同法角度看系无偿运输合同，从两者的身份关系看，可能是朋友关系，同志关系，亲属关系，好意施惠的陌生人关系等，从合同的核心权利义务内容上看，就是搭载人将被搭载人运往某个地点，被搭载人不负担费用的合同，对于人身财产的安全保障义务，双方没有约定，只是一种心理期待安全抵达。因此从合同关系来看，搭载人如果出现事故造成被搭载人人身与财产损失，搭载人基本不负责任。可现实的问题是，一旦出现交通事故，被搭载人就不顾亲情及好意，以侵权法律关系为切入点，进行请求权竞合选择，起诉搭载人赔偿自己的人身及财产损失，因此必须正视侵权损害赔偿的法律适用问题。在审判实践中，高频进入法官视野的法律条款就是《道路交通事故安全法》第七十六条，这一条款经常误导法官进入一个认识误区，把特殊情形的交通事故当成一般的交通事故责任处理，适用机动车之间的过错责任归责原则，或适用机动车与非机动车、行人之间过错责任加有限的无过错归责原则，用以上归责原则对搭载人与被搭载人进行划责裁判。这种认识错误的根源是，没有认真研究该条款的真正含义，该条款是指驾驶人对第三人造成损害的赔偿问题，也就是本车以外的第三人人身财产赔偿问题，而对于本车上的乘客，并没有规定在该条中，因此对于车上乘客不能适用该条款，从《道路交通事故安全法》的其他条款上看，也没有规定，根据普通法与特别法关系处理规则，特别法没有规定的，适用普通法规定，《侵权责任法》属普通法，《道路交通事故安全法》属特别法，因此解决这一问题的法律方法是回归到《侵权责任法》里去寻找法律规则及原则或者在相关的其他特别法中去寻找答案。《侵权责任法》规定了过错责任为首，无过错责任及公平责任为补充的归责原则框架，前一种一般情况下适用，后两种有法律特别规定才适用，显然亲情搭载，好意搭乘不属于严格责任的后两种范畴，只能适用过错责任归责原则。过错，是指侵权行为人的行为存在故意与过失，亲情搭载，好意搭乘一般不存在故意侵权的问题，因此这里不作讨论，过失分为重大过失，一般过失，轻微过失，对于重大过失承担侵权赔偿责任，一般是没有争议的，可对于一般过失，轻微过失在特殊的情形下，法律规定不承担赔偿责任或者适当承担赔偿责任，如《侵权责任法》第二十七至三十一条、第五十五条规定的受害人故意，第三人侵权，正当防卫，紧急避险情形，同意的行为，行为人不承担赔偿责任，《民法总则》第一百八十四条规定的紧急救助行为不承担赔偿责任，《最高人民法院关于审理人身损害赔偿案件适用法律若干问题的解释》第十三条规定的无偿为他人提供劳务造成他人损害的不承担赔偿责任，由被帮工人承担赔偿责任。以上法律规定可以得出，法律对于善意帮助，见义勇为，或者不可归责的行为，当事人同意的行为，法律予以唱导鼓励，以一般过失不承担赔偿方式来肯定这种合法行为，阻却行为的违法性及免除，减轻民事责任。亲情搭载，好意搭乘，属于无偿帮助的善举，因此一般过失情况下，一般是不承担民事赔偿责任的。在侵权人存在重大过失的情况下，法官也应当综合考量受害人的过错，行为人的过错程度，行为对损害结果产生的原因力大小，以适当减轻搭载人的民事赔偿责任方式进行裁判，这样的裁判结果才具有公正性。</w:t>
      </w:r>
    </w:p>
    <w:p>
      <w:pPr>
        <w:numPr>
          <w:ilvl w:val="0"/>
          <w:numId w:val="3"/>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载，好意搭乘从一定意义上来说也可以归入无因管理法律关系。无因管理，是指没有法律或者约定的义务而为他人管理事务，对于管理事务的人称为管理人，他人称为本人，这里的“管理”是广义的，涵盖服务。民法之所以规定无因管理，是基于社会生活的连带关系，为鼓励互帮互助、见义勇为的崇高精神与道德，特规定无因管理制度，赋予无因管理行为的合法性阻却其违法性。</w:t>
      </w:r>
      <w:r>
        <w:rPr>
          <w:rStyle w:val="5"/>
          <w:rFonts w:hint="eastAsia" w:ascii="Times New Roman" w:hAnsi="Times New Roman" w:eastAsia="黑体" w:cs="Times New Roman"/>
          <w:color w:val="000000"/>
          <w:sz w:val="28"/>
          <w:szCs w:val="28"/>
          <w:lang w:eastAsia="zh-CN"/>
        </w:rPr>
        <w:footnoteReference w:id="0"/>
      </w:r>
      <w:r>
        <w:rPr>
          <w:rFonts w:hint="eastAsia" w:ascii="Times New Roman" w:hAnsi="Times New Roman" w:eastAsia="黑体" w:cs="Times New Roman"/>
          <w:color w:val="000000"/>
          <w:sz w:val="28"/>
          <w:szCs w:val="28"/>
          <w:lang w:eastAsia="zh-CN"/>
        </w:rPr>
        <w:t>根据我国民法通则第九十三条规定判断无因管理是否成立，有三个要件，管理他人事务；有为他人利益的意思；无法律上的原因。所谓管理是指对事务进行处理，管理既可以是事实行为，如维修他人房屋，将路边晕倒的病人送往医院抢救，也可以是法律行为，如甲生病未能实现房屋出租，乙以自己名义出租该房屋，或者以甲的名义出租房屋将租金给付给甲，都构成无因管理。对于管理人的赔偿责任我国民法没有明确的规定，但通说认为，管理人未履行或不适当履行义务，对本人造成损害的，应向本人承担不履行债务的责任，该责任以主观上有过错为要件，但为避免本人生命、身体或财产急迫危险时，对本人造成的损害，管理人仅在恶意或重大过失时，才负赔偿责任。亲情搭载，好意搭乘很多情况下，搭载人都没有法律上规定的搭载被搭载人义务，系帮助他人的事实行为，但搭载人是为被搭载人的利益进行的服务，因此搭载人构成无因管理中的管理人，被搭载人成为无因管理中本人，双方之间构成无因管理的法律关系。</w:t>
      </w:r>
    </w:p>
    <w:p>
      <w:pPr>
        <w:numPr>
          <w:ilvl w:val="0"/>
          <w:numId w:val="3"/>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亲情搭载，好意搭乘从一定意义上来说有自冒风险的属性。所谓自冒风险，英文表达为“</w:t>
      </w:r>
      <w:r>
        <w:rPr>
          <w:rFonts w:hint="eastAsia" w:ascii="Times New Roman" w:hAnsi="Times New Roman" w:eastAsia="黑体" w:cs="Times New Roman"/>
          <w:color w:val="000000"/>
          <w:sz w:val="28"/>
          <w:szCs w:val="28"/>
          <w:lang w:val="en-US" w:eastAsia="zh-CN"/>
        </w:rPr>
        <w:t>assumption of risk</w:t>
      </w:r>
      <w:r>
        <w:rPr>
          <w:rFonts w:hint="eastAsia" w:ascii="Times New Roman" w:hAnsi="Times New Roman" w:eastAsia="黑体" w:cs="Times New Roman"/>
          <w:color w:val="000000"/>
          <w:sz w:val="28"/>
          <w:szCs w:val="28"/>
          <w:lang w:eastAsia="zh-CN"/>
        </w:rPr>
        <w:t>”</w:t>
      </w:r>
      <w:r>
        <w:rPr>
          <w:rFonts w:hint="eastAsia" w:ascii="Times New Roman" w:hAnsi="Times New Roman" w:eastAsia="黑体" w:cs="Times New Roman"/>
          <w:color w:val="000000"/>
          <w:sz w:val="28"/>
          <w:szCs w:val="28"/>
          <w:lang w:val="en-US" w:eastAsia="zh-CN"/>
        </w:rPr>
        <w:t>,也称自愿承担风险，是指“被害人原可以预见损害之发生而又自愿冒损害发生之危险，而损害结果真不幸发生”</w:t>
      </w:r>
      <w:r>
        <w:rPr>
          <w:rStyle w:val="5"/>
          <w:rFonts w:hint="eastAsia" w:ascii="Times New Roman" w:hAnsi="Times New Roman" w:eastAsia="黑体" w:cs="Times New Roman"/>
          <w:color w:val="000000"/>
          <w:sz w:val="28"/>
          <w:szCs w:val="28"/>
          <w:lang w:val="en-US" w:eastAsia="zh-CN"/>
        </w:rPr>
        <w:footnoteReference w:id="1"/>
      </w:r>
      <w:r>
        <w:rPr>
          <w:rFonts w:hint="eastAsia" w:ascii="Times New Roman" w:hAnsi="Times New Roman" w:eastAsia="黑体" w:cs="Times New Roman"/>
          <w:color w:val="000000"/>
          <w:sz w:val="28"/>
          <w:szCs w:val="28"/>
          <w:lang w:val="en-US" w:eastAsia="zh-CN"/>
        </w:rPr>
        <w:t>的情形。易言之，即受害人事先了解为某项行为可能伴随风险、损失或者事故，但仍自愿为此行为，并同意自行承担可能的后果。</w:t>
      </w:r>
      <w:r>
        <w:rPr>
          <w:rStyle w:val="5"/>
          <w:rFonts w:hint="eastAsia" w:ascii="Times New Roman" w:hAnsi="Times New Roman" w:eastAsia="黑体" w:cs="Times New Roman"/>
          <w:color w:val="000000"/>
          <w:sz w:val="28"/>
          <w:szCs w:val="28"/>
          <w:lang w:val="en-US" w:eastAsia="zh-CN"/>
        </w:rPr>
        <w:footnoteReference w:id="2"/>
      </w:r>
      <w:r>
        <w:rPr>
          <w:rFonts w:hint="eastAsia" w:ascii="Times New Roman" w:hAnsi="Times New Roman" w:eastAsia="黑体" w:cs="Times New Roman"/>
          <w:color w:val="000000"/>
          <w:sz w:val="28"/>
          <w:szCs w:val="28"/>
          <w:lang w:val="en-US" w:eastAsia="zh-CN"/>
        </w:rPr>
        <w:t>在现代民法上，</w:t>
      </w:r>
      <w:r>
        <w:rPr>
          <w:rFonts w:hint="eastAsia" w:ascii="Times New Roman" w:hAnsi="Times New Roman" w:eastAsia="黑体" w:cs="Times New Roman"/>
          <w:color w:val="000000"/>
          <w:sz w:val="28"/>
          <w:szCs w:val="28"/>
          <w:lang w:eastAsia="zh-CN"/>
        </w:rPr>
        <w:t>自冒风险作为一项抗辩事由，通常也会产生减轻或者免除加害人赔偿责任的后果。自冒风险依学者解释，一般来说有两个构成要件，一个为行为人与相对人存在某种基础法律关系，一个为冒险行为，前者是从事冒险行为的前提条件。之所以称自冒风险行为，是因为这种行为，存在不确定的危险，对于行为可能造成的损害后果行为人与相对人有预见，并默示同意对可能发生不利益的自愿承担。亲情搭载，好意搭乘具有这样的属性，因为搭载人与被搭载人，存在基础法律关系就是无偿运输合同或者说服务合同，后存在自冒风险行为，知道高速运载工具存在可能风险，并对这种风险的可能发生自愿承担可能的损害，虽然没有明确提出，但在心里上是默示同意的。试想这种好意施惠，被搭载人如果在搭载时提出搭载的一些要求，搭载人会同意吗？被搭载人从良心过意得去吗？现实状况是双方在心里上都愿意赌一把，风险不会发生，即使可能发生也愿意在保险外减轻搭载人责任或者不要求担责。</w:t>
      </w:r>
    </w:p>
    <w:p>
      <w:pPr>
        <w:numPr>
          <w:ilvl w:val="0"/>
          <w:numId w:val="3"/>
        </w:numPr>
        <w:spacing w:line="360" w:lineRule="auto"/>
        <w:ind w:left="0" w:leftChars="0" w:firstLine="560" w:firstLineChars="200"/>
        <w:rPr>
          <w:rFonts w:hint="eastAsia" w:ascii="Times New Roman" w:hAnsi="Times New Roman" w:eastAsia="黑体" w:cs="Times New Roman"/>
          <w:color w:val="000000"/>
          <w:sz w:val="28"/>
          <w:szCs w:val="28"/>
          <w:lang w:eastAsia="zh-CN"/>
        </w:rPr>
      </w:pPr>
      <w:r>
        <w:rPr>
          <w:rFonts w:hint="eastAsia" w:ascii="Times New Roman" w:hAnsi="Times New Roman" w:eastAsia="黑体" w:cs="Times New Roman"/>
          <w:color w:val="000000"/>
          <w:sz w:val="28"/>
          <w:szCs w:val="28"/>
          <w:lang w:eastAsia="zh-CN"/>
        </w:rPr>
        <w:t>切入本案的分析。搭载人与被搭载人系夫妻关系，被搭载人为了探视自己的父亲，商议由搭载人驾驶两人共有的电动车前往，从婚姻法角度看，是夫妻之间履行扶助义务，属于公序良俗，应当进行肯定性评价，从风险预估上看，高速的运输工具存在事故风险，且这种运输工具的驾驶人一般都没有取得驾驶证，也没有参与交强险与商业保险，事故概率比较高，风险比较大，两人心知肚明，但仍然自冒风险，按自冒风险的责任承担原则应减轻搭载人或者不要求搭载人承担责任。从过错归责原则考虑，主观心理上说，双方驾驶搭乘这样的无保险的车辆都存在一定的过错，按过失相抵规则也应当减轻搭载人的责任。从夫妻之间的相互扶养义务上看，我国婚姻法也明确规定夫妻之间相互有扶助的义务，责任分担的义务，因此发生事故造成搭载人或者被搭载人损害双方都应分担。从原被告之间的法律关系来说构成无因管理关系，因原被告之间无法律上的赡养、扶养义务，被告是为原告进行服务，被告受有利益，因此构成无因管理关系，从无因管理形成的侵权责任归责的过错责任上考量，可酌情适当减轻被告的赔偿责任，协调亲情伦理柔情与法律上过错责任刚性赔偿之间的冲突。</w:t>
      </w:r>
    </w:p>
    <w:p>
      <w:pPr>
        <w:numPr>
          <w:ilvl w:val="0"/>
          <w:numId w:val="0"/>
        </w:numPr>
        <w:spacing w:line="360" w:lineRule="auto"/>
        <w:ind w:firstLine="560" w:firstLineChars="200"/>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eastAsia="zh-CN"/>
        </w:rPr>
        <w:t>本案裁判亲情搭载的被告承担</w:t>
      </w:r>
      <w:r>
        <w:rPr>
          <w:rFonts w:hint="eastAsia" w:ascii="Times New Roman" w:hAnsi="Times New Roman" w:eastAsia="黑体" w:cs="Times New Roman"/>
          <w:color w:val="000000"/>
          <w:sz w:val="28"/>
          <w:szCs w:val="28"/>
          <w:lang w:val="en-US" w:eastAsia="zh-CN"/>
        </w:rPr>
        <w:t>50%的赔偿责任，综合考量了过错责任因素，自冒风险因素，无因管理因素，后考虑被告的特殊地位，对于受害人而言，因其死亡，其配偶、父母、子女均系赔偿请求权人，由于本案加害人系受害人的配偶，因此处于赔偿义务人及权利人的混同地位，从赔偿请求权视角看，与本案的原告——受害人的父亲、女儿一样享有赔偿请求权，但从赔偿义务人看请求权又指向了自己，对于赔偿总额中，属于应自己应分得的部分，应当扣减或者抵消，这主要包含在受害人的死亡赔偿金、丧葬费等共同具有请求权部分，扣减部分的余额才属于本案原告真正应当请求赔偿的部分，本案在裁判时考虑这个因素。</w:t>
      </w:r>
      <w:r>
        <w:rPr>
          <w:rFonts w:hint="eastAsia" w:ascii="Times New Roman" w:hAnsi="Times New Roman" w:eastAsia="黑体" w:cs="Times New Roman"/>
          <w:color w:val="000000"/>
          <w:sz w:val="28"/>
          <w:szCs w:val="28"/>
          <w:lang w:eastAsia="zh-CN"/>
        </w:rPr>
        <w:t>综上所述，</w:t>
      </w:r>
      <w:r>
        <w:rPr>
          <w:rFonts w:hint="eastAsia" w:ascii="Times New Roman" w:hAnsi="Times New Roman" w:eastAsia="黑体" w:cs="Times New Roman"/>
          <w:color w:val="000000"/>
          <w:sz w:val="28"/>
          <w:szCs w:val="28"/>
          <w:lang w:val="en-US" w:eastAsia="zh-CN"/>
        </w:rPr>
        <w:t>具有合情适理合法性。当然，本案的判决说理过于简单，法律条款引用缺失，不能不说是一个瑕疵。但总体而言体现了司法公正，将法律刚性与伦理柔情结合一体，对相关类似情况具有指导意义。</w:t>
      </w:r>
      <w:bookmarkStart w:id="0" w:name="_GoBack"/>
      <w:bookmarkEnd w:id="0"/>
    </w:p>
    <w:p>
      <w:pPr>
        <w:numPr>
          <w:ilvl w:val="0"/>
          <w:numId w:val="0"/>
        </w:numPr>
        <w:spacing w:line="360" w:lineRule="auto"/>
        <w:ind w:leftChars="200"/>
        <w:rPr>
          <w:rFonts w:hint="eastAsia" w:ascii="黑体" w:hAnsi="黑体" w:eastAsia="黑体" w:cs="黑体"/>
          <w:color w:val="000000"/>
          <w:sz w:val="28"/>
          <w:szCs w:val="28"/>
        </w:rPr>
      </w:pPr>
      <w:r>
        <w:rPr>
          <w:rFonts w:hint="eastAsia" w:ascii="黑体" w:hAnsi="黑体" w:eastAsia="黑体" w:cs="黑体"/>
          <w:color w:val="000000"/>
          <w:sz w:val="28"/>
          <w:szCs w:val="28"/>
          <w:lang w:eastAsia="zh-CN"/>
        </w:rPr>
        <w:t>　</w:t>
      </w:r>
      <w:r>
        <w:rPr>
          <w:rFonts w:hint="eastAsia" w:ascii="黑体" w:hAnsi="黑体" w:eastAsia="黑体" w:cs="黑体"/>
          <w:color w:val="000000"/>
          <w:sz w:val="28"/>
          <w:szCs w:val="28"/>
        </w:rPr>
        <w:t>案例撰写人  重庆市丰都县人民法院</w:t>
      </w:r>
      <w:r>
        <w:rPr>
          <w:rFonts w:hint="eastAsia" w:ascii="黑体" w:hAnsi="黑体" w:eastAsia="黑体" w:cs="黑体"/>
          <w:color w:val="000000"/>
          <w:sz w:val="28"/>
          <w:szCs w:val="28"/>
          <w:lang w:eastAsia="zh-CN"/>
        </w:rPr>
        <w:t>高级</w:t>
      </w:r>
      <w:r>
        <w:rPr>
          <w:rFonts w:hint="eastAsia" w:ascii="黑体" w:hAnsi="黑体" w:eastAsia="黑体" w:cs="黑体"/>
          <w:color w:val="000000"/>
          <w:sz w:val="28"/>
          <w:szCs w:val="28"/>
        </w:rPr>
        <w:t>法官 余孝安</w:t>
      </w:r>
    </w:p>
    <w:p>
      <w:pPr>
        <w:rPr>
          <w:rFonts w:hint="eastAsia"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default" w:eastAsiaTheme="minorEastAsia"/>
          <w:lang w:val="en-US" w:eastAsia="zh-CN"/>
        </w:rPr>
      </w:pPr>
      <w:r>
        <w:rPr>
          <w:rStyle w:val="5"/>
        </w:rPr>
        <w:footnoteRef/>
      </w:r>
      <w:r>
        <w:t xml:space="preserve"> </w:t>
      </w:r>
      <w:r>
        <w:rPr>
          <w:rFonts w:hint="eastAsia"/>
          <w:lang w:eastAsia="zh-CN"/>
        </w:rPr>
        <w:t>参见国家司法考试委员会编著《国家司法考试用书》</w:t>
      </w:r>
      <w:r>
        <w:rPr>
          <w:rFonts w:hint="eastAsia"/>
          <w:lang w:val="en-US" w:eastAsia="zh-CN"/>
        </w:rPr>
        <w:t>2007年第3卷第225-226页，法律出版社</w:t>
      </w:r>
    </w:p>
  </w:footnote>
  <w:footnote w:id="1">
    <w:p>
      <w:pPr>
        <w:pStyle w:val="2"/>
        <w:snapToGrid w:val="0"/>
        <w:rPr>
          <w:rFonts w:hint="default" w:eastAsiaTheme="minorEastAsia"/>
          <w:lang w:val="en-US" w:eastAsia="zh-CN"/>
        </w:rPr>
      </w:pPr>
      <w:r>
        <w:rPr>
          <w:rStyle w:val="5"/>
        </w:rPr>
        <w:footnoteRef/>
      </w:r>
      <w:r>
        <w:t xml:space="preserve"> </w:t>
      </w:r>
      <w:r>
        <w:rPr>
          <w:rFonts w:hint="eastAsia"/>
          <w:lang w:eastAsia="zh-CN"/>
        </w:rPr>
        <w:t>张新宝：《侵权责任构成要件研究》，法律出版社</w:t>
      </w:r>
      <w:r>
        <w:rPr>
          <w:rFonts w:hint="eastAsia"/>
          <w:lang w:val="en-US" w:eastAsia="zh-CN"/>
        </w:rPr>
        <w:t>2007年版，第479页。</w:t>
      </w:r>
    </w:p>
  </w:footnote>
  <w:footnote w:id="2">
    <w:p>
      <w:pPr>
        <w:pStyle w:val="2"/>
        <w:snapToGrid w:val="0"/>
        <w:rPr>
          <w:rFonts w:hint="default" w:eastAsiaTheme="minorEastAsia"/>
          <w:lang w:val="en-US" w:eastAsia="zh-CN"/>
        </w:rPr>
      </w:pPr>
      <w:r>
        <w:rPr>
          <w:rStyle w:val="5"/>
        </w:rPr>
        <w:footnoteRef/>
      </w:r>
      <w:r>
        <w:t xml:space="preserve"> </w:t>
      </w:r>
      <w:r>
        <w:rPr>
          <w:rFonts w:hint="eastAsia"/>
          <w:lang w:eastAsia="zh-CN"/>
        </w:rPr>
        <w:t>奚小明主编：《</w:t>
      </w:r>
      <w:r>
        <w:rPr>
          <w:rFonts w:hint="eastAsia" w:ascii="黑体" w:hAnsi="黑体" w:eastAsia="黑体" w:cs="黑体"/>
          <w:color w:val="000000"/>
          <w:sz w:val="18"/>
          <w:szCs w:val="18"/>
          <w:lang w:eastAsia="zh-CN"/>
        </w:rPr>
        <w:t>&lt;中华人民共和国侵权责任法&gt;条文理解与适用</w:t>
      </w:r>
      <w:r>
        <w:rPr>
          <w:rFonts w:hint="eastAsia"/>
          <w:lang w:eastAsia="zh-CN"/>
        </w:rPr>
        <w:t>》，人民法院出版社</w:t>
      </w:r>
      <w:r>
        <w:rPr>
          <w:rFonts w:hint="eastAsia"/>
          <w:lang w:val="en-US" w:eastAsia="zh-CN"/>
        </w:rPr>
        <w:t>2010版，第211页。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3E4DA"/>
    <w:multiLevelType w:val="singleLevel"/>
    <w:tmpl w:val="ABF3E4DA"/>
    <w:lvl w:ilvl="0" w:tentative="0">
      <w:start w:val="1"/>
      <w:numFmt w:val="chineseCounting"/>
      <w:suff w:val="nothing"/>
      <w:lvlText w:val="%1、"/>
      <w:lvlJc w:val="left"/>
      <w:rPr>
        <w:rFonts w:hint="eastAsia"/>
      </w:rPr>
    </w:lvl>
  </w:abstractNum>
  <w:abstractNum w:abstractNumId="1">
    <w:nsid w:val="506C2440"/>
    <w:multiLevelType w:val="singleLevel"/>
    <w:tmpl w:val="506C2440"/>
    <w:lvl w:ilvl="0" w:tentative="0">
      <w:start w:val="4"/>
      <w:numFmt w:val="decimal"/>
      <w:lvlText w:val="%1."/>
      <w:lvlJc w:val="left"/>
      <w:pPr>
        <w:tabs>
          <w:tab w:val="left" w:pos="312"/>
        </w:tabs>
      </w:pPr>
    </w:lvl>
  </w:abstractNum>
  <w:abstractNum w:abstractNumId="2">
    <w:nsid w:val="690C8130"/>
    <w:multiLevelType w:val="singleLevel"/>
    <w:tmpl w:val="690C8130"/>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D0272"/>
    <w:rsid w:val="00016C29"/>
    <w:rsid w:val="010157F5"/>
    <w:rsid w:val="019F78EA"/>
    <w:rsid w:val="01A77955"/>
    <w:rsid w:val="037B049A"/>
    <w:rsid w:val="056F42B7"/>
    <w:rsid w:val="06421C61"/>
    <w:rsid w:val="065E3B46"/>
    <w:rsid w:val="072B7880"/>
    <w:rsid w:val="07CE1B1F"/>
    <w:rsid w:val="07F51EF9"/>
    <w:rsid w:val="09D45F9F"/>
    <w:rsid w:val="0A334289"/>
    <w:rsid w:val="0AE032CE"/>
    <w:rsid w:val="0CE92167"/>
    <w:rsid w:val="0DD71E2C"/>
    <w:rsid w:val="0EDD488B"/>
    <w:rsid w:val="0EE61AD8"/>
    <w:rsid w:val="123F4ED9"/>
    <w:rsid w:val="124E7C37"/>
    <w:rsid w:val="12581936"/>
    <w:rsid w:val="12A024C3"/>
    <w:rsid w:val="12F07892"/>
    <w:rsid w:val="13F75B40"/>
    <w:rsid w:val="15154E63"/>
    <w:rsid w:val="168F1E9E"/>
    <w:rsid w:val="174610C6"/>
    <w:rsid w:val="176D7E6A"/>
    <w:rsid w:val="19502536"/>
    <w:rsid w:val="1B1E667F"/>
    <w:rsid w:val="1BB0235C"/>
    <w:rsid w:val="1CFD6290"/>
    <w:rsid w:val="1D3D1249"/>
    <w:rsid w:val="1D8A5F3D"/>
    <w:rsid w:val="1ED173D9"/>
    <w:rsid w:val="1F8C2700"/>
    <w:rsid w:val="20CF0A0A"/>
    <w:rsid w:val="213637F6"/>
    <w:rsid w:val="21FD5DC8"/>
    <w:rsid w:val="227B0893"/>
    <w:rsid w:val="228701C7"/>
    <w:rsid w:val="23B32A97"/>
    <w:rsid w:val="24815BCE"/>
    <w:rsid w:val="24B97D3B"/>
    <w:rsid w:val="26547BC6"/>
    <w:rsid w:val="27774FD9"/>
    <w:rsid w:val="28307F04"/>
    <w:rsid w:val="285C60D0"/>
    <w:rsid w:val="28B915F4"/>
    <w:rsid w:val="295879C4"/>
    <w:rsid w:val="2C075933"/>
    <w:rsid w:val="2C200557"/>
    <w:rsid w:val="2D233CE2"/>
    <w:rsid w:val="2D3F7F9A"/>
    <w:rsid w:val="2DF14D4C"/>
    <w:rsid w:val="2E1C1C4F"/>
    <w:rsid w:val="301D0D61"/>
    <w:rsid w:val="31600A41"/>
    <w:rsid w:val="321B67BD"/>
    <w:rsid w:val="328A71C5"/>
    <w:rsid w:val="32975709"/>
    <w:rsid w:val="34122F6D"/>
    <w:rsid w:val="342147BC"/>
    <w:rsid w:val="354C2321"/>
    <w:rsid w:val="354F6605"/>
    <w:rsid w:val="365528EA"/>
    <w:rsid w:val="36BA1C1F"/>
    <w:rsid w:val="37D045C0"/>
    <w:rsid w:val="380B0E54"/>
    <w:rsid w:val="3A023627"/>
    <w:rsid w:val="3AED0C44"/>
    <w:rsid w:val="3C20188B"/>
    <w:rsid w:val="3DC66DC8"/>
    <w:rsid w:val="40A458B4"/>
    <w:rsid w:val="41A83F2E"/>
    <w:rsid w:val="426C40E2"/>
    <w:rsid w:val="42F860E5"/>
    <w:rsid w:val="43140438"/>
    <w:rsid w:val="432674DD"/>
    <w:rsid w:val="44231A4B"/>
    <w:rsid w:val="456C3BDC"/>
    <w:rsid w:val="47025732"/>
    <w:rsid w:val="47061980"/>
    <w:rsid w:val="476F7A15"/>
    <w:rsid w:val="479A7C14"/>
    <w:rsid w:val="48627A3A"/>
    <w:rsid w:val="4A000E00"/>
    <w:rsid w:val="4A157CAA"/>
    <w:rsid w:val="4AE31F2B"/>
    <w:rsid w:val="4AF1258C"/>
    <w:rsid w:val="4C670FB3"/>
    <w:rsid w:val="4C890403"/>
    <w:rsid w:val="4E5F02BB"/>
    <w:rsid w:val="4EC33FDD"/>
    <w:rsid w:val="51B23D69"/>
    <w:rsid w:val="539E72BA"/>
    <w:rsid w:val="539F4A27"/>
    <w:rsid w:val="54402158"/>
    <w:rsid w:val="569B6E56"/>
    <w:rsid w:val="58F57952"/>
    <w:rsid w:val="597106BA"/>
    <w:rsid w:val="59C328CF"/>
    <w:rsid w:val="5A606375"/>
    <w:rsid w:val="5AC6127A"/>
    <w:rsid w:val="5B3F5118"/>
    <w:rsid w:val="5BA722FA"/>
    <w:rsid w:val="5BFB1E38"/>
    <w:rsid w:val="5CC3576D"/>
    <w:rsid w:val="5FFC0C44"/>
    <w:rsid w:val="606274B1"/>
    <w:rsid w:val="61073222"/>
    <w:rsid w:val="62414EB3"/>
    <w:rsid w:val="63FD7A75"/>
    <w:rsid w:val="64890CB4"/>
    <w:rsid w:val="66175791"/>
    <w:rsid w:val="66BC0E69"/>
    <w:rsid w:val="682A1EE8"/>
    <w:rsid w:val="692B3AEA"/>
    <w:rsid w:val="694008C0"/>
    <w:rsid w:val="69D46EC1"/>
    <w:rsid w:val="6A852AFC"/>
    <w:rsid w:val="6ADE166B"/>
    <w:rsid w:val="6B937EE9"/>
    <w:rsid w:val="6C016597"/>
    <w:rsid w:val="6C537E2F"/>
    <w:rsid w:val="6E622A6D"/>
    <w:rsid w:val="6E8F43D8"/>
    <w:rsid w:val="6EC23CC4"/>
    <w:rsid w:val="6FB240AB"/>
    <w:rsid w:val="70870703"/>
    <w:rsid w:val="71262EC5"/>
    <w:rsid w:val="71FE5E01"/>
    <w:rsid w:val="745636BC"/>
    <w:rsid w:val="749873D1"/>
    <w:rsid w:val="76183020"/>
    <w:rsid w:val="76615062"/>
    <w:rsid w:val="76812C75"/>
    <w:rsid w:val="77120A01"/>
    <w:rsid w:val="781716B0"/>
    <w:rsid w:val="7836695A"/>
    <w:rsid w:val="78D5371F"/>
    <w:rsid w:val="7AA23822"/>
    <w:rsid w:val="7AC14446"/>
    <w:rsid w:val="7B4A4C57"/>
    <w:rsid w:val="7B944490"/>
    <w:rsid w:val="7BA10F2E"/>
    <w:rsid w:val="7C092350"/>
    <w:rsid w:val="7CAD0272"/>
    <w:rsid w:val="7D6D0F46"/>
    <w:rsid w:val="7D6D728B"/>
    <w:rsid w:val="7DED2CD3"/>
    <w:rsid w:val="7F2717B1"/>
    <w:rsid w:val="7F6D3B00"/>
    <w:rsid w:val="7F8D6877"/>
    <w:rsid w:val="7FBA37F8"/>
    <w:rsid w:val="7FFF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2019-04-11T10:14:00Z</dcterms:created>
  <dc:creator>Administrator</dc:creator>
  <cp:lastModifiedBy>Administrator</cp:lastModifiedBy>
  <dcterms:modified xsi:type="dcterms:W3CDTF">2019-05-12T06:48:10Z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