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r>
        <w:rPr>
          <w:rFonts w:hint="eastAsia"/>
          <w:sz w:val="32"/>
          <w:szCs w:val="32"/>
          <w:lang w:eastAsia="zh-CN"/>
        </w:rPr>
        <w:t>强制疑似精神病患者就医是否构成侵权</w:t>
      </w:r>
    </w:p>
    <w:p>
      <w:pPr>
        <w:ind w:firstLine="640" w:firstLineChars="200"/>
        <w:rPr>
          <w:rFonts w:hint="eastAsia"/>
          <w:sz w:val="32"/>
          <w:szCs w:val="32"/>
          <w:lang w:val="en-US" w:eastAsia="zh-CN"/>
        </w:rPr>
      </w:pPr>
      <w:r>
        <w:rPr>
          <w:rFonts w:hint="eastAsia"/>
          <w:sz w:val="32"/>
          <w:szCs w:val="32"/>
          <w:lang w:val="en-US" w:eastAsia="zh-CN"/>
        </w:rPr>
        <w:t xml:space="preserve">           余孝安</w:t>
      </w:r>
      <w:r>
        <w:rPr>
          <w:rStyle w:val="5"/>
          <w:rFonts w:hint="eastAsia"/>
          <w:sz w:val="32"/>
          <w:szCs w:val="32"/>
          <w:lang w:val="en-US" w:eastAsia="zh-CN"/>
        </w:rPr>
        <w:footnoteReference w:id="0" w:customMarkFollows="1"/>
        <w:t>*</w:t>
      </w:r>
    </w:p>
    <w:p>
      <w:pPr>
        <w:ind w:firstLine="560" w:firstLineChars="200"/>
        <w:rPr>
          <w:rFonts w:hint="eastAsia" w:eastAsiaTheme="minorEastAsia"/>
          <w:sz w:val="32"/>
          <w:szCs w:val="32"/>
          <w:lang w:val="en-US" w:eastAsia="zh-CN"/>
        </w:rPr>
      </w:pPr>
      <w:r>
        <w:rPr>
          <w:rFonts w:hint="eastAsia"/>
          <w:sz w:val="28"/>
          <w:szCs w:val="28"/>
          <w:lang w:val="en-US" w:eastAsia="zh-CN"/>
        </w:rPr>
        <w:t>裁判要旨：疑似精神病人同样享有完整的人格权，其中属重度的，其监护人等可在法定职责下，适当限制其人身自由权并送医疗机构就医，相应的行为不构成侵权，不承担民事责任；轻度的是否就医由其本人决定，强制就医的，依法构成侵权，应当承担民事责任。</w:t>
      </w:r>
    </w:p>
    <w:p>
      <w:pPr>
        <w:ind w:firstLine="1120" w:firstLineChars="400"/>
        <w:rPr>
          <w:rFonts w:hint="eastAsia"/>
          <w:sz w:val="28"/>
          <w:szCs w:val="28"/>
          <w:lang w:val="en-US" w:eastAsia="zh-CN"/>
        </w:rPr>
      </w:pPr>
      <w:r>
        <w:rPr>
          <w:rFonts w:hint="eastAsia"/>
          <w:sz w:val="28"/>
          <w:szCs w:val="28"/>
          <w:lang w:val="en-US" w:eastAsia="zh-CN"/>
        </w:rPr>
        <w:t>案情</w:t>
      </w:r>
    </w:p>
    <w:p>
      <w:pPr>
        <w:ind w:firstLine="560" w:firstLineChars="200"/>
        <w:rPr>
          <w:rFonts w:hint="eastAsia"/>
          <w:sz w:val="28"/>
          <w:szCs w:val="28"/>
          <w:lang w:val="en-US" w:eastAsia="zh-CN"/>
        </w:rPr>
      </w:pPr>
      <w:r>
        <w:rPr>
          <w:rFonts w:hint="eastAsia"/>
          <w:sz w:val="28"/>
          <w:szCs w:val="28"/>
          <w:lang w:val="en-US" w:eastAsia="zh-CN"/>
        </w:rPr>
        <w:t>原告：舒某甲</w:t>
      </w:r>
    </w:p>
    <w:p>
      <w:pPr>
        <w:ind w:firstLine="560" w:firstLineChars="200"/>
        <w:rPr>
          <w:rFonts w:hint="eastAsia"/>
          <w:sz w:val="28"/>
          <w:szCs w:val="28"/>
          <w:lang w:val="en-US" w:eastAsia="zh-CN"/>
        </w:rPr>
      </w:pPr>
      <w:r>
        <w:rPr>
          <w:rFonts w:hint="eastAsia"/>
          <w:sz w:val="28"/>
          <w:szCs w:val="28"/>
          <w:lang w:val="en-US" w:eastAsia="zh-CN"/>
        </w:rPr>
        <w:t>被告：丰都兴安精神病医院</w:t>
      </w:r>
    </w:p>
    <w:p>
      <w:pPr>
        <w:ind w:firstLine="560" w:firstLineChars="200"/>
        <w:rPr>
          <w:rFonts w:hint="default" w:eastAsiaTheme="minorEastAsia"/>
          <w:sz w:val="28"/>
          <w:szCs w:val="28"/>
          <w:lang w:val="en-US" w:eastAsia="zh-CN"/>
        </w:rPr>
      </w:pPr>
      <w:r>
        <w:rPr>
          <w:rFonts w:hint="eastAsia"/>
          <w:sz w:val="28"/>
          <w:szCs w:val="28"/>
          <w:lang w:val="en-US" w:eastAsia="zh-CN"/>
        </w:rPr>
        <w:t>2020年4月26日，舒某甲向丰都县人民法院提起民事诉讼，请求判令，丰都兴安精神病医院赔偿其经济损失5055.04元；赔偿其精神损害抚慰金50000元并赔礼道歉。并诉称：原告因民事纠纷未得到解决，到重庆市有关部门上访，后被接回丰都。2019年7月31日，原告被三元派出所及司法所干警强行带到丰都兴安精神病医院，后该医院院长对原告做精神方面的检查，原告思维正常，但该医院仍将原告视为精神病人，限制原告人身自由，并强制灌药，原告不从，其工作人员就打原告，后原告以死威胁，被告才将原告放回家，共计强制治疗16天。综上，被告的行为违反我国《精神卫生法》、《侵权责任法》相关规定，原告的请求应当得到支持。</w:t>
      </w:r>
    </w:p>
    <w:p>
      <w:pPr>
        <w:ind w:firstLine="560" w:firstLineChars="200"/>
        <w:rPr>
          <w:rFonts w:hint="eastAsia"/>
          <w:sz w:val="28"/>
          <w:szCs w:val="28"/>
          <w:lang w:val="en-US" w:eastAsia="zh-CN"/>
        </w:rPr>
      </w:pPr>
      <w:r>
        <w:rPr>
          <w:rFonts w:hint="eastAsia"/>
          <w:sz w:val="28"/>
          <w:szCs w:val="28"/>
          <w:lang w:val="en-US" w:eastAsia="zh-CN"/>
        </w:rPr>
        <w:t>丰都兴安精神病医院辩称，本医院收治舒某甲系在其家属同意的前提下进行的，也不存在医疗过错，同时舒某甲确实有精神病，据此请求驳回舒某甲的诉讼请求。</w:t>
      </w:r>
    </w:p>
    <w:p>
      <w:pPr>
        <w:ind w:firstLine="560" w:firstLineChars="200"/>
        <w:rPr>
          <w:rFonts w:hint="eastAsia"/>
          <w:sz w:val="28"/>
          <w:szCs w:val="28"/>
          <w:lang w:val="en-US" w:eastAsia="zh-CN"/>
        </w:rPr>
      </w:pPr>
      <w:r>
        <w:rPr>
          <w:rFonts w:hint="eastAsia"/>
          <w:sz w:val="28"/>
          <w:szCs w:val="28"/>
          <w:lang w:val="en-US" w:eastAsia="zh-CN"/>
        </w:rPr>
        <w:t>法院查明的事实：2019年7月30日，舒某甲（离异无配偶）到渝州宾馆上访，被宾馆保安送至重庆市信访办。同年7月31日，舒某甲再次到渝州宾馆上访，再次被宾馆保安送至重庆市信访办，该办通知丰都县三元镇人民政府协调处理。该政府组织司法所、派出所、三元镇何家坝村委的工作人员会同舒某甲之子舒某乙将舒某甲接回家中,舒某甲之女舒某丙随后到场，舒某乙、舒某丙称，其父精神有点问题。同年8月初，舒某丙及其女与舒某甲发生纠纷，舒某乙、舒某丙请求派出所民警协助将舒某甲送丰都兴安精神病医院治疗，后，派出所民警协助舒某乙、舒某丙将舒某甲送该医院。该医院经舒某乙、舒某丙同意，办理了住院手续，随后住院检查治疗，住院期间因有自杀行为，同年8月15日转丰都县人民医院治疗。同年8月21日，重庆市精神卫生中心对舒某甲是否有精神病进行鉴定，后作出《精神医学鉴定书》，结论为：人格障碍。建议精神专科治疗，加强监管。后，经治疗好转出院。</w:t>
      </w:r>
    </w:p>
    <w:p>
      <w:pPr>
        <w:ind w:firstLine="560" w:firstLineChars="200"/>
        <w:rPr>
          <w:rFonts w:hint="default"/>
          <w:sz w:val="28"/>
          <w:szCs w:val="28"/>
          <w:lang w:val="en-US" w:eastAsia="zh-CN"/>
        </w:rPr>
      </w:pPr>
      <w:r>
        <w:rPr>
          <w:rFonts w:hint="eastAsia"/>
          <w:sz w:val="28"/>
          <w:szCs w:val="28"/>
          <w:lang w:val="en-US" w:eastAsia="zh-CN"/>
        </w:rPr>
        <w:t>另，在本案审理前舒某甲以丰都县公安局为被告向重庆市涪陵区人民法院提起行政诉讼，请求确认丰都县公安局的行为违法并赔偿损失，后被该法院驳回了诉讼请求。</w: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审判</w:t>
      </w:r>
    </w:p>
    <w:p>
      <w:pPr>
        <w:ind w:firstLine="560" w:firstLineChars="200"/>
        <w:rPr>
          <w:rFonts w:hint="eastAsia"/>
          <w:sz w:val="28"/>
          <w:szCs w:val="28"/>
          <w:lang w:val="en-US" w:eastAsia="zh-CN"/>
        </w:rPr>
      </w:pPr>
      <w:r>
        <w:rPr>
          <w:rFonts w:hint="eastAsia"/>
          <w:sz w:val="28"/>
          <w:szCs w:val="28"/>
          <w:lang w:val="en-US" w:eastAsia="zh-CN"/>
        </w:rPr>
        <w:t>一审法院认为，根据《中华人民共和国精神卫生法》第二十八条第二款规定，疑似精神病患者发生伤害自身、危害他人安全的行为，或者有自身、危害他人安全的危险性的，其近亲属、所在单位、当地公安机关应当立即采取措施予以制止，并将其送往医疗机构进行精神障碍诊断，医疗机构街道送诊的疑似精神障碍患者，不得拒绝为其作出诊断。本案中，丰都兴安精神病医院接受疑似精神病患者舒某甲，并经其近亲属同意，安排其住院治疗，其行为合法，不存在过错，为此不构成对舒某甲人身自由权的侵害，据此舒某甲的诉讼请求不能成立，不予支持。依照《中华人民共和国精神卫生法》（简称《精神卫生法》）第二十八条、第三十条规定判决：驳回舒某甲的诉讼请求。</w:t>
      </w:r>
    </w:p>
    <w:p>
      <w:pPr>
        <w:ind w:firstLine="560" w:firstLineChars="200"/>
        <w:rPr>
          <w:rFonts w:hint="eastAsia"/>
          <w:sz w:val="28"/>
          <w:szCs w:val="28"/>
          <w:lang w:val="en-US" w:eastAsia="zh-CN"/>
        </w:rPr>
      </w:pPr>
      <w:r>
        <w:rPr>
          <w:rFonts w:hint="eastAsia"/>
          <w:sz w:val="28"/>
          <w:szCs w:val="28"/>
          <w:lang w:val="en-US" w:eastAsia="zh-CN"/>
        </w:rPr>
        <w:t>舒某甲不服一审判决，向重庆市第三中级人民法院提出上诉。</w:t>
      </w:r>
    </w:p>
    <w:p>
      <w:pPr>
        <w:ind w:firstLine="560" w:firstLineChars="200"/>
        <w:rPr>
          <w:rFonts w:hint="eastAsia"/>
          <w:sz w:val="28"/>
          <w:szCs w:val="28"/>
          <w:lang w:val="en-US" w:eastAsia="zh-CN"/>
        </w:rPr>
      </w:pPr>
      <w:r>
        <w:rPr>
          <w:rFonts w:hint="eastAsia"/>
          <w:sz w:val="28"/>
          <w:szCs w:val="28"/>
          <w:lang w:val="en-US" w:eastAsia="zh-CN"/>
        </w:rPr>
        <w:t>二审法院以一审相同的理由，判决驳回舒某甲的上诉，维持原判。</w:t>
      </w:r>
    </w:p>
    <w:p>
      <w:pPr>
        <w:ind w:firstLine="2520" w:firstLineChars="900"/>
        <w:rPr>
          <w:rFonts w:hint="eastAsia"/>
          <w:sz w:val="28"/>
          <w:szCs w:val="28"/>
          <w:lang w:val="en-US" w:eastAsia="zh-CN"/>
        </w:rPr>
      </w:pPr>
      <w:r>
        <w:rPr>
          <w:rFonts w:hint="eastAsia"/>
          <w:sz w:val="28"/>
          <w:szCs w:val="28"/>
          <w:lang w:val="en-US" w:eastAsia="zh-CN"/>
        </w:rPr>
        <w:t>评析</w:t>
      </w:r>
    </w:p>
    <w:p>
      <w:pPr>
        <w:ind w:firstLine="560"/>
        <w:rPr>
          <w:rFonts w:hint="eastAsia"/>
          <w:sz w:val="28"/>
          <w:szCs w:val="28"/>
          <w:lang w:val="en-US" w:eastAsia="zh-CN"/>
        </w:rPr>
      </w:pPr>
      <w:r>
        <w:rPr>
          <w:rFonts w:hint="eastAsia"/>
          <w:sz w:val="28"/>
          <w:szCs w:val="28"/>
          <w:lang w:val="en-US" w:eastAsia="zh-CN"/>
        </w:rPr>
        <w:t>本案需要深入研究的是，人格权内部冲突及协调问题；疑似患者的人格权与监护权关系问题；有关本案法律适用的具体问题。</w:t>
      </w:r>
    </w:p>
    <w:p>
      <w:pPr>
        <w:numPr>
          <w:ilvl w:val="0"/>
          <w:numId w:val="1"/>
        </w:numPr>
        <w:ind w:firstLine="560"/>
        <w:rPr>
          <w:rFonts w:hint="eastAsia" w:ascii="宋体" w:hAnsi="宋体" w:eastAsia="宋体" w:cs="宋体"/>
          <w:sz w:val="28"/>
          <w:szCs w:val="28"/>
          <w:lang w:val="en-US" w:eastAsia="zh-CN"/>
        </w:rPr>
      </w:pPr>
      <w:r>
        <w:rPr>
          <w:rFonts w:hint="eastAsia"/>
          <w:sz w:val="28"/>
          <w:szCs w:val="28"/>
          <w:lang w:val="en-US" w:eastAsia="zh-CN"/>
        </w:rPr>
        <w:t>人格权内部冲突及协调。</w:t>
      </w:r>
    </w:p>
    <w:p>
      <w:pPr>
        <w:numPr>
          <w:ilvl w:val="0"/>
          <w:numId w:val="0"/>
        </w:numPr>
        <w:ind w:firstLine="560" w:firstLineChars="200"/>
        <w:rPr>
          <w:rFonts w:hint="eastAsia" w:ascii="宋体" w:hAnsi="宋体" w:eastAsia="宋体" w:cs="宋体"/>
          <w:sz w:val="28"/>
          <w:szCs w:val="28"/>
          <w:lang w:val="en-US" w:eastAsia="zh-CN"/>
        </w:rPr>
      </w:pPr>
      <w:r>
        <w:rPr>
          <w:rFonts w:hint="eastAsia"/>
          <w:sz w:val="28"/>
          <w:szCs w:val="28"/>
          <w:lang w:val="en-US" w:eastAsia="zh-CN"/>
        </w:rPr>
        <w:t>（一）正确认识人格权是本案正确裁判的前提。认识人格权首先了解人格的渊源。人格来源于拉丁语“persona”,本指面具，后经古罗马哲学家改造，演化为“人格”，表示理性的，个别的存在。罗马法学家开始使用这个概念，含义发生了变化，指“声望和尊严”、“自由民”等，词语常用“caput”表达，本意指头颅，其逻辑是有“caput”才是“persona”。罗马法规定人部分丧失人格，人格减等，完全丧失人格，就失去做人的资格，变成奴隶。人格就是人在法律上的资格。</w:t>
      </w:r>
      <w:r>
        <w:rPr>
          <w:rStyle w:val="5"/>
          <w:rFonts w:hint="eastAsia"/>
          <w:sz w:val="28"/>
          <w:szCs w:val="28"/>
          <w:lang w:val="en-US" w:eastAsia="zh-CN"/>
        </w:rPr>
        <w:footnoteReference w:id="1"/>
      </w:r>
      <w:r>
        <w:rPr>
          <w:rFonts w:hint="eastAsia"/>
          <w:sz w:val="28"/>
          <w:szCs w:val="28"/>
          <w:lang w:val="en-US" w:eastAsia="zh-CN"/>
        </w:rPr>
        <w:t>人格权起源于十六世纪人文主义。人文主义学者胡果</w:t>
      </w:r>
      <w:r>
        <w:rPr>
          <w:rFonts w:hint="eastAsia" w:ascii="宋体" w:hAnsi="宋体" w:eastAsia="宋体" w:cs="宋体"/>
          <w:sz w:val="28"/>
          <w:szCs w:val="28"/>
          <w:lang w:val="en-US" w:eastAsia="zh-CN"/>
        </w:rPr>
        <w:t>.多内鲁斯认为，作为一种法益，人对于其自身的控制不同于人对外界物质的掌控，个人对其生命、身体的完整性、自由以及名声享有权利。</w:t>
      </w:r>
      <w:r>
        <w:rPr>
          <w:rStyle w:val="5"/>
          <w:rFonts w:hint="eastAsia" w:ascii="宋体" w:hAnsi="宋体" w:eastAsia="宋体" w:cs="宋体"/>
          <w:sz w:val="28"/>
          <w:szCs w:val="28"/>
          <w:lang w:val="en-US" w:eastAsia="zh-CN"/>
        </w:rPr>
        <w:footnoteReference w:id="2"/>
      </w:r>
      <w:r>
        <w:rPr>
          <w:rFonts w:hint="eastAsia" w:ascii="宋体" w:hAnsi="宋体" w:eastAsia="宋体" w:cs="宋体"/>
          <w:sz w:val="28"/>
          <w:szCs w:val="28"/>
          <w:lang w:val="en-US" w:eastAsia="zh-CN"/>
        </w:rPr>
        <w:t>后，经由自然法学家赋予精神支柱逐渐形成。对人格权最早系统阐述的法学家是德国著名法学家Otto von Gierke。人格权成为法律的重要内容应在二战争结束后，人们充分认识到纳粹暴政对人本身侵害的严重后果。各国在民事立法时相继将人格权写入了民事基本法内容。人格权是以民事主体依法固有的人格利益为客体的，以维护和实现人格平等、人格尊严、人身自由为目的权利。</w:t>
      </w:r>
      <w:r>
        <w:rPr>
          <w:rStyle w:val="5"/>
          <w:rFonts w:hint="eastAsia" w:ascii="宋体" w:hAnsi="宋体" w:eastAsia="宋体" w:cs="宋体"/>
          <w:sz w:val="28"/>
          <w:szCs w:val="28"/>
          <w:lang w:val="en-US" w:eastAsia="zh-CN"/>
        </w:rPr>
        <w:footnoteReference w:id="3"/>
      </w:r>
      <w:r>
        <w:rPr>
          <w:rFonts w:hint="eastAsia" w:ascii="宋体" w:hAnsi="宋体" w:eastAsia="宋体" w:cs="宋体"/>
          <w:sz w:val="28"/>
          <w:szCs w:val="28"/>
          <w:lang w:val="en-US" w:eastAsia="zh-CN"/>
        </w:rPr>
        <w:t>人格权的特征：它是民事主体的固有权利,人格权是人与生俱来的权利，其他民事权利是人通过一定的行为和事件所取得的；它是民事主体专属的权利，专属体现在三个方面，一是人格权只能由民事主体享有，其他组织不享有，二是人格权只能由民事主体单独享有，并不得转让、抛弃、继承，也不受他人的非法限制，不可与民事主体人身相分离，转让、抛弃、继承均属无效，限制、干涉民事主体行使人格权，属于侵权行为；它是维护民事主体独立人格必备的权利，人格是做人的资格，人格权是维护做人资格的权利。没有人格权就不可能有独立的人格，民事主体就不存在，人的尊严和价值也不复存在；它是以人格利益为客体的基本权利，人格权不是某项权利，而是一大类权利，人格利益分为两种：一是一般人格利益，包括人格独立、人格自由、人格尊严，二是个别利益，表现在维护自然人生存的身体、健康、生命的利益，自由、隐私、名誉、肖像、贞操、信用等利益。人格权的权能有四，一是控制权，是指民事主体以自己的意思对自己的人格利益进行控制的权能；二是利用权，人格权的主体以自己的意志利用自己的人格利益；三是有限转让权，是指自己对自己人格利益适当转让他人，如将自己的肖像利用权部分转让他人使用；四是适当处分权，是指自己对自己的人格利益适当的自主支配的权能。人格权的分类方法在我国民法学界，主要有两种分类方法。第一是按权利客体和保护方法不同将人格权分为物质性人格权和精神性人格权。再将人格权分为标表行人格权、自由型人格权和尊重型人格权，这种分类方法对司法实务的指导意义重大，在司法裁判中可以据此确定人格权侵权案件的责任承担形式，不足是对怎么处理一般人格权与具体人格权关系，陈述不清。第二种分类法是，按人格权保护的客体的不同性质，即是，一般人格利益还是具体人格利益，将人格权分为两种基本类型，一种为一般人格权，一种为具体人格权，这种分类确定一般人格权对具体人格权的指导地位，但对具体人格权实际没有划分。为了吸收与规避两种分类法的优缺点，王利民教授采用了折中法，认为人格权一般分为，一般人格权和具体人格权，具体人格权中分为物质性人格权与精神性人格权。</w:t>
      </w:r>
      <w:r>
        <w:rPr>
          <w:rStyle w:val="5"/>
          <w:rFonts w:hint="eastAsia" w:ascii="宋体" w:hAnsi="宋体" w:eastAsia="宋体" w:cs="宋体"/>
          <w:sz w:val="28"/>
          <w:szCs w:val="28"/>
          <w:lang w:val="en-US" w:eastAsia="zh-CN"/>
        </w:rPr>
        <w:footnoteReference w:id="4"/>
      </w:r>
      <w:r>
        <w:rPr>
          <w:rFonts w:hint="eastAsia" w:ascii="宋体" w:hAnsi="宋体" w:eastAsia="宋体" w:cs="宋体"/>
          <w:sz w:val="28"/>
          <w:szCs w:val="28"/>
          <w:lang w:val="en-US" w:eastAsia="zh-CN"/>
        </w:rPr>
        <w:t>一般人格权是基本的人格权，既是一个独立的权利又是一个抽象的权利，之所以说抽象，是因为一般人格权是从具体人格权概括而来，具有人格权的共性，又对具体人格权的发展有指导作用。一般人格权有三大功能：解释功能，对具体人格权按一般人格权的基本原则及特征进行解释，背离的解释无效；创造功能，具体人格权通过一般人格权这个“母权”不断繁衍；补充功能，一般人格权对于现有法律无规定的具体人格权纳入一般人格权进行法律保护。物质性人格权是以自然人的物质载体所体现的人格利益为客体，概括保障这些物质性人格利益的权利，物质性人格权包括身体权、生命权、健康权三种。精神性人格权，就是以民事主体的精神性人格利益为客体，维护其不受侵害的人格权。精神性人格权包括姓名权、名称权、肖像权、名誉权、荣誉权、人身自由权、隐私权和性自主权等。人格权虽为与生俱来的权利，但时不时因多种多样的原因受到损害，因此需要法律特别保护，保护的法律有《宪法》、《刑法》、《行政法》、《侵权责任法》等，但最为常用的是人格权的民法保护方法，就是用民法上以人格权自身的请求权方法和确认侵害人格权的违法行为，使受害人获得损害赔偿。以上方法分为人格权请求权保护方法与侵害请求权的保护方法。人格权请求权是指民事主体在其人格权的圆满状态受到妨害或者妨害可能时，可以向加害人或者人民法院请求加害人为一定行为或不为一定行为，以回复人格权的圆满状态或者防止妨碍的权利。人格权的请求权保护方法，就是赋予人格权人依据其权利而享有这种请求权，在权利受到侵害或妨害时，能够依据该请求权，排除妨害和获得必要的损害赔偿，以救济损害，回复权利。侵权请求权的保护方法，就是确认侵害人的违法行为为侵权行为，赋予权利人以侵权请求权，通过行使该请求权，使损害得到救济的权利得到恢复，保持人格权的圆满状态。以上，之所以要对人格权作深刻的剖析，是为了准确判断本涉及的权利性质，确定裁判要点。从原告请求的事项看有两项，一是赔偿经济损失；二是回复权利。仅从原告请求事项看，并不明确，但结合其主张事实看，是被告强制医疗，限制其人身自由，导致其经济上受损失，人格权受侵害而产生的侵权请求权。被告的行为是否真正构成对原告人格权侵害，必须进一步研究被告的行为对原告人格权的射击范围，可能侵害的人格权种内及关系。</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案涉人格权的种类及价值序位。从具体人格权看，物质性人格权有生命权、健康权、身体权三种，精神性人格权有姓名权、名称权、肖像权、名誉权、荣誉权、人身自由权、隐私权和性自主权等。结合案情，涉及的具体人格权有身体权、生命权、健康权、名誉权、人身自由权、隐私权。现就案涉上列人格权进行分析，以寻找价值定位并进行逻辑排序，为在特殊情形下，人格权处于危险或侵害时进行优先救济，或者寻求救济上的比例考量。生命是人维持其生存的物质活动能力，人的生命具有最高的人格利益，是人的第一尊严。生命权是以自然人的生命安全利益为内容的，独立的具体人格权。为此生命权为第一要义的人格权。健康权是自然人以其机体生理机能正常运作和功能完善发挥，而维持人体生命活动的利益为内容的具体人格权。健康是维持人体生命活动的基础，健康受到损害可通过医治恢复，生命受到损害不可逆转，这是生命与健康的区别。生命权与健康权的联系与区别在于权利客体内容上的联系与区别。也正因为健康权与生命权紧密相连，可以认为是仅次于生命权的一种具体人格权。身体是指一个人的整体。身体权是以自然人维护身体完全并支配其躯体、器官和其他组织的具体人格权。身体权与生命权的区别，身体权保护的是人躯体的完整性，生命权保护的是人生命活动能力。身体权与健康权的区别，身体权的客体是身体，健康权的客体是健康；身体权体现的利益是身体组织的完整性，健康权体现的利益是自然人肌体的完善性；身体权是自然人对身体组成部分的支配权，健康权则没有明显的支配性质。身体是生命与健康的基础，因此从一定意义上可以说，身体权的意义仅次于生命权,与健康权同等重要。名誉权、人身自由权、隐私权皆属具体人格权中精神性人格权。名誉是对特定的自然人、法人的品德、才能以及其他素质的社会综和评价，名誉包括内部名誉和外部名誉。内部名誉是自己对自己的评价，是主观上的名誉；外部名誉是第三人对特定的人社会评价，是客观评价，具有客观性。名誉权是指公民和法人就其自身属性和价值所获得的社会评价，享有的保有和和维护的具体人格权，名誉权的客体是名誉及其利益，名誉权不具有财产属性，但与一定的财产利益相关联。名誉权的内容有名誉保有权、名誉维护权、名誉利益支配权。自由是不受限制、不受约束的一种状态，法律上的自由是指按照自己的意志和利益进行行动和思维，不受约束、控制、妨碍。自由权是指自然人在法律规定的范围内，按照自己的意志和利益进行行动和思维，不受约束、控制、妨碍的权利，包括政治自由权、民事自由权。作为具体人格权的自由权是指人身自由权，是自然人按照自己的意志和利益，在法律规定的范围内作为和不作为的权利，包括身体自由权与精神自由权。隐私，是指人的与公共利益、群体利益无关的，不愿意他人知道或他人不便知道的信息，不愿意他人干涉或他人不便于干涉的个人私事和不愿他人侵入或他人不便于侵入的个人领域。隐私权是自然人享有的，对其个人的、与公共利益、群体利益无关的，不愿意他人知道或他人不便知道的信息、私人活动和私有领域进行支配的具体人格权。隐私权的内容有：隐私隐瞒权、隐私来源权、隐私维护权、隐私支配权。就名誉权、人身自由权、隐私权三种权利客体的内容而言，人身自由权显得更为重要，名誉权、隐私权次之，名誉权、隐私权两者而言同等重要，只是保护的客体各有不同，但均为人格尊严主要体现。</w:t>
      </w:r>
    </w:p>
    <w:p>
      <w:pPr>
        <w:numPr>
          <w:ilvl w:val="0"/>
          <w:numId w:val="0"/>
        </w:numPr>
        <w:ind w:firstLine="560" w:firstLineChars="200"/>
        <w:rPr>
          <w:rFonts w:hint="eastAsia"/>
          <w:sz w:val="28"/>
          <w:szCs w:val="28"/>
          <w:lang w:val="en-US" w:eastAsia="zh-CN"/>
        </w:rPr>
      </w:pPr>
      <w:r>
        <w:rPr>
          <w:rFonts w:hint="eastAsia" w:ascii="宋体" w:hAnsi="宋体" w:eastAsia="宋体" w:cs="宋体"/>
          <w:sz w:val="28"/>
          <w:szCs w:val="28"/>
          <w:lang w:val="en-US" w:eastAsia="zh-CN"/>
        </w:rPr>
        <w:t>（二）被告等主体行为的法律属性。上文对人格权本质进行了梳理，目的是认识人格权的本质特征，便于确定是否损害的是人格权，但仅解决了对损害后果性质的判断问题。而作为损害的行为问题，还必须进行研究分析，才能判断行为与结果的因果关系。作为原因行为可能是基于违法侵权行为，也可能是合法行为，前者构成真正意义上的侵权行为，而后者属违法阻却，不构成真正意义上的侵权行为。从案情本身看，参与的行为人有警察、原告的子女、</w:t>
      </w:r>
      <w:r>
        <w:rPr>
          <w:rFonts w:hint="eastAsia"/>
          <w:sz w:val="28"/>
          <w:szCs w:val="28"/>
          <w:lang w:val="en-US" w:eastAsia="zh-CN"/>
        </w:rPr>
        <w:t>丰都兴安精神病医院三方。这三方之所以参与，</w:t>
      </w:r>
      <w:r>
        <w:rPr>
          <w:rFonts w:hint="eastAsia" w:ascii="宋体" w:hAnsi="宋体" w:eastAsia="宋体" w:cs="宋体"/>
          <w:sz w:val="28"/>
          <w:szCs w:val="28"/>
          <w:lang w:val="en-US" w:eastAsia="zh-CN"/>
        </w:rPr>
        <w:t>警察是出于帮助行为，是否构成侵权必须从警察的法律职责上去寻找法律依据；原告子女请求警察协助将原告送往</w:t>
      </w:r>
      <w:r>
        <w:rPr>
          <w:rFonts w:hint="eastAsia"/>
          <w:sz w:val="28"/>
          <w:szCs w:val="28"/>
          <w:lang w:val="en-US" w:eastAsia="zh-CN"/>
        </w:rPr>
        <w:t>丰都兴安精神病医院就医，是基于身份关系下的监护职责，丰都兴安精神病医院接受病人就医是基于医疗部门的职能职责。以上三方行为是否违法行使职能职责，还需要进一步研究。为此，必须理清三方的职责问题。第一是子女的监护问题，监护是权利或是义务？不同的学者有不同见解，主要有权利说、权利义务一体说、职责说。王利民等教授主张监护是一种责任，理由是设定监护制度的目的是保护被监护人的合法权益，而不是为了监护人自身的利益。</w:t>
      </w:r>
      <w:r>
        <w:rPr>
          <w:rStyle w:val="5"/>
          <w:rFonts w:hint="eastAsia"/>
          <w:sz w:val="28"/>
          <w:szCs w:val="28"/>
          <w:lang w:val="en-US" w:eastAsia="zh-CN"/>
        </w:rPr>
        <w:footnoteReference w:id="5"/>
      </w:r>
      <w:r>
        <w:rPr>
          <w:rFonts w:hint="eastAsia"/>
          <w:sz w:val="28"/>
          <w:szCs w:val="28"/>
          <w:lang w:val="en-US" w:eastAsia="zh-CN"/>
        </w:rPr>
        <w:t>杨大文教授认为“监护应是权利义务紧密联系、不可分离，以义务为主要内容的一种社会职务”。</w:t>
      </w:r>
      <w:r>
        <w:rPr>
          <w:rStyle w:val="5"/>
          <w:rFonts w:hint="eastAsia"/>
          <w:sz w:val="28"/>
          <w:szCs w:val="28"/>
          <w:lang w:val="en-US" w:eastAsia="zh-CN"/>
        </w:rPr>
        <w:footnoteReference w:id="6"/>
      </w:r>
      <w:r>
        <w:rPr>
          <w:rFonts w:hint="eastAsia"/>
          <w:sz w:val="28"/>
          <w:szCs w:val="28"/>
          <w:lang w:val="en-US" w:eastAsia="zh-CN"/>
        </w:rPr>
        <w:t>笔者赞同权利义务一体说，因为监护虽然主要是义务责任，但同时也有权利的内容，并且不能分离。监护就是指依照法律规定，对特定自然人的人身权益和财产权益进行监督和保护的法律制度。监护制度起源于罗马法，《十二铜表法》第五表《继承与监护》中专门作了监护法的规定。监护从族权、家长权中的辅佐和保佐演变为现代民法上的社会公职。我国古代没有完整意义上的监护制度，直到清末，进行法制改革，才依照德国、日本法例完成了《大清民法草案》，有了监护制度。我国大陆的监护制度是改革开放后，通过制定《民法通则》才有了监护规定，但对监护的规定比较原则，仅4个条文，2020颁布的我国《民法典》也仅十多个条文，相比《德国民法典》第1773-1895条共123个条文（且设立了辅佐人、监督监护人制度）显得过于简陋，导致在具体的司法实践中一些具体问题难以处理。如，监护中，作为监护人的父母对未成年子女的人格权及财产权损害问题；再如，子女对父母的监护问题，现实中不好把握，因成年人的监护设定是以丧失或部分丧失民事行为能力为前提的，从民诉法的相关规定上看，设定了特别程序来审理确认“丧失或部分丧失行为能力”的事实确认问题，但现实的情况并非那么简单，如偶然事件、疾病等情况，如不及时对配偶、父母的权益给予保护，将对其民事权益造成更大的损害，甚至可能导致生命权、健康权丧失。为此笔者认为在特定的情形下，应当赋予潜在的监护人在情况紧迫的情形下有监护的权利义务职责。文中案例正是特殊情形下的监护问题。案中舒某乙、舒某丙请求警察协助强制将舒某甲送往被告处就医，是否属履行监护职责，下文将结合其他法律展开分析；第二是警察协助行为的性质。警察的协助行为不是民事行为，或者民事侵权行为，而是基于《中华人民共和国警察法》及其他行政法作出的行为，如果构成侵权，也非民事侵权，而属行政侵权行为，只是由于案件事实将可能的民事侵权行为和行政侵权行为交织。如何处理这个交叉问题，各地在司法实践中做法不一，有行政附带民事的处理方式、有民事附带行政的处理方式、有行民分离的处理方式，文中案例采用民行分离的处理方式，未将警察机关列为当事人或第三人，这样的处理对于在需要承担责任时，可能产生裁判冲突的后果，因行政诉讼在处理行政赔偿案件时，首先通过行政诉讼程序确认行政行为的违法性，后按国家赔偿法规定确定进行政赔偿，行政赔偿仍然通过违法性质、过错程度、原因力大小进行责任比例划分，由于责任主体不圆满，划分责任只在行政主体与行政相对人之间展开，划责比例也相应不周延。对于行政审判终结的行政相对人因同一事件中，民事侵权的责任人未承担责任，民事受害人不得不以民事诉讼的方式提起民事侵权之诉，民事法官经过审理在民事诉讼的原被告之间进行再次责任划分，两次责任划分可能在不同法院进行，由不同法官裁判，对责任划分的基础要素的认识，可能大相径庭，责任比例划分不一致是不可避免的；第三是患者与医疗机构的主体关系问题，医疗机构与患者之间存在的是医疗服务合同关系或者事实上的医疗损害侵权关系，医疗机构因其社会责任属性，并非完全基于双方的合同产生民事关系，可能基于患者的疾病治疗需要，医疗机构又不能拒绝医治，而产生的事实法律关系。责任的产生并非完全基于违背合同义务，还可能基于医疗机构和医务人员违背法定职责，因此在司法审判中，应当结合医疗服务的法律拟定义务及其职责和职业伦理规范来确定医疗机构的责任范围、责任大小、责任形态。</w:t>
      </w:r>
    </w:p>
    <w:p>
      <w:pPr>
        <w:numPr>
          <w:ilvl w:val="0"/>
          <w:numId w:val="0"/>
        </w:numPr>
        <w:ind w:firstLine="560" w:firstLineChars="200"/>
        <w:rPr>
          <w:rFonts w:hint="eastAsia"/>
          <w:sz w:val="28"/>
          <w:szCs w:val="28"/>
          <w:lang w:val="en-US" w:eastAsia="zh-CN"/>
        </w:rPr>
      </w:pPr>
      <w:r>
        <w:rPr>
          <w:rFonts w:hint="eastAsia"/>
          <w:sz w:val="28"/>
          <w:szCs w:val="28"/>
          <w:lang w:val="en-US" w:eastAsia="zh-CN"/>
        </w:rPr>
        <w:t>二、本案裁判的实然逻辑与应然逻辑分析。</w:t>
      </w:r>
    </w:p>
    <w:p>
      <w:pPr>
        <w:ind w:firstLine="560" w:firstLineChars="200"/>
        <w:rPr>
          <w:rFonts w:hint="eastAsia"/>
          <w:sz w:val="28"/>
          <w:szCs w:val="28"/>
          <w:lang w:val="en-US" w:eastAsia="zh-CN"/>
        </w:rPr>
      </w:pPr>
      <w:r>
        <w:rPr>
          <w:rFonts w:hint="eastAsia"/>
          <w:sz w:val="28"/>
          <w:szCs w:val="28"/>
          <w:lang w:val="en-US" w:eastAsia="zh-CN"/>
        </w:rPr>
        <w:t>（一）文中案例裁判的实然逻辑。从案件裁判的思路看，一是将原告的请求权进行了性质定位，认定原告主张的侵权请求权为精神性人格权损害赔偿请求权，同时产生了治疗费损失的财产请求权，将精神性人格权界定在人身自由权范畴；二是确定侵权主体为原告主张的丰都兴安精神病医院，没有依职权将原告的子女列为共同被告，以及将协助护送的派出所、司法局干警所在单位列为第三人，可能的理由是原告明确对其不主张侵权责任，或者因行政诉讼明确界定其行为性质合法，不属于侵权责任主体，但笔者认为，实为陋列，因共同侵权被告，依照民事诉讼法关于必要共同诉讼规定，如果原告漏列，法院应当依职权追加为共同被告，除非原告明确表示不要求其参加诉讼并不要求其承担民事责任，从本案查明的事实及说理部分均无释明，实为审理上的疏漏；</w:t>
      </w:r>
      <w:r>
        <w:rPr>
          <w:rStyle w:val="5"/>
          <w:rFonts w:hint="eastAsia"/>
          <w:sz w:val="28"/>
          <w:szCs w:val="28"/>
          <w:lang w:val="en-US" w:eastAsia="zh-CN"/>
        </w:rPr>
        <w:footnoteReference w:id="7"/>
      </w:r>
      <w:r>
        <w:rPr>
          <w:rFonts w:hint="eastAsia"/>
          <w:sz w:val="28"/>
          <w:szCs w:val="28"/>
          <w:lang w:val="en-US" w:eastAsia="zh-CN"/>
        </w:rPr>
        <w:t>三是按照侵权损害赔偿的构成要件进行逻辑判断，即侵权主体行为的违法性、行为过错、违法过错行为与原告的损害结果的因果关系四要件要素进行判断。法院在裁判理由中根据《精神卫生法》第二十八条、第三十条认定被告接受原告住院治疗的行为合法，由此认定被告的行为不构成对原告自由权的侵害，据此驳回了原告的诉讼请求。然就原告的两项请求中，其中的住院医疗费问题是否属医疗损失，一审没有在说理部分提及，二审对治疗过程中的事实进行补充查明，虽确定医疗费，但对此是否属财产损失问题仍没有进行展开分析，要知道即使接受原告强制治疗合法，也不能等同治疗行为无过错，不能不说又属审理疏漏。</w:t>
      </w:r>
    </w:p>
    <w:p>
      <w:pPr>
        <w:ind w:firstLine="560" w:firstLineChars="200"/>
        <w:rPr>
          <w:rFonts w:hint="eastAsia"/>
          <w:sz w:val="28"/>
          <w:szCs w:val="28"/>
          <w:lang w:val="en-US" w:eastAsia="zh-CN"/>
        </w:rPr>
      </w:pPr>
      <w:r>
        <w:rPr>
          <w:rFonts w:hint="eastAsia"/>
          <w:sz w:val="28"/>
          <w:szCs w:val="28"/>
          <w:lang w:val="en-US" w:eastAsia="zh-CN"/>
        </w:rPr>
        <w:t>（二）本案审理中的应然逻辑问题。要深入分析探讨本案审理的应然逻辑，必须从案例的逻辑起点和终点进行解剖分析。裁判的基础来源于原告的请求权，法官以请求权为基础展开，后进行可能的法律规范检索，对检索出的法律规范进行分析整理，分清法律拟制事实，法律后果。后，法院结合查明的事实看是否涵摄在拟制事实中，满足法律拟定事实，就得出法律上的结果，这个结果如果与原告的请求符合，原告的请求就获得法律上的支持，否则被法院驳回。这个过程看似简单实则复杂，因当事人的举证能力，法律认知能力参差不齐，加上法律规范散落在不同的法律文件中，且法律规范之间可能还存在冲突，还需要通过价值判断作出选择。寻找法律过程中还可能出现，没有明确的法律规定的情形，需要进行法官造法或进行法律漏洞填补，才能确定一个真正寻求到适案的法律规范，最后作出裁判。本案围绕请求权基础方法，进行全案的逻辑解析。</w:t>
      </w:r>
    </w:p>
    <w:p>
      <w:pPr>
        <w:ind w:firstLine="560" w:firstLineChars="200"/>
        <w:rPr>
          <w:rFonts w:hint="eastAsia"/>
          <w:sz w:val="28"/>
          <w:szCs w:val="28"/>
          <w:lang w:val="en-US" w:eastAsia="zh-CN"/>
        </w:rPr>
      </w:pPr>
      <w:r>
        <w:rPr>
          <w:rFonts w:hint="eastAsia"/>
          <w:sz w:val="28"/>
          <w:szCs w:val="28"/>
          <w:lang w:val="en-US" w:eastAsia="zh-CN"/>
        </w:rPr>
        <w:t>1.原告的请求权应界定为“自由权、健康权、财产权”损害赔偿请求权。原告请求事项为：丰都兴安精神病医院赔偿其经济损失5055.04元；赔偿其精神损害抚慰金50000元并赔礼道歉。从请求事项看，原告主张的“5055.04元”损失属于治疗费损失，认为治疗不合理或者治疗过错导致经济损失，本属于金钱损失，如果单独起诉主张损失赔偿，不符合我国《侵权责任法》规定（因本案发生在《民法典》施行前，不引用《民法典》分析），因侵权责任法中侵权损害赔偿是指“物”和“人身”损害导致的损失，但侵权责任法规定如果系“物”及“人身”引起的救济损失属于民事侵权案件管辖范畴，因此，该项请求在法律上没有障碍。第二项“赔偿其精神损害抚慰金50000元并赔礼道歉”，原告没有叙明是什么权利不损害引起的精神损失，但结合原告主张的事实，可以看出是因为被告限制其人身自由，进行16天“违法治疗”引起，由此可以判断，原告主张的该项请求，是基于其人身自由权及健康权人格权受到侵害产生的侵权请求权。健康权属于物质性人格权，人身自由权属精神性人格权，对于侵害这两种具体人格权赔偿的责任形式“赔礼道歉”、“赔偿精神损害抚慰金”均属主要的赔偿责任形式。综上，原告的请求事项，从形式看没有法律问题。但实体上能否得到支持，还需进一步分析。</w:t>
      </w:r>
    </w:p>
    <w:p>
      <w:pPr>
        <w:ind w:firstLine="560" w:firstLineChars="200"/>
        <w:rPr>
          <w:rFonts w:hint="eastAsia"/>
          <w:sz w:val="28"/>
          <w:szCs w:val="28"/>
          <w:lang w:val="en-US" w:eastAsia="zh-CN"/>
        </w:rPr>
      </w:pPr>
      <w:r>
        <w:rPr>
          <w:rFonts w:hint="eastAsia"/>
          <w:sz w:val="28"/>
          <w:szCs w:val="28"/>
          <w:lang w:val="en-US" w:eastAsia="zh-CN"/>
        </w:rPr>
        <w:t>2.适格被告的确定问题。程序上正确推进是实体推进的基础，没有程序上的正义，实体的正义将会被质疑，甚至无实体正义可言。从本案查明的事实看，原告与子女之间因家庭琐事发生纠纷，导致原告多次上访，是什么琐事案件未能够查明，笔者在撰写案例时，查阅了该案的后续案件，实际起因是，原告怀疑女舒某丙与他人有婚外情，同时将原告（已满60岁）交舒某丙存放的养老金20万元，借予其暧昧对象放高利贷，后不能收回本金，导致原告到舒某丙工作单位等处上访，是否真实缺乏证据证明，但可以确定原告与舒某丙父女关系紧张，舒某丙通过原告平时话多，且对其女有恐吓等情形，怀疑原告可能精神上患了疾病，才会同舒某乙请求派出所、司法所干警协助强制送往被告处检查治疗。以上事实不难看出，舒某乙、舒某丙请求帮助的行为与干警的帮助行为及被告强制医疗之间存在关联关系，且与“损害结果”：自由权等受损之间均存在因果关系，这种因果关系，不是单方行为导致，且这多个行为的某一行为均达不到最后的结果，在学理上，称为共同因果关系或结合因果关系。根据我国民事诉讼法必要合同诉讼规则，应将舒某乙、舒某丙、丰都兴安精神病医院、干警的所属法人单位列为共同被告，但鉴于被告未列舒某乙、舒某丙、干警的所属行政机关为被告，法院应当进行追加，如原告不同意追加，法院应当进行释明，并明确告诉，对于漏列的被告如实体上该当的责任，由原告自己承担。另本案协助干警鉴于不是基于个人行为，而是代表行政机关行为，且行政诉讼已审理，在列行政机关的当事人地位时，不列为被告，可列为第三人。以上分析不难确定，法院在未向原告释明，并无原告明确表示放弃相应诉讼权利的前提下，直接将丰都兴安精神病医院单方列为被告进行审理，有违《民事诉讼法》关于必要共同诉讼的原则精神。据此，本案的适格被告应为舒某乙、舒某丙、干警的所属行政机关、丰都兴安精神病医院。对于漏列被告案件，二审本应发回原审人民法院重审，然二审可能因实体上被告不应承担责任，忽略一审程序违法问题，而直接作出判决，维持原判决。对此，笔者认为此种裁判方法值得商榷。因为程序正义与实体正义是两种独立的正义，不可偏废，程序法律规范与实体法律规范作为司法机关均应当严格执行。</w:t>
      </w:r>
    </w:p>
    <w:p>
      <w:pPr>
        <w:ind w:firstLine="560" w:firstLineChars="200"/>
        <w:rPr>
          <w:rFonts w:hint="eastAsia"/>
          <w:sz w:val="28"/>
          <w:szCs w:val="28"/>
          <w:lang w:val="en-US" w:eastAsia="zh-CN"/>
        </w:rPr>
      </w:pPr>
      <w:r>
        <w:rPr>
          <w:rFonts w:hint="eastAsia"/>
          <w:sz w:val="28"/>
          <w:szCs w:val="28"/>
          <w:lang w:val="en-US" w:eastAsia="zh-CN"/>
        </w:rPr>
        <w:t>3.司法实践中如何平衡保护成年精神病人人格权问题。成年精神病人或者疑似精神病人皆为自然人的人格权，与正常人的人格权在法律上同等受到法律保护，因均系自然人固有的权利，与生俱来，甚至死亡后个别精神性人格权仍然受到法律保护，为此，精神病人的人格权与正常人的人格权在属性上没有区别。只是因为精神病人在意志力上因疾病大小的原因，导致意志力欠缺或者减小，导致民事行为能力欠缺或者减小，需要通过他人和社会组织通过辅佐和监护等方式才能达到正常人的意志和行为要求。另外，因精神病人可能因环境、情感等因素的刺激，导致其不作为或乱作为损害他人的人身及财产权益，因此在特别法有规定的情形下其部分人格权受到某种限制，从目前的立法看，虽然部分法律有一些具体规定，但仍然有一些具体的问题没有得到解决，需要通过司法实践进行经验总结，上升到立法层面。司法如何在保护与限制上保持平衡是司法的难点。笔者认为司法应当做到一下几点：一是正确判断疑似精神病人。与其共同生活的配偶、子女、父母是最贴近其行为的人，对其言语的逻辑、行为的逻辑是否正常，感受最为深刻，因此首先由其初步判断，再次由其邻居或者同事亲朋好友进行判断，其次是通过引导陪同就近医疗，由医生进行检查判定，对于近亲属及朋友的判断，要客观中立，摒弃恩怨，尽平均人应达到的注意义务，没有达到注意义务造成疑似精神病人权益受损的，司法应认定其存在过错，承担民事责任；二是正确区分轻度与重度疑似精神病人。轻度与重度疑似精神病人，把握其区分标准不难，作为其近亲属可从其行为的意志因素，行为后果去把握，如存在自我伤害，或者较严重损害他人人身及财产权利的，属于疑似重度精神病人，其他属于轻度疑似精神病人，对于重度疑似精神病人，相应基层组织、社会组织、近亲属等应进行相应的处置，按上文分析的物质性人格权优先，精神性人格权次后的保护办法送专门医院诊断检查治疗。以上问题现有法律部分有明文规定，如，《中华人民共和国人民警察法》第十四条规定“公安机关的人民警察对严重危害公共安全或者他人人身安全的精神病人，可以采取保护性约束措施，需要送往指定的单位、场所加以监护的，应当报请县级以上人民政府公安机关批准，并及时通知其监护人”、《中华人民共和国精神卫生法》第二十一条规定“……发现家庭成员可能患有精神障碍的，应当帮助及时就诊，照顾其生活……”第二十八条第二款规定，疑似精神病患者发生伤害自身、危害他人安全的行为，或者有自身、危害他人安全的危险性的，其近亲属、所在单位、当地公安机关应当立即采取措施予以制止，并将其送往医疗机构进行精神障碍诊断，医疗机构街道送诊的疑似精神障碍患者，不得拒绝为其作出诊断；三是正确判断医疗机构对疑似精神病人或确诊精神病人医疗的合理适法性。司法审判在确定医疗机构的过错时，首先是对其检查诊断资料的完整性进行判断，如存在残缺不全，篡改病历等行为，应推定医疗机构存在过错；其次对疑似精神病人确诊为精神病人的治疗是否合法按《中华人民共和国精神卫生法》第二十八条“……医疗机构接到送诊的疑似精神患者，不得拒绝为其作出诊断”、第三十条规定“精神障碍的住院实行自愿原则……严重精神障碍患者有下列情形之一的，应当对其实施住院治疗（一）已经发生伤害自身或者有伤害自身的危险的；（二）……对一项情形经其监护人同意。”，进行判断。对于以上特别法暗含的法律规则是，精神病人在住院治疗期间其人身自由权将会受到合法合理的限制。这正是为了平衡保护精神病人最重要的生命权、健康权、身体权不得不对其人身自由权等作出的合法的、暂时的、合理的限制。把握以上内容是审理裁判精神病人侵权损害赔偿案件的当然方法。</w:t>
      </w:r>
    </w:p>
    <w:p>
      <w:pPr>
        <w:ind w:firstLine="560" w:firstLineChars="200"/>
        <w:rPr>
          <w:rFonts w:hint="default"/>
          <w:sz w:val="28"/>
          <w:szCs w:val="28"/>
          <w:lang w:val="en-US" w:eastAsia="zh-CN"/>
        </w:rPr>
      </w:pPr>
      <w:r>
        <w:rPr>
          <w:rFonts w:hint="eastAsia"/>
          <w:sz w:val="28"/>
          <w:szCs w:val="28"/>
          <w:lang w:val="en-US" w:eastAsia="zh-CN"/>
        </w:rPr>
        <w:t>对于人身侵权损害赔偿案件裁判要点是：1.确定损害行为人的侵权行为；2.确定损害结果；3.确定侵权行为与损害结果存在因果关系；4.侵权行为违法及过错（特殊侵权为推定过错或无过错），以上4点均成立，侵权损害赔偿责任成立，否则不承担民事责任。结合本案，从审理查明的事实看，以上1、2、3不存在问题，因为被告的行为确实是损害了原告的人身自由权，但是第4点不能成立，因为原告子女的送诊行为、干警的帮助送诊行为、医疗机构治疗行为均为依法履行其监护职责、行政职务、专业职责行为，是因原告自身精神疾病损害了自己的健康权才采取的保护措施，同时，克减限制原告的人身自由是暂时的，是为了保护原告更为重要的人格利益及其他人的人身权益，不得不作出的行为，对于以上行为不仅无过错，而且应受到肯定性评价。另原告请求的经济损失，属于应承担的合理治疗费用，不属于损害后果。综上，原告的诉讼请求不能成立，法院判决驳回原告请求，在实体上具有合理适法性。但本案程序的处理上是存在瑕疵的。</w:t>
      </w:r>
    </w:p>
    <w:p>
      <w:pPr>
        <w:numPr>
          <w:ilvl w:val="0"/>
          <w:numId w:val="0"/>
        </w:numPr>
        <w:ind w:firstLine="280" w:firstLineChars="1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p>
    <w:p>
      <w:pPr>
        <w:ind w:firstLine="560" w:firstLineChars="200"/>
        <w:rPr>
          <w:rFonts w:hint="default"/>
          <w:sz w:val="28"/>
          <w:szCs w:val="28"/>
          <w:lang w:val="en-US" w:eastAsia="zh-CN"/>
        </w:rPr>
      </w:pP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default" w:eastAsiaTheme="minorEastAsia"/>
          <w:lang w:val="en-US" w:eastAsia="zh-CN"/>
        </w:rPr>
      </w:pPr>
      <w:r>
        <w:rPr>
          <w:rStyle w:val="5"/>
        </w:rPr>
        <w:t>*</w:t>
      </w:r>
      <w:r>
        <w:t xml:space="preserve"> </w:t>
      </w:r>
      <w:r>
        <w:rPr>
          <w:rFonts w:hint="eastAsia"/>
          <w:lang w:eastAsia="zh-CN"/>
        </w:rPr>
        <w:t>余孝安</w:t>
      </w:r>
      <w:r>
        <w:rPr>
          <w:rFonts w:hint="eastAsia"/>
          <w:lang w:val="en-US" w:eastAsia="zh-CN"/>
        </w:rPr>
        <w:t xml:space="preserve"> 重庆市丰都法院员额制高级法官，法律硕士，联系电话13372770237，邮政编码408200。</w:t>
      </w:r>
      <w:bookmarkStart w:id="0" w:name="_GoBack"/>
      <w:bookmarkEnd w:id="0"/>
      <w:r>
        <w:rPr>
          <w:rFonts w:hint="eastAsia"/>
          <w:lang w:val="en-US" w:eastAsia="zh-CN"/>
        </w:rPr>
        <w:t>发表的学术论文有：《本案不宜直接定罪只作程序处理》（2019《人民法院案例选》（1））、《被异化的审判权与归正路径探析：基于合议庭与审判委员会实然路径的考察》，2014《澳门法学》总11期）、《受贿罪量刑的数量逻辑构造》（2017，《司法改革论评》）、《滥觞与控制：城管泛化的逻辑与治理》（《跨越与传承-中国。芬兰环境与资源保护法律制度比较研究》，中国科学技术大学出版社）等多篇，在《民事法律文件解读》、《人民法院报》等有案例分析文章发表。</w:t>
      </w:r>
    </w:p>
  </w:footnote>
  <w:footnote w:id="1">
    <w:p>
      <w:pPr>
        <w:pStyle w:val="2"/>
        <w:snapToGrid w:val="0"/>
        <w:rPr>
          <w:rFonts w:hint="default" w:eastAsiaTheme="minorEastAsia"/>
          <w:lang w:val="en-US" w:eastAsia="zh-CN"/>
        </w:rPr>
      </w:pPr>
      <w:r>
        <w:rPr>
          <w:rStyle w:val="5"/>
        </w:rPr>
        <w:footnoteRef/>
      </w:r>
      <w:r>
        <w:t xml:space="preserve"> </w:t>
      </w:r>
      <w:r>
        <w:rPr>
          <w:rFonts w:hint="eastAsia"/>
          <w:lang w:eastAsia="zh-CN"/>
        </w:rPr>
        <w:t>参见王利民</w:t>
      </w:r>
      <w:r>
        <w:rPr>
          <w:rFonts w:hint="eastAsia"/>
          <w:lang w:val="en-US" w:eastAsia="zh-CN"/>
        </w:rPr>
        <w:t xml:space="preserve"> 杨立新、王轶 程啸：《民法学》，法律出版社，2005年版第197页。</w:t>
      </w:r>
    </w:p>
  </w:footnote>
  <w:footnote w:id="2">
    <w:p>
      <w:pPr>
        <w:pStyle w:val="2"/>
        <w:snapToGrid w:val="0"/>
        <w:rPr>
          <w:rFonts w:hint="default" w:eastAsiaTheme="minorEastAsia"/>
          <w:lang w:val="en-US" w:eastAsia="zh-CN"/>
        </w:rPr>
      </w:pPr>
      <w:r>
        <w:rPr>
          <w:rStyle w:val="5"/>
        </w:rPr>
        <w:footnoteRef/>
      </w:r>
      <w:r>
        <w:t xml:space="preserve"> </w:t>
      </w:r>
      <w:r>
        <w:rPr>
          <w:rFonts w:hint="eastAsia"/>
          <w:lang w:val="en-US" w:eastAsia="zh-CN"/>
        </w:rPr>
        <w:t>Goeting/SCchert/Seitz Hrsg.Handbuch des Persoenlichkeitsrecht,2008,S.29.</w:t>
      </w:r>
    </w:p>
  </w:footnote>
  <w:footnote w:id="3">
    <w:p>
      <w:pPr>
        <w:pStyle w:val="2"/>
        <w:snapToGrid w:val="0"/>
        <w:rPr>
          <w:rFonts w:hint="default" w:eastAsiaTheme="minorEastAsia"/>
          <w:lang w:val="en-US" w:eastAsia="zh-CN"/>
        </w:rPr>
      </w:pPr>
      <w:r>
        <w:rPr>
          <w:rStyle w:val="5"/>
        </w:rPr>
        <w:footnoteRef/>
      </w:r>
      <w:r>
        <w:t xml:space="preserve"> </w:t>
      </w:r>
      <w:r>
        <w:rPr>
          <w:rFonts w:hint="eastAsia"/>
          <w:lang w:eastAsia="zh-CN"/>
        </w:rPr>
        <w:t>程啸：《侵权责任法》，法律出版社，</w:t>
      </w:r>
      <w:r>
        <w:rPr>
          <w:rFonts w:hint="eastAsia"/>
          <w:lang w:val="en-US" w:eastAsia="zh-CN"/>
        </w:rPr>
        <w:t>2015年版第124页。</w:t>
      </w:r>
    </w:p>
  </w:footnote>
  <w:footnote w:id="4">
    <w:p>
      <w:pPr>
        <w:pStyle w:val="2"/>
        <w:snapToGrid w:val="0"/>
        <w:rPr>
          <w:rFonts w:hint="default" w:eastAsiaTheme="minorEastAsia"/>
          <w:lang w:val="en-US" w:eastAsia="zh-CN"/>
        </w:rPr>
      </w:pPr>
      <w:r>
        <w:rPr>
          <w:rStyle w:val="5"/>
        </w:rPr>
        <w:footnoteRef/>
      </w:r>
      <w:r>
        <w:t xml:space="preserve"> </w:t>
      </w:r>
      <w:r>
        <w:rPr>
          <w:rFonts w:hint="eastAsia"/>
          <w:lang w:eastAsia="zh-CN"/>
        </w:rPr>
        <w:t>同上注</w:t>
      </w:r>
      <w:r>
        <w:rPr>
          <w:rFonts w:hint="eastAsia"/>
          <w:lang w:val="en-US" w:eastAsia="zh-CN"/>
        </w:rPr>
        <w:t>1第205页。</w:t>
      </w:r>
    </w:p>
  </w:footnote>
  <w:footnote w:id="5">
    <w:p>
      <w:pPr>
        <w:pStyle w:val="2"/>
        <w:snapToGrid w:val="0"/>
      </w:pPr>
      <w:r>
        <w:rPr>
          <w:rStyle w:val="5"/>
        </w:rPr>
        <w:footnoteRef/>
      </w:r>
      <w:r>
        <w:t xml:space="preserve"> </w:t>
      </w:r>
      <w:r>
        <w:rPr>
          <w:rFonts w:hint="eastAsia"/>
          <w:lang w:eastAsia="zh-CN"/>
        </w:rPr>
        <w:t>参见王利民</w:t>
      </w:r>
      <w:r>
        <w:rPr>
          <w:rFonts w:hint="eastAsia"/>
          <w:lang w:val="en-US" w:eastAsia="zh-CN"/>
        </w:rPr>
        <w:t xml:space="preserve"> 杨立新、王轶 程啸：《民法学》，法律出版社，2005年版第64页</w:t>
      </w:r>
    </w:p>
  </w:footnote>
  <w:footnote w:id="6">
    <w:p>
      <w:pPr>
        <w:pStyle w:val="2"/>
        <w:snapToGrid w:val="0"/>
        <w:rPr>
          <w:rFonts w:hint="default" w:eastAsiaTheme="minorEastAsia"/>
          <w:lang w:val="en-US" w:eastAsia="zh-CN"/>
        </w:rPr>
      </w:pPr>
      <w:r>
        <w:rPr>
          <w:rStyle w:val="5"/>
        </w:rPr>
        <w:footnoteRef/>
      </w:r>
      <w:r>
        <w:t xml:space="preserve"> </w:t>
      </w:r>
      <w:r>
        <w:rPr>
          <w:rFonts w:hint="eastAsia"/>
          <w:lang w:eastAsia="zh-CN"/>
        </w:rPr>
        <w:t>杨大文：《亲属法》，法律出版社，</w:t>
      </w:r>
      <w:r>
        <w:rPr>
          <w:rFonts w:hint="eastAsia"/>
          <w:lang w:val="en-US" w:eastAsia="zh-CN"/>
        </w:rPr>
        <w:t>2004年版（第4版）第267页。</w:t>
      </w:r>
    </w:p>
  </w:footnote>
  <w:footnote w:id="7">
    <w:p>
      <w:pPr>
        <w:pStyle w:val="2"/>
        <w:snapToGrid w:val="0"/>
        <w:rPr>
          <w:rFonts w:hint="eastAsia" w:eastAsiaTheme="minorEastAsia"/>
          <w:lang w:eastAsia="zh-CN"/>
        </w:rPr>
      </w:pPr>
      <w:r>
        <w:rPr>
          <w:rStyle w:val="5"/>
        </w:rPr>
        <w:footnoteRef/>
      </w:r>
      <w:r>
        <w:t xml:space="preserve"> </w:t>
      </w:r>
      <w:r>
        <w:rPr>
          <w:rFonts w:hint="eastAsia"/>
          <w:lang w:eastAsia="zh-CN"/>
        </w:rPr>
        <w:t>由于这一疏漏，导致原告本案经一二审终结后，本案原告又以同一事实，以其子女为被告，请求其子女承担“名誉权”损害赔偿责任。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0EAD1"/>
    <w:multiLevelType w:val="singleLevel"/>
    <w:tmpl w:val="C960EA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F37F8"/>
    <w:rsid w:val="03383E88"/>
    <w:rsid w:val="03A5552B"/>
    <w:rsid w:val="05AB2895"/>
    <w:rsid w:val="06243CB4"/>
    <w:rsid w:val="09707739"/>
    <w:rsid w:val="09E807D7"/>
    <w:rsid w:val="0BC1023D"/>
    <w:rsid w:val="0C6C25E3"/>
    <w:rsid w:val="0CBE693B"/>
    <w:rsid w:val="164B0BA2"/>
    <w:rsid w:val="1C676F21"/>
    <w:rsid w:val="243F0A32"/>
    <w:rsid w:val="28BD345B"/>
    <w:rsid w:val="2CEE73AB"/>
    <w:rsid w:val="2DBE3C4A"/>
    <w:rsid w:val="2E191F25"/>
    <w:rsid w:val="30544417"/>
    <w:rsid w:val="308E0393"/>
    <w:rsid w:val="32D37E8C"/>
    <w:rsid w:val="3E633848"/>
    <w:rsid w:val="3FFA2E1B"/>
    <w:rsid w:val="4342153B"/>
    <w:rsid w:val="4BEF2D1B"/>
    <w:rsid w:val="4D3A5F70"/>
    <w:rsid w:val="54A4227C"/>
    <w:rsid w:val="575235F4"/>
    <w:rsid w:val="5AA9503D"/>
    <w:rsid w:val="642B0D9B"/>
    <w:rsid w:val="667C60BB"/>
    <w:rsid w:val="6717693A"/>
    <w:rsid w:val="684F37F8"/>
    <w:rsid w:val="70FA3852"/>
    <w:rsid w:val="711C20AD"/>
    <w:rsid w:val="72167752"/>
    <w:rsid w:val="72F65068"/>
    <w:rsid w:val="733A3AFB"/>
    <w:rsid w:val="76305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2022-03-13T02:59:00Z</dcterms:created>
  <dc:creator>Administrator</dc:creator>
  <cp:lastModifiedBy>Administrator</cp:lastModifiedBy>
  <dcterms:modified xsi:type="dcterms:W3CDTF">2022-03-30T14:45:13Z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