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rPr>
          <w:rFonts w:hint="eastAsia" w:ascii="宋体" w:hAnsi="宋体" w:eastAsia="宋体" w:cs="宋体"/>
          <w:sz w:val="44"/>
          <w:szCs w:val="44"/>
          <w:lang w:val="en-US" w:eastAsia="zh-CN"/>
        </w:rPr>
      </w:pPr>
      <w:r>
        <w:rPr>
          <w:rFonts w:hint="eastAsia" w:ascii="宋体" w:hAnsi="宋体" w:eastAsia="宋体" w:cs="宋体"/>
          <w:color w:val="000000"/>
          <w:sz w:val="44"/>
          <w:szCs w:val="44"/>
          <w:lang w:eastAsia="zh-CN"/>
        </w:rPr>
        <w:t>廖克祥等诉丰都县人民政府丰都县人民政府三合街道办事处</w:t>
      </w:r>
      <w:r>
        <w:rPr>
          <w:rFonts w:hint="eastAsia" w:ascii="宋体" w:hAnsi="宋体" w:eastAsia="宋体" w:cs="宋体"/>
          <w:kern w:val="0"/>
          <w:sz w:val="44"/>
          <w:szCs w:val="44"/>
          <w:lang w:eastAsia="zh-CN"/>
        </w:rPr>
        <w:t>等生命权案</w:t>
      </w:r>
    </w:p>
    <w:p>
      <w:pPr>
        <w:ind w:firstLine="880" w:firstLineChars="200"/>
        <w:rPr>
          <w:rFonts w:hint="eastAsia" w:ascii="宋体" w:hAnsi="宋体" w:eastAsia="宋体"/>
          <w:sz w:val="32"/>
          <w:szCs w:val="32"/>
          <w:lang w:val="en-US" w:eastAsia="zh-CN"/>
        </w:rPr>
      </w:pPr>
      <w:r>
        <w:rPr>
          <w:rFonts w:hint="eastAsia" w:ascii="宋体" w:hAnsi="宋体" w:eastAsia="宋体"/>
          <w:sz w:val="44"/>
          <w:szCs w:val="44"/>
          <w:lang w:val="en-US" w:eastAsia="zh-CN"/>
        </w:rPr>
        <w:t xml:space="preserve">         </w:t>
      </w:r>
    </w:p>
    <w:p>
      <w:pPr>
        <w:spacing w:line="360" w:lineRule="auto"/>
        <w:ind w:firstLine="640" w:firstLineChars="200"/>
        <w:rPr>
          <w:rFonts w:hint="default" w:ascii="宋体" w:hAnsi="宋体" w:eastAsia="宋体"/>
          <w:sz w:val="32"/>
          <w:szCs w:val="32"/>
          <w:lang w:val="en-US" w:eastAsia="zh-CN"/>
        </w:rPr>
      </w:pPr>
      <w:r>
        <w:rPr>
          <w:rFonts w:hint="eastAsia" w:ascii="宋体" w:hAnsi="宋体" w:eastAsia="宋体"/>
          <w:sz w:val="32"/>
          <w:szCs w:val="32"/>
          <w:lang w:val="en-US" w:eastAsia="zh-CN"/>
        </w:rPr>
        <w:t>裁判要旨：道路改造者是道路的所有人或管理人，系民事主体，对于改造道路不符合相应规定的安全标准，存在交通事故次生损害的，道路改造者应承担相应的赔偿责任</w:t>
      </w:r>
      <w:r>
        <w:rPr>
          <w:rFonts w:hint="eastAsia" w:ascii="Times New Roman" w:hAnsi="Times New Roman" w:eastAsia="黑体" w:cs="Times New Roman"/>
          <w:sz w:val="32"/>
          <w:szCs w:val="32"/>
          <w:lang w:eastAsia="zh-CN"/>
        </w:rPr>
        <w:t>。</w:t>
      </w:r>
    </w:p>
    <w:p>
      <w:pPr>
        <w:ind w:firstLine="640" w:firstLineChars="200"/>
        <w:rPr>
          <w:rFonts w:hint="eastAsia" w:ascii="黑体" w:hAnsi="黑体" w:eastAsia="黑体" w:cs="黑体"/>
          <w:sz w:val="32"/>
          <w:szCs w:val="32"/>
        </w:rPr>
      </w:pPr>
      <w:r>
        <w:rPr>
          <w:rFonts w:hint="eastAsia" w:ascii="Times New Roman" w:hAnsi="Times New Roman" w:eastAsia="黑体" w:cs="Times New Roman"/>
          <w:sz w:val="32"/>
          <w:szCs w:val="32"/>
          <w:lang w:eastAsia="zh-CN"/>
        </w:rPr>
        <w:t>（一）首部</w:t>
      </w:r>
    </w:p>
    <w:p>
      <w:pPr>
        <w:numPr>
          <w:ilvl w:val="0"/>
          <w:numId w:val="0"/>
        </w:numPr>
        <w:ind w:right="420" w:rightChars="200" w:firstLine="640"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1.</w:t>
      </w:r>
      <w:r>
        <w:rPr>
          <w:rFonts w:hint="eastAsia" w:ascii="黑体" w:hAnsi="黑体" w:eastAsia="黑体" w:cs="黑体"/>
          <w:sz w:val="32"/>
          <w:szCs w:val="32"/>
        </w:rPr>
        <w:t>判决书字号</w:t>
      </w:r>
    </w:p>
    <w:p>
      <w:pPr>
        <w:numPr>
          <w:ilvl w:val="0"/>
          <w:numId w:val="0"/>
        </w:numPr>
        <w:ind w:right="420" w:rightChars="200" w:firstLine="640" w:firstLineChars="200"/>
        <w:jc w:val="both"/>
        <w:rPr>
          <w:rFonts w:hint="eastAsia" w:ascii="仿宋" w:hAnsi="仿宋" w:eastAsia="仿宋"/>
          <w:sz w:val="32"/>
          <w:szCs w:val="32"/>
          <w:lang w:val="en-US" w:eastAsia="zh-CN"/>
        </w:rPr>
      </w:pPr>
      <w:r>
        <w:rPr>
          <w:rFonts w:hint="eastAsia" w:ascii="黑体" w:hAnsi="黑体" w:eastAsia="黑体" w:cs="黑体"/>
          <w:sz w:val="32"/>
          <w:szCs w:val="32"/>
          <w:lang w:eastAsia="zh-CN"/>
        </w:rPr>
        <w:t>一审判决书：</w:t>
      </w:r>
      <w:r>
        <w:rPr>
          <w:rFonts w:hint="eastAsia" w:ascii="黑体" w:hAnsi="黑体" w:eastAsia="黑体" w:cs="黑体"/>
          <w:sz w:val="32"/>
          <w:szCs w:val="32"/>
        </w:rPr>
        <w:t>重庆市</w:t>
      </w:r>
      <w:r>
        <w:rPr>
          <w:rFonts w:hint="eastAsia" w:ascii="黑体" w:hAnsi="黑体" w:eastAsia="黑体" w:cs="黑体"/>
          <w:sz w:val="32"/>
          <w:szCs w:val="32"/>
          <w:lang w:eastAsia="zh-CN"/>
        </w:rPr>
        <w:t>丰都县</w:t>
      </w:r>
      <w:r>
        <w:rPr>
          <w:rFonts w:hint="eastAsia" w:ascii="黑体" w:hAnsi="黑体" w:eastAsia="黑体" w:cs="黑体"/>
          <w:sz w:val="32"/>
          <w:szCs w:val="32"/>
        </w:rPr>
        <w:t>人民法院</w:t>
      </w: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)渝023初</w:t>
      </w:r>
      <w:r>
        <w:rPr>
          <w:rFonts w:hint="eastAsia" w:ascii="仿宋" w:hAnsi="仿宋" w:eastAsia="仿宋"/>
          <w:sz w:val="32"/>
          <w:szCs w:val="32"/>
          <w:lang w:val="en-US" w:eastAsia="zh-CN"/>
        </w:rPr>
        <w:t>4693</w:t>
      </w:r>
      <w:r>
        <w:rPr>
          <w:rFonts w:hint="eastAsia" w:ascii="仿宋" w:hAnsi="仿宋" w:eastAsia="仿宋"/>
          <w:sz w:val="32"/>
          <w:szCs w:val="32"/>
        </w:rPr>
        <w:t>号</w:t>
      </w:r>
      <w:r>
        <w:rPr>
          <w:rFonts w:hint="eastAsia" w:ascii="仿宋" w:hAnsi="仿宋" w:eastAsia="仿宋"/>
          <w:sz w:val="32"/>
          <w:szCs w:val="32"/>
          <w:lang w:eastAsia="zh-CN"/>
        </w:rPr>
        <w:t>。</w:t>
      </w:r>
    </w:p>
    <w:p>
      <w:pPr>
        <w:numPr>
          <w:ilvl w:val="0"/>
          <w:numId w:val="0"/>
        </w:numPr>
        <w:ind w:firstLine="640" w:firstLineChars="200"/>
        <w:rPr>
          <w:rFonts w:ascii="宋体" w:hAnsi="宋体" w:eastAsia="宋体" w:cs="宋体"/>
          <w:sz w:val="32"/>
          <w:szCs w:val="32"/>
        </w:rPr>
      </w:pPr>
      <w:r>
        <w:rPr>
          <w:rFonts w:hint="eastAsia" w:ascii="仿宋" w:hAnsi="仿宋" w:eastAsia="仿宋"/>
          <w:sz w:val="32"/>
          <w:szCs w:val="32"/>
          <w:lang w:eastAsia="zh-CN"/>
        </w:rPr>
        <w:t>二审判决书：重庆市第三中级人民法院（</w:t>
      </w:r>
      <w:r>
        <w:rPr>
          <w:rFonts w:hint="eastAsia" w:ascii="仿宋" w:hAnsi="仿宋" w:eastAsia="仿宋"/>
          <w:sz w:val="32"/>
          <w:szCs w:val="32"/>
          <w:lang w:val="en-US" w:eastAsia="zh-CN"/>
        </w:rPr>
        <w:t>2022</w:t>
      </w:r>
      <w:r>
        <w:rPr>
          <w:rFonts w:hint="eastAsia" w:ascii="仿宋" w:hAnsi="仿宋" w:eastAsia="仿宋"/>
          <w:sz w:val="32"/>
          <w:szCs w:val="32"/>
          <w:lang w:eastAsia="zh-CN"/>
        </w:rPr>
        <w:t xml:space="preserve">）渝 03 民终 </w:t>
      </w:r>
      <w:r>
        <w:rPr>
          <w:rFonts w:hint="eastAsia" w:ascii="仿宋" w:hAnsi="仿宋" w:eastAsia="仿宋"/>
          <w:sz w:val="32"/>
          <w:szCs w:val="32"/>
          <w:lang w:val="en-US" w:eastAsia="zh-CN"/>
        </w:rPr>
        <w:t>268</w:t>
      </w:r>
      <w:r>
        <w:rPr>
          <w:rFonts w:hint="eastAsia" w:ascii="仿宋" w:hAnsi="仿宋" w:eastAsia="仿宋"/>
          <w:sz w:val="32"/>
          <w:szCs w:val="32"/>
          <w:lang w:eastAsia="zh-CN"/>
        </w:rPr>
        <w:t xml:space="preserve"> 号 。</w:t>
      </w:r>
    </w:p>
    <w:p>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2.</w:t>
      </w:r>
      <w:r>
        <w:rPr>
          <w:rFonts w:hint="eastAsia" w:ascii="黑体" w:hAnsi="黑体" w:eastAsia="黑体" w:cs="黑体"/>
          <w:sz w:val="32"/>
          <w:szCs w:val="32"/>
        </w:rPr>
        <w:t>案由：</w:t>
      </w:r>
      <w:r>
        <w:rPr>
          <w:rFonts w:hint="eastAsia" w:ascii="黑体" w:hAnsi="黑体" w:eastAsia="黑体" w:cs="黑体"/>
          <w:sz w:val="32"/>
          <w:szCs w:val="32"/>
          <w:lang w:eastAsia="zh-CN"/>
        </w:rPr>
        <w:t>生命权纠纷</w:t>
      </w: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3.</w:t>
      </w:r>
      <w:r>
        <w:rPr>
          <w:rFonts w:hint="eastAsia" w:ascii="黑体" w:hAnsi="黑体" w:eastAsia="黑体" w:cs="黑体"/>
          <w:sz w:val="32"/>
          <w:szCs w:val="32"/>
        </w:rPr>
        <w:t>诉讼双方：</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原告：廖克祥、张福芳、</w:t>
      </w:r>
      <w:r>
        <w:rPr>
          <w:rFonts w:hint="eastAsia" w:ascii="仿宋_GB2312" w:hAnsi="仿宋_GB2312" w:eastAsia="仿宋_GB2312" w:cs="仿宋_GB2312"/>
          <w:kern w:val="0"/>
          <w:sz w:val="32"/>
          <w:szCs w:val="32"/>
          <w:lang w:val="en-US" w:eastAsia="zh-CN"/>
        </w:rPr>
        <w:t>冉永奎、冉玉美、冉玉珠、冉兴</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上列原告的共同委托代理人:李海平，重庆力隆律师事务所律师。</w:t>
      </w:r>
      <w:r>
        <w:rPr>
          <w:rFonts w:hint="eastAsia" w:ascii="仿宋_GB2312" w:hAnsi="仿宋_GB2312" w:eastAsia="仿宋_GB2312" w:cs="仿宋_GB2312"/>
          <w:kern w:val="0"/>
          <w:sz w:val="32"/>
          <w:szCs w:val="32"/>
        </w:rPr>
        <w:cr/>
      </w:r>
      <w:r>
        <w:rPr>
          <w:rFonts w:hint="eastAsia" w:ascii="仿宋_GB2312" w:hAnsi="仿宋_GB2312" w:eastAsia="仿宋_GB2312" w:cs="仿宋_GB2312"/>
          <w:kern w:val="0"/>
          <w:sz w:val="32"/>
          <w:szCs w:val="32"/>
        </w:rPr>
        <w:t xml:space="preserve">    被告：</w:t>
      </w:r>
      <w:r>
        <w:rPr>
          <w:rFonts w:hint="eastAsia" w:ascii="仿宋_GB2312" w:hAnsi="仿宋_GB2312" w:eastAsia="仿宋_GB2312" w:cs="仿宋_GB2312"/>
          <w:kern w:val="0"/>
          <w:sz w:val="32"/>
          <w:szCs w:val="32"/>
          <w:lang w:eastAsia="zh-CN"/>
        </w:rPr>
        <w:t>丰都县人民政府丰都县人民政府三合街道办事处。</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法定代表人：陈明武，主任。</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委托诉讼代理人：严庆龄，女，单位职工。</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委托诉讼代理人：李谊，重庆天宇三星律师事务所律师。</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被告：丰都县三合街道鹿鸣岩村村民委员会。</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法定代表人：文万财，负责人。</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被告：丰都县三合街道农业服务中心（简称丰都县三合街道农业服务中心）。</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法定代表人：隆杰，主任。</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委托诉讼代理人：张河，男，单位职工。</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被告：重庆市丰都县交通建设工程有限公司。</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法定代表人：陈文波，执行董事。</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委托诉讼代理人：蔡昌鑫，重庆天宇三星律师事务所律师。</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委托诉讼代理人：郎娟，重庆天宇三星律师事务所律师。</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被告：胡青勇</w:t>
      </w:r>
      <w:r>
        <w:rPr>
          <w:rFonts w:hint="eastAsia" w:ascii="仿宋_GB2312" w:hAnsi="仿宋_GB2312" w:eastAsia="仿宋_GB2312" w:cs="仿宋_GB2312"/>
          <w:kern w:val="0"/>
          <w:sz w:val="32"/>
          <w:szCs w:val="32"/>
          <w:lang w:val="en-US" w:eastAsia="zh-CN"/>
        </w:rPr>
        <w:t>。</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委托诉讼代理人：夏明亮，重庆洪宇律师事务所律师。</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第三人：王飞、王德荣暨王飞的法定代理人、皮有妹。</w:t>
      </w:r>
    </w:p>
    <w:p>
      <w:pPr>
        <w:numPr>
          <w:numId w:val="0"/>
        </w:numPr>
        <w:spacing w:line="54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4.审级：二审</w:t>
      </w:r>
    </w:p>
    <w:p>
      <w:pPr>
        <w:numPr>
          <w:numId w:val="0"/>
        </w:numPr>
        <w:spacing w:line="540" w:lineRule="exact"/>
        <w:ind w:firstLine="640" w:firstLineChars="200"/>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5.审判机关和审判组织</w:t>
      </w:r>
    </w:p>
    <w:p>
      <w:pPr>
        <w:numPr>
          <w:ilvl w:val="0"/>
          <w:numId w:val="0"/>
        </w:numPr>
        <w:spacing w:line="54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一审法院：重庆市丰都县人民法院。</w:t>
      </w:r>
    </w:p>
    <w:p>
      <w:pPr>
        <w:numPr>
          <w:ilvl w:val="0"/>
          <w:numId w:val="0"/>
        </w:numPr>
        <w:spacing w:line="54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 xml:space="preserve">审判长：江彪 审判员 余孝安 李晓林 。 </w:t>
      </w:r>
    </w:p>
    <w:p>
      <w:pPr>
        <w:numPr>
          <w:ilvl w:val="0"/>
          <w:numId w:val="0"/>
        </w:numPr>
        <w:spacing w:line="54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 xml:space="preserve"> 二审法院：重庆市第三中级人民法院。</w:t>
      </w:r>
    </w:p>
    <w:p>
      <w:pPr>
        <w:numPr>
          <w:ilvl w:val="0"/>
          <w:numId w:val="0"/>
        </w:numPr>
        <w:spacing w:line="54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 xml:space="preserve"> 合议庭成员：审判长：张斌 审判员：陈胜友 杨洋 。    </w:t>
      </w:r>
    </w:p>
    <w:p>
      <w:pPr>
        <w:numPr>
          <w:numId w:val="0"/>
        </w:numPr>
        <w:spacing w:line="540" w:lineRule="exact"/>
        <w:ind w:leftChars="200" w:firstLine="320" w:firstLineChars="1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6.审结时间</w:t>
      </w:r>
    </w:p>
    <w:p>
      <w:pPr>
        <w:numPr>
          <w:ilvl w:val="0"/>
          <w:numId w:val="0"/>
        </w:numPr>
        <w:spacing w:line="54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一审审结时间：2021年12月16日</w:t>
      </w:r>
    </w:p>
    <w:p>
      <w:pPr>
        <w:numPr>
          <w:ilvl w:val="0"/>
          <w:numId w:val="0"/>
        </w:numPr>
        <w:spacing w:line="540" w:lineRule="exact"/>
        <w:ind w:firstLine="640" w:firstLineChars="200"/>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二审审结时间：2022年3月30日</w:t>
      </w:r>
    </w:p>
    <w:p>
      <w:pPr>
        <w:numPr>
          <w:numId w:val="0"/>
        </w:numPr>
        <w:spacing w:line="360" w:lineRule="auto"/>
        <w:ind w:leftChars="200" w:firstLine="320" w:firstLineChars="1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（二）一审情况</w:t>
      </w:r>
    </w:p>
    <w:p>
      <w:pPr>
        <w:numPr>
          <w:numId w:val="0"/>
        </w:numPr>
        <w:spacing w:line="360" w:lineRule="auto"/>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1.一审诉辩主张</w:t>
      </w:r>
    </w:p>
    <w:p>
      <w:pPr>
        <w:autoSpaceDE w:val="0"/>
        <w:autoSpaceDN w:val="0"/>
        <w:adjustRightInd w:val="0"/>
        <w:ind w:firstLine="640" w:firstLineChars="200"/>
        <w:rPr>
          <w:rFonts w:hint="eastAsia" w:ascii="仿宋_GB2312" w:hAnsi="仿宋_GB2312" w:eastAsia="仿宋_GB2312" w:cs="仿宋_GB2312"/>
          <w:kern w:val="0"/>
          <w:sz w:val="32"/>
          <w:szCs w:val="32"/>
        </w:rPr>
      </w:pPr>
      <w:r>
        <w:rPr>
          <w:rFonts w:hint="eastAsia" w:ascii="Times New Roman" w:hAnsi="Times New Roman" w:eastAsia="黑体" w:cs="Times New Roman"/>
          <w:sz w:val="32"/>
          <w:szCs w:val="32"/>
          <w:lang w:val="en-US" w:eastAsia="zh-CN"/>
        </w:rPr>
        <w:t>原告</w:t>
      </w:r>
      <w:r>
        <w:rPr>
          <w:rFonts w:hint="eastAsia" w:ascii="仿宋_GB2312" w:hAnsi="仿宋_GB2312" w:eastAsia="仿宋_GB2312" w:cs="仿宋_GB2312"/>
          <w:kern w:val="0"/>
          <w:sz w:val="32"/>
          <w:szCs w:val="32"/>
          <w:lang w:eastAsia="zh-CN"/>
        </w:rPr>
        <w:t>廖克祥诉称</w:t>
      </w:r>
    </w:p>
    <w:p>
      <w:pPr>
        <w:autoSpaceDE w:val="0"/>
        <w:autoSpaceDN w:val="0"/>
        <w:adjustRightInd w:val="0"/>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2020年10月21日7时53分许，杨义兰驾驶渝A6HW20轻型仓栅式货车载廖昌莲、周兴梅、冉永雄、王德碧、黄卓程、王阳、周兰碧从丰都县三合街道汇南场出发到丰都县包鸾镇红花坡村，当车行驶至丰都县三合街道鹿鸣岩村土门子水库堤坝时，车辆后滑入水库，造成杨义兰、廖昌莲、周兴梅、冉永雄、王德碧、黄卓程、王阳、周兰碧死亡的重大交通事故。事故发生后，重庆市丰都县公安局交通巡逻警察大队认定，杨义兰为全部过错，负事故全部责任，廖昌莲、周兴梅、冉永雄、王德碧、黄卓程、王阳、周兰碧无过错，不负事故责任。事故认定，虽分析系杨义兰操作不当，明显超员是事故发生的直接原因，但分析漏列该路段没有设置警示标志和安全防护措施事实是导致事故的原因事实。该路段</w:t>
      </w:r>
      <w:r>
        <w:rPr>
          <w:rFonts w:hint="eastAsia" w:ascii="仿宋_GB2312" w:hAnsi="仿宋_GB2312" w:eastAsia="仿宋_GB2312" w:cs="仿宋_GB2312"/>
          <w:kern w:val="0"/>
          <w:sz w:val="32"/>
          <w:szCs w:val="32"/>
          <w:lang w:eastAsia="zh-CN"/>
        </w:rPr>
        <w:t>丰都县人民政府三合街道办事处、</w:t>
      </w:r>
      <w:r>
        <w:rPr>
          <w:rFonts w:hint="eastAsia" w:ascii="仿宋_GB2312" w:hAnsi="仿宋_GB2312" w:eastAsia="仿宋_GB2312" w:cs="仿宋_GB2312"/>
          <w:kern w:val="0"/>
          <w:sz w:val="32"/>
          <w:szCs w:val="32"/>
          <w:lang w:val="en-US" w:eastAsia="zh-CN"/>
        </w:rPr>
        <w:t>鹿鸣岩村民委员会、丰都县三合街道农业服务中心、重庆市丰都县交通建设工程有限公司是该路段的建设、管理单位，由此应承担赔偿责任。</w:t>
      </w:r>
      <w:r>
        <w:rPr>
          <w:rFonts w:hint="eastAsia" w:ascii="仿宋_GB2312" w:hAnsi="仿宋_GB2312" w:eastAsia="仿宋_GB2312" w:cs="仿宋_GB2312"/>
          <w:kern w:val="0"/>
          <w:sz w:val="32"/>
          <w:szCs w:val="32"/>
          <w:lang w:eastAsia="zh-CN"/>
        </w:rPr>
        <w:t>胡青勇设置障碍也应承但赔偿责任。事故发生后丰都县人民政府三合街道办事处赔偿了</w:t>
      </w:r>
      <w:r>
        <w:rPr>
          <w:rFonts w:hint="eastAsia" w:ascii="仿宋_GB2312" w:hAnsi="仿宋_GB2312" w:eastAsia="仿宋_GB2312" w:cs="仿宋_GB2312"/>
          <w:kern w:val="0"/>
          <w:sz w:val="32"/>
          <w:szCs w:val="32"/>
          <w:lang w:val="en-US" w:eastAsia="zh-CN"/>
        </w:rPr>
        <w:t>8名死者的丧葬费各2万元。请求</w:t>
      </w:r>
      <w:r>
        <w:rPr>
          <w:rFonts w:hint="eastAsia" w:ascii="仿宋_GB2312" w:hAnsi="仿宋_GB2312" w:eastAsia="仿宋_GB2312" w:cs="仿宋_GB2312"/>
          <w:kern w:val="0"/>
          <w:sz w:val="32"/>
          <w:szCs w:val="32"/>
          <w:lang w:eastAsia="zh-CN"/>
        </w:rPr>
        <w:t>判令被告连带赔偿原告廖克等</w:t>
      </w:r>
      <w:r>
        <w:rPr>
          <w:rFonts w:hint="eastAsia" w:ascii="仿宋_GB2312" w:hAnsi="仿宋_GB2312" w:eastAsia="仿宋_GB2312" w:cs="仿宋_GB2312"/>
          <w:kern w:val="0"/>
          <w:sz w:val="32"/>
          <w:szCs w:val="32"/>
          <w:lang w:val="en-US" w:eastAsia="zh-CN"/>
        </w:rPr>
        <w:t>经济损失552,445元，诉讼费由被告承担</w:t>
      </w:r>
      <w:r>
        <w:rPr>
          <w:rFonts w:hint="eastAsia" w:ascii="仿宋_GB2312" w:hAnsi="仿宋_GB2312" w:eastAsia="仿宋_GB2312" w:cs="仿宋_GB2312"/>
          <w:kern w:val="0"/>
          <w:sz w:val="32"/>
          <w:szCs w:val="32"/>
          <w:lang w:eastAsia="zh-CN"/>
        </w:rPr>
        <w:t>。</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被告丰都县人民政府三合街道办事处辩称</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发生交通事故属实，补偿的金额属实</w:t>
      </w:r>
      <w:r>
        <w:rPr>
          <w:rFonts w:hint="eastAsia" w:ascii="仿宋_GB2312" w:hAnsi="仿宋_GB2312" w:eastAsia="仿宋_GB2312" w:cs="仿宋_GB2312"/>
          <w:kern w:val="0"/>
          <w:sz w:val="32"/>
          <w:szCs w:val="32"/>
          <w:lang w:val="en-US" w:eastAsia="zh-CN"/>
        </w:rPr>
        <w:t>。本案本应是交通事故责任纠纷，事故的原因是杨义兰操作不当，明显超员的原因导致，且本办事处无管理责任。原告以生命权纠纷起诉，赔偿标准应是农村人口标准。综上，请求驳回原告的诉讼请求。</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被告鹿鸣岩村村民委员会未作答辩。</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被告丰都县三合街道农业服务中心</w:t>
      </w:r>
      <w:r>
        <w:rPr>
          <w:rFonts w:hint="eastAsia" w:ascii="仿宋_GB2312" w:hAnsi="仿宋_GB2312" w:eastAsia="仿宋_GB2312" w:cs="仿宋_GB2312"/>
          <w:kern w:val="0"/>
          <w:sz w:val="32"/>
          <w:szCs w:val="32"/>
          <w:lang w:eastAsia="zh-CN"/>
        </w:rPr>
        <w:t>辩称</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事故发生路段相连的是山坪塘，并非水库，事故发生与本服务中心无联系，不应承担责任。</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被告重庆市丰都县交通建设工程有限公司</w:t>
      </w:r>
      <w:r>
        <w:rPr>
          <w:rFonts w:hint="eastAsia" w:ascii="仿宋_GB2312" w:hAnsi="仿宋_GB2312" w:eastAsia="仿宋_GB2312" w:cs="仿宋_GB2312"/>
          <w:kern w:val="0"/>
          <w:sz w:val="32"/>
          <w:szCs w:val="32"/>
          <w:lang w:eastAsia="zh-CN"/>
        </w:rPr>
        <w:t>辩称</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本公司是该路段改造工程的施工单位，且按设计施工要求及标准完成了施工，并经验收合格交付使用，不存在质量问题，与事故的发生没有因果关系，不应承担赔偿责任。应驳回原告的诉讼请求。</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被告胡青勇辩称</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发生交通事故属实，但交通事故与本人无任何关联性</w:t>
      </w:r>
      <w:r>
        <w:rPr>
          <w:rFonts w:hint="eastAsia" w:ascii="仿宋_GB2312" w:hAnsi="仿宋_GB2312" w:eastAsia="仿宋_GB2312" w:cs="仿宋_GB2312"/>
          <w:kern w:val="0"/>
          <w:sz w:val="32"/>
          <w:szCs w:val="32"/>
          <w:lang w:val="en-US" w:eastAsia="zh-CN"/>
        </w:rPr>
        <w:t>。事故责任书已对事故的原因及责任进行了认定。据此，应驳回原告的诉讼请求。</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第三人王德荣暨第三人王飞的法定代理人述称</w:t>
      </w:r>
      <w:bookmarkStart w:id="0" w:name="_GoBack"/>
      <w:bookmarkEnd w:id="0"/>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对发生交通事故无异议。</w:t>
      </w:r>
    </w:p>
    <w:p>
      <w:pPr>
        <w:autoSpaceDE w:val="0"/>
        <w:autoSpaceDN w:val="0"/>
        <w:adjustRightInd w:val="0"/>
        <w:spacing w:line="62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第三人皮有妹未作陈述。</w:t>
      </w:r>
    </w:p>
    <w:p>
      <w:pPr>
        <w:autoSpaceDE w:val="0"/>
        <w:autoSpaceDN w:val="0"/>
        <w:adjustRightInd w:val="0"/>
        <w:ind w:firstLine="640" w:firstLineChars="200"/>
        <w:rPr>
          <w:rFonts w:hint="eastAsia" w:ascii="仿宋_GB2312" w:hAnsi="仿宋_GB2312" w:eastAsia="仿宋_GB2312" w:cs="仿宋_GB2312"/>
          <w:kern w:val="0"/>
          <w:sz w:val="32"/>
          <w:szCs w:val="32"/>
          <w:lang w:val="en-US" w:eastAsia="zh-CN"/>
        </w:rPr>
      </w:pP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2.一审事实与证据</w:t>
      </w:r>
    </w:p>
    <w:p>
      <w:pPr>
        <w:pStyle w:val="6"/>
        <w:keepNext w:val="0"/>
        <w:keepLines w:val="0"/>
        <w:pageBreakBefore w:val="0"/>
        <w:kinsoku/>
        <w:overflowPunct/>
        <w:topLinePunct w:val="0"/>
        <w:autoSpaceDE/>
        <w:autoSpaceDN/>
        <w:bidi w:val="0"/>
        <w:adjustRightInd/>
        <w:snapToGrid/>
        <w:spacing w:beforeAutospacing="0" w:afterAutospacing="0" w:line="620"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color w:val="000000"/>
          <w:sz w:val="32"/>
          <w:szCs w:val="32"/>
          <w:lang w:eastAsia="zh-CN"/>
        </w:rPr>
        <w:t>重庆市丰都县人民法院审理查明：</w:t>
      </w:r>
      <w:r>
        <w:rPr>
          <w:rFonts w:hint="eastAsia" w:ascii="仿宋_GB2312" w:hAnsi="仿宋_GB2312" w:eastAsia="仿宋_GB2312" w:cs="仿宋_GB2312"/>
          <w:b w:val="0"/>
          <w:bCs w:val="0"/>
          <w:color w:val="auto"/>
          <w:sz w:val="32"/>
          <w:szCs w:val="32"/>
          <w:lang w:eastAsia="zh-CN"/>
        </w:rPr>
        <w:t>死者</w:t>
      </w:r>
      <w:r>
        <w:rPr>
          <w:rFonts w:hint="eastAsia" w:ascii="仿宋_GB2312" w:hAnsi="仿宋_GB2312" w:eastAsia="仿宋_GB2312" w:cs="仿宋_GB2312"/>
          <w:kern w:val="0"/>
          <w:sz w:val="32"/>
          <w:szCs w:val="32"/>
          <w:lang w:val="en-US" w:eastAsia="zh-CN"/>
        </w:rPr>
        <w:t>廖昌莲</w:t>
      </w:r>
      <w:r>
        <w:rPr>
          <w:rFonts w:hint="eastAsia" w:ascii="仿宋_GB2312" w:hAnsi="仿宋_GB2312" w:eastAsia="仿宋_GB2312" w:cs="仿宋_GB2312"/>
          <w:b w:val="0"/>
          <w:i w:val="0"/>
          <w:caps w:val="0"/>
          <w:color w:val="auto"/>
          <w:spacing w:val="0"/>
          <w:sz w:val="32"/>
          <w:szCs w:val="32"/>
          <w:lang w:eastAsia="zh-CN"/>
        </w:rPr>
        <w:t>系</w:t>
      </w:r>
      <w:r>
        <w:rPr>
          <w:rFonts w:hint="eastAsia" w:ascii="仿宋_GB2312" w:hAnsi="仿宋_GB2312" w:eastAsia="仿宋_GB2312" w:cs="仿宋_GB2312"/>
          <w:kern w:val="0"/>
          <w:sz w:val="32"/>
          <w:szCs w:val="32"/>
          <w:lang w:val="en-US" w:eastAsia="zh-CN"/>
        </w:rPr>
        <w:t>冉永奎</w:t>
      </w:r>
      <w:r>
        <w:rPr>
          <w:rFonts w:hint="eastAsia" w:ascii="仿宋_GB2312" w:hAnsi="仿宋_GB2312" w:eastAsia="仿宋_GB2312" w:cs="仿宋_GB2312"/>
          <w:color w:val="auto"/>
          <w:sz w:val="32"/>
          <w:szCs w:val="32"/>
          <w:lang w:eastAsia="zh-CN"/>
        </w:rPr>
        <w:t>之妻、</w:t>
      </w:r>
      <w:r>
        <w:rPr>
          <w:rFonts w:hint="eastAsia" w:ascii="仿宋_GB2312" w:hAnsi="仿宋_GB2312" w:eastAsia="仿宋_GB2312" w:cs="仿宋_GB2312"/>
          <w:kern w:val="0"/>
          <w:sz w:val="32"/>
          <w:szCs w:val="32"/>
          <w:lang w:eastAsia="zh-CN"/>
        </w:rPr>
        <w:t>廖克祥与张福芳之女</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冉玉美、冉玉珠、冉兴之母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kern w:val="0"/>
          <w:sz w:val="32"/>
          <w:szCs w:val="32"/>
          <w:lang w:val="en-US" w:eastAsia="zh-CN"/>
        </w:rPr>
        <w:t>廖昌莲于1973年9月23日出生。</w:t>
      </w:r>
      <w:r>
        <w:rPr>
          <w:rFonts w:hint="eastAsia" w:ascii="仿宋_GB2312" w:hAnsi="仿宋_GB2312" w:eastAsia="仿宋_GB2312" w:cs="仿宋_GB2312"/>
          <w:b w:val="0"/>
          <w:i w:val="0"/>
          <w:caps w:val="0"/>
          <w:color w:val="auto"/>
          <w:spacing w:val="0"/>
          <w:sz w:val="32"/>
          <w:szCs w:val="32"/>
        </w:rPr>
        <w:t>2020年10月21日7点53分，杨义兰</w:t>
      </w:r>
      <w:r>
        <w:rPr>
          <w:rFonts w:hint="eastAsia" w:ascii="仿宋_GB2312" w:hAnsi="仿宋_GB2312" w:eastAsia="仿宋_GB2312" w:cs="仿宋_GB2312"/>
          <w:b w:val="0"/>
          <w:i w:val="0"/>
          <w:caps w:val="0"/>
          <w:color w:val="auto"/>
          <w:spacing w:val="0"/>
          <w:sz w:val="32"/>
          <w:szCs w:val="32"/>
          <w:lang w:eastAsia="zh-CN"/>
        </w:rPr>
        <w:t>（</w:t>
      </w:r>
      <w:r>
        <w:rPr>
          <w:rFonts w:hint="eastAsia" w:ascii="仿宋_GB2312" w:hAnsi="仿宋_GB2312" w:eastAsia="仿宋_GB2312" w:cs="仿宋_GB2312"/>
          <w:b w:val="0"/>
          <w:bCs w:val="0"/>
          <w:color w:val="auto"/>
          <w:sz w:val="32"/>
          <w:szCs w:val="32"/>
          <w:lang w:eastAsia="zh-CN"/>
        </w:rPr>
        <w:t>准驾车型</w:t>
      </w:r>
      <w:r>
        <w:rPr>
          <w:rFonts w:hint="eastAsia" w:ascii="仿宋_GB2312" w:hAnsi="仿宋_GB2312" w:eastAsia="仿宋_GB2312" w:cs="仿宋_GB2312"/>
          <w:b w:val="0"/>
          <w:bCs w:val="0"/>
          <w:color w:val="auto"/>
          <w:sz w:val="32"/>
          <w:szCs w:val="32"/>
          <w:lang w:val="en-US" w:eastAsia="zh-CN"/>
        </w:rPr>
        <w:t>C1，有效期2015年12月7日至2021年12月7日）</w:t>
      </w:r>
      <w:r>
        <w:rPr>
          <w:rFonts w:hint="eastAsia" w:ascii="仿宋_GB2312" w:hAnsi="仿宋_GB2312" w:eastAsia="仿宋_GB2312" w:cs="仿宋_GB2312"/>
          <w:b w:val="0"/>
          <w:i w:val="0"/>
          <w:caps w:val="0"/>
          <w:color w:val="auto"/>
          <w:spacing w:val="0"/>
          <w:sz w:val="32"/>
          <w:szCs w:val="32"/>
        </w:rPr>
        <w:t>驾驶</w:t>
      </w:r>
      <w:r>
        <w:rPr>
          <w:rFonts w:hint="eastAsia" w:ascii="仿宋_GB2312" w:hAnsi="仿宋_GB2312" w:eastAsia="仿宋_GB2312" w:cs="仿宋_GB2312"/>
          <w:b w:val="0"/>
          <w:i w:val="0"/>
          <w:caps w:val="0"/>
          <w:color w:val="auto"/>
          <w:spacing w:val="0"/>
          <w:sz w:val="32"/>
          <w:szCs w:val="32"/>
          <w:lang w:eastAsia="zh-CN"/>
        </w:rPr>
        <w:t>其所有的</w:t>
      </w:r>
      <w:r>
        <w:rPr>
          <w:rFonts w:hint="eastAsia" w:ascii="仿宋_GB2312" w:hAnsi="仿宋_GB2312" w:eastAsia="仿宋_GB2312" w:cs="仿宋_GB2312"/>
          <w:b w:val="0"/>
          <w:i w:val="0"/>
          <w:caps w:val="0"/>
          <w:color w:val="auto"/>
          <w:spacing w:val="0"/>
          <w:sz w:val="32"/>
          <w:szCs w:val="32"/>
        </w:rPr>
        <w:t>渝A6HW20</w:t>
      </w:r>
      <w:r>
        <w:rPr>
          <w:rFonts w:hint="eastAsia" w:ascii="仿宋_GB2312" w:hAnsi="仿宋_GB2312" w:eastAsia="仿宋_GB2312" w:cs="仿宋_GB2312"/>
          <w:b w:val="0"/>
          <w:i w:val="0"/>
          <w:caps w:val="0"/>
          <w:color w:val="auto"/>
          <w:spacing w:val="0"/>
          <w:sz w:val="32"/>
          <w:szCs w:val="32"/>
          <w:lang w:eastAsia="zh-CN"/>
        </w:rPr>
        <w:t>号</w:t>
      </w:r>
      <w:r>
        <w:rPr>
          <w:rFonts w:hint="eastAsia" w:ascii="仿宋_GB2312" w:hAnsi="仿宋_GB2312" w:eastAsia="仿宋_GB2312" w:cs="仿宋_GB2312"/>
          <w:b w:val="0"/>
          <w:i w:val="0"/>
          <w:caps w:val="0"/>
          <w:color w:val="auto"/>
          <w:spacing w:val="0"/>
          <w:sz w:val="32"/>
          <w:szCs w:val="32"/>
        </w:rPr>
        <w:t>轻型仓栅式货车</w:t>
      </w:r>
      <w:r>
        <w:rPr>
          <w:rFonts w:hint="eastAsia" w:ascii="仿宋_GB2312" w:hAnsi="仿宋_GB2312" w:eastAsia="仿宋_GB2312" w:cs="仿宋_GB2312"/>
          <w:b w:val="0"/>
          <w:i w:val="0"/>
          <w:caps w:val="0"/>
          <w:color w:val="auto"/>
          <w:spacing w:val="0"/>
          <w:sz w:val="32"/>
          <w:szCs w:val="32"/>
          <w:lang w:eastAsia="zh-CN"/>
        </w:rPr>
        <w:t>（核载</w:t>
      </w:r>
      <w:r>
        <w:rPr>
          <w:rFonts w:hint="eastAsia" w:ascii="仿宋_GB2312" w:hAnsi="仿宋_GB2312" w:eastAsia="仿宋_GB2312" w:cs="仿宋_GB2312"/>
          <w:b w:val="0"/>
          <w:i w:val="0"/>
          <w:caps w:val="0"/>
          <w:color w:val="auto"/>
          <w:spacing w:val="0"/>
          <w:sz w:val="32"/>
          <w:szCs w:val="32"/>
          <w:lang w:val="en-US" w:eastAsia="zh-CN"/>
        </w:rPr>
        <w:t>5人，核载质量495KG）</w:t>
      </w:r>
      <w:r>
        <w:rPr>
          <w:rFonts w:hint="eastAsia" w:ascii="仿宋_GB2312" w:hAnsi="仿宋_GB2312" w:eastAsia="仿宋_GB2312" w:cs="仿宋_GB2312"/>
          <w:b w:val="0"/>
          <w:i w:val="0"/>
          <w:caps w:val="0"/>
          <w:color w:val="auto"/>
          <w:spacing w:val="0"/>
          <w:sz w:val="32"/>
          <w:szCs w:val="32"/>
        </w:rPr>
        <w:t>载冉永雄、王德碧、黄卓程、王阳、周兴梅、周兰碧、廖昌莲从</w:t>
      </w:r>
      <w:r>
        <w:rPr>
          <w:rFonts w:hint="eastAsia" w:ascii="仿宋_GB2312" w:hAnsi="仿宋_GB2312" w:eastAsia="仿宋_GB2312" w:cs="仿宋_GB2312"/>
          <w:b w:val="0"/>
          <w:i w:val="0"/>
          <w:caps w:val="0"/>
          <w:color w:val="auto"/>
          <w:spacing w:val="0"/>
          <w:sz w:val="32"/>
          <w:szCs w:val="32"/>
          <w:lang w:eastAsia="zh-CN"/>
        </w:rPr>
        <w:t>重庆市</w:t>
      </w:r>
      <w:r>
        <w:rPr>
          <w:rFonts w:hint="eastAsia" w:ascii="仿宋_GB2312" w:hAnsi="仿宋_GB2312" w:eastAsia="仿宋_GB2312" w:cs="仿宋_GB2312"/>
          <w:b w:val="0"/>
          <w:i w:val="0"/>
          <w:caps w:val="0"/>
          <w:color w:val="auto"/>
          <w:spacing w:val="0"/>
          <w:sz w:val="32"/>
          <w:szCs w:val="32"/>
        </w:rPr>
        <w:t>丰都县三合街道汇南场</w:t>
      </w:r>
      <w:r>
        <w:rPr>
          <w:rFonts w:hint="eastAsia" w:ascii="仿宋_GB2312" w:hAnsi="仿宋_GB2312" w:eastAsia="仿宋_GB2312" w:cs="仿宋_GB2312"/>
          <w:b w:val="0"/>
          <w:i w:val="0"/>
          <w:caps w:val="0"/>
          <w:color w:val="auto"/>
          <w:spacing w:val="0"/>
          <w:sz w:val="32"/>
          <w:szCs w:val="32"/>
          <w:lang w:eastAsia="zh-CN"/>
        </w:rPr>
        <w:t>镇</w:t>
      </w:r>
      <w:r>
        <w:rPr>
          <w:rFonts w:hint="eastAsia" w:ascii="仿宋_GB2312" w:hAnsi="仿宋_GB2312" w:eastAsia="仿宋_GB2312" w:cs="仿宋_GB2312"/>
          <w:b w:val="0"/>
          <w:i w:val="0"/>
          <w:caps w:val="0"/>
          <w:color w:val="auto"/>
          <w:spacing w:val="0"/>
          <w:sz w:val="32"/>
          <w:szCs w:val="32"/>
        </w:rPr>
        <w:t>出发</w:t>
      </w:r>
      <w:r>
        <w:rPr>
          <w:rFonts w:hint="eastAsia" w:ascii="仿宋_GB2312" w:hAnsi="仿宋_GB2312" w:eastAsia="仿宋_GB2312" w:cs="仿宋_GB2312"/>
          <w:b w:val="0"/>
          <w:i w:val="0"/>
          <w:caps w:val="0"/>
          <w:color w:val="auto"/>
          <w:spacing w:val="0"/>
          <w:sz w:val="32"/>
          <w:szCs w:val="32"/>
          <w:lang w:eastAsia="zh-CN"/>
        </w:rPr>
        <w:t>往</w:t>
      </w:r>
      <w:r>
        <w:rPr>
          <w:rFonts w:hint="eastAsia" w:ascii="仿宋_GB2312" w:hAnsi="仿宋_GB2312" w:eastAsia="仿宋_GB2312" w:cs="仿宋_GB2312"/>
          <w:b w:val="0"/>
          <w:i w:val="0"/>
          <w:caps w:val="0"/>
          <w:color w:val="auto"/>
          <w:spacing w:val="0"/>
          <w:sz w:val="32"/>
          <w:szCs w:val="32"/>
        </w:rPr>
        <w:t>丰都县包鸾镇红花坡村</w:t>
      </w:r>
      <w:r>
        <w:rPr>
          <w:rFonts w:hint="eastAsia" w:ascii="仿宋_GB2312" w:hAnsi="仿宋_GB2312" w:eastAsia="仿宋_GB2312" w:cs="仿宋_GB2312"/>
          <w:b w:val="0"/>
          <w:i w:val="0"/>
          <w:caps w:val="0"/>
          <w:color w:val="auto"/>
          <w:spacing w:val="0"/>
          <w:sz w:val="32"/>
          <w:szCs w:val="32"/>
          <w:lang w:eastAsia="zh-CN"/>
        </w:rPr>
        <w:t>方向行驶</w:t>
      </w:r>
      <w:r>
        <w:rPr>
          <w:rFonts w:hint="eastAsia" w:ascii="仿宋_GB2312" w:hAnsi="仿宋_GB2312" w:eastAsia="仿宋_GB2312" w:cs="仿宋_GB2312"/>
          <w:b w:val="0"/>
          <w:i w:val="0"/>
          <w:caps w:val="0"/>
          <w:color w:val="auto"/>
          <w:spacing w:val="0"/>
          <w:sz w:val="32"/>
          <w:szCs w:val="32"/>
        </w:rPr>
        <w:t>，当车行驶至丰都县三合街道鹿鸣岩村土门子</w:t>
      </w:r>
      <w:r>
        <w:rPr>
          <w:rFonts w:hint="eastAsia" w:ascii="仿宋_GB2312" w:hAnsi="仿宋_GB2312" w:eastAsia="仿宋_GB2312" w:cs="仿宋_GB2312"/>
          <w:b w:val="0"/>
          <w:i w:val="0"/>
          <w:caps w:val="0"/>
          <w:color w:val="auto"/>
          <w:spacing w:val="0"/>
          <w:sz w:val="32"/>
          <w:szCs w:val="32"/>
          <w:lang w:eastAsia="zh-CN"/>
        </w:rPr>
        <w:t>山坪塘</w:t>
      </w:r>
      <w:r>
        <w:rPr>
          <w:rFonts w:hint="eastAsia" w:ascii="仿宋_GB2312" w:hAnsi="仿宋_GB2312" w:eastAsia="仿宋_GB2312" w:cs="仿宋_GB2312"/>
          <w:b w:val="0"/>
          <w:i w:val="0"/>
          <w:caps w:val="0"/>
          <w:color w:val="auto"/>
          <w:spacing w:val="0"/>
          <w:sz w:val="32"/>
          <w:szCs w:val="32"/>
        </w:rPr>
        <w:t>堤坝时，车辆后溜滑入</w:t>
      </w:r>
      <w:r>
        <w:rPr>
          <w:rFonts w:hint="eastAsia" w:ascii="仿宋_GB2312" w:hAnsi="仿宋_GB2312" w:eastAsia="仿宋_GB2312" w:cs="仿宋_GB2312"/>
          <w:b w:val="0"/>
          <w:i w:val="0"/>
          <w:caps w:val="0"/>
          <w:color w:val="auto"/>
          <w:spacing w:val="0"/>
          <w:sz w:val="32"/>
          <w:szCs w:val="32"/>
          <w:lang w:eastAsia="zh-CN"/>
        </w:rPr>
        <w:t>山坪塘</w:t>
      </w:r>
      <w:r>
        <w:rPr>
          <w:rFonts w:hint="eastAsia" w:ascii="仿宋_GB2312" w:hAnsi="仿宋_GB2312" w:eastAsia="仿宋_GB2312" w:cs="仿宋_GB2312"/>
          <w:b w:val="0"/>
          <w:bCs w:val="0"/>
          <w:i w:val="0"/>
          <w:caps w:val="0"/>
          <w:color w:val="auto"/>
          <w:spacing w:val="0"/>
          <w:sz w:val="32"/>
          <w:szCs w:val="32"/>
          <w:lang w:eastAsia="zh-CN"/>
        </w:rPr>
        <w:t>（原土公路挨山坪塘的一边安装有高</w:t>
      </w:r>
      <w:r>
        <w:rPr>
          <w:rFonts w:hint="eastAsia" w:ascii="仿宋_GB2312" w:hAnsi="仿宋_GB2312" w:eastAsia="仿宋_GB2312" w:cs="仿宋_GB2312"/>
          <w:b w:val="0"/>
          <w:bCs w:val="0"/>
          <w:i w:val="0"/>
          <w:caps w:val="0"/>
          <w:color w:val="auto"/>
          <w:spacing w:val="0"/>
          <w:sz w:val="32"/>
          <w:szCs w:val="32"/>
          <w:lang w:val="en-US" w:eastAsia="zh-CN"/>
        </w:rPr>
        <w:t>30CM的防</w:t>
      </w:r>
      <w:r>
        <w:rPr>
          <w:rFonts w:hint="eastAsia" w:ascii="仿宋_GB2312" w:hAnsi="仿宋_GB2312" w:eastAsia="仿宋_GB2312" w:cs="仿宋_GB2312"/>
          <w:b w:val="0"/>
          <w:bCs w:val="0"/>
          <w:i w:val="0"/>
          <w:caps w:val="0"/>
          <w:color w:val="auto"/>
          <w:spacing w:val="0"/>
          <w:sz w:val="32"/>
          <w:szCs w:val="32"/>
          <w:lang w:eastAsia="zh-CN"/>
        </w:rPr>
        <w:t>护墩</w:t>
      </w:r>
      <w:r>
        <w:rPr>
          <w:rFonts w:hint="eastAsia" w:ascii="仿宋_GB2312" w:hAnsi="仿宋_GB2312" w:eastAsia="仿宋_GB2312" w:cs="仿宋_GB2312"/>
          <w:b w:val="0"/>
          <w:bCs w:val="0"/>
          <w:i w:val="0"/>
          <w:caps w:val="0"/>
          <w:color w:val="auto"/>
          <w:spacing w:val="0"/>
          <w:sz w:val="32"/>
          <w:szCs w:val="32"/>
        </w:rPr>
        <w:t>，</w:t>
      </w:r>
      <w:r>
        <w:rPr>
          <w:rFonts w:hint="eastAsia" w:ascii="仿宋_GB2312" w:hAnsi="仿宋_GB2312" w:eastAsia="仿宋_GB2312" w:cs="仿宋_GB2312"/>
          <w:b w:val="0"/>
          <w:bCs w:val="0"/>
          <w:i w:val="0"/>
          <w:caps w:val="0"/>
          <w:color w:val="auto"/>
          <w:spacing w:val="0"/>
          <w:sz w:val="32"/>
          <w:szCs w:val="32"/>
          <w:lang w:val="en-US" w:eastAsia="zh-CN"/>
        </w:rPr>
        <w:t>2017年</w:t>
      </w:r>
      <w:r>
        <w:rPr>
          <w:rFonts w:hint="eastAsia" w:ascii="仿宋_GB2312" w:hAnsi="仿宋_GB2312" w:eastAsia="仿宋_GB2312" w:cs="仿宋_GB2312"/>
          <w:b w:val="0"/>
          <w:bCs w:val="0"/>
          <w:sz w:val="32"/>
          <w:szCs w:val="32"/>
          <w:lang w:eastAsia="zh-CN"/>
        </w:rPr>
        <w:t>硬化成水泥路时因路基升高，</w:t>
      </w:r>
      <w:r>
        <w:rPr>
          <w:rFonts w:hint="eastAsia" w:ascii="仿宋_GB2312" w:hAnsi="仿宋_GB2312" w:eastAsia="仿宋_GB2312" w:cs="仿宋_GB2312"/>
          <w:b w:val="0"/>
          <w:bCs w:val="0"/>
          <w:i w:val="0"/>
          <w:caps w:val="0"/>
          <w:color w:val="auto"/>
          <w:spacing w:val="0"/>
          <w:sz w:val="32"/>
          <w:szCs w:val="32"/>
          <w:lang w:val="en-US" w:eastAsia="zh-CN"/>
        </w:rPr>
        <w:t>防</w:t>
      </w:r>
      <w:r>
        <w:rPr>
          <w:rFonts w:hint="eastAsia" w:ascii="仿宋_GB2312" w:hAnsi="仿宋_GB2312" w:eastAsia="仿宋_GB2312" w:cs="仿宋_GB2312"/>
          <w:b w:val="0"/>
          <w:bCs w:val="0"/>
          <w:i w:val="0"/>
          <w:caps w:val="0"/>
          <w:color w:val="auto"/>
          <w:spacing w:val="0"/>
          <w:sz w:val="32"/>
          <w:szCs w:val="32"/>
          <w:lang w:eastAsia="zh-CN"/>
        </w:rPr>
        <w:t>护墩只有</w:t>
      </w:r>
      <w:r>
        <w:rPr>
          <w:rFonts w:hint="eastAsia" w:ascii="仿宋_GB2312" w:hAnsi="仿宋_GB2312" w:eastAsia="仿宋_GB2312" w:cs="仿宋_GB2312"/>
          <w:b w:val="0"/>
          <w:bCs w:val="0"/>
          <w:i w:val="0"/>
          <w:caps w:val="0"/>
          <w:color w:val="auto"/>
          <w:spacing w:val="0"/>
          <w:sz w:val="32"/>
          <w:szCs w:val="32"/>
          <w:lang w:val="en-US" w:eastAsia="zh-CN"/>
        </w:rPr>
        <w:t>15CM左右。发生本次事故时，此路段无警示标志，也未安装防护设施）</w:t>
      </w:r>
      <w:r>
        <w:rPr>
          <w:rFonts w:hint="eastAsia" w:ascii="仿宋_GB2312" w:hAnsi="仿宋_GB2312" w:eastAsia="仿宋_GB2312" w:cs="仿宋_GB2312"/>
          <w:b w:val="0"/>
          <w:i w:val="0"/>
          <w:caps w:val="0"/>
          <w:color w:val="auto"/>
          <w:spacing w:val="0"/>
          <w:sz w:val="32"/>
          <w:szCs w:val="32"/>
        </w:rPr>
        <w:t>，造成驾驶员杨义兰及</w:t>
      </w:r>
      <w:r>
        <w:rPr>
          <w:rFonts w:hint="eastAsia" w:ascii="仿宋_GB2312" w:hAnsi="仿宋_GB2312" w:eastAsia="仿宋_GB2312" w:cs="仿宋_GB2312"/>
          <w:b w:val="0"/>
          <w:i w:val="0"/>
          <w:caps w:val="0"/>
          <w:color w:val="auto"/>
          <w:spacing w:val="0"/>
          <w:sz w:val="32"/>
          <w:szCs w:val="32"/>
          <w:lang w:eastAsia="zh-CN"/>
        </w:rPr>
        <w:t>车内</w:t>
      </w:r>
      <w:r>
        <w:rPr>
          <w:rFonts w:hint="eastAsia" w:ascii="仿宋_GB2312" w:hAnsi="仿宋_GB2312" w:eastAsia="仿宋_GB2312" w:cs="仿宋_GB2312"/>
          <w:b w:val="0"/>
          <w:i w:val="0"/>
          <w:caps w:val="0"/>
          <w:color w:val="auto"/>
          <w:spacing w:val="0"/>
          <w:sz w:val="32"/>
          <w:szCs w:val="32"/>
        </w:rPr>
        <w:t>乘客冉永雄</w:t>
      </w:r>
      <w:r>
        <w:rPr>
          <w:rFonts w:hint="eastAsia" w:ascii="仿宋_GB2312" w:hAnsi="仿宋_GB2312" w:eastAsia="仿宋_GB2312" w:cs="仿宋_GB2312"/>
          <w:b w:val="0"/>
          <w:i w:val="0"/>
          <w:caps w:val="0"/>
          <w:color w:val="auto"/>
          <w:spacing w:val="0"/>
          <w:sz w:val="32"/>
          <w:szCs w:val="32"/>
          <w:lang w:eastAsia="zh-CN"/>
        </w:rPr>
        <w:t>共</w:t>
      </w:r>
      <w:r>
        <w:rPr>
          <w:rFonts w:hint="eastAsia" w:ascii="仿宋_GB2312" w:hAnsi="仿宋_GB2312" w:eastAsia="仿宋_GB2312" w:cs="仿宋_GB2312"/>
          <w:b w:val="0"/>
          <w:i w:val="0"/>
          <w:caps w:val="0"/>
          <w:color w:val="auto"/>
          <w:spacing w:val="0"/>
          <w:sz w:val="32"/>
          <w:szCs w:val="32"/>
        </w:rPr>
        <w:t>8人溺水死亡</w:t>
      </w:r>
      <w:r>
        <w:rPr>
          <w:rFonts w:hint="eastAsia" w:ascii="仿宋_GB2312" w:hAnsi="仿宋_GB2312" w:eastAsia="仿宋_GB2312" w:cs="仿宋_GB2312"/>
          <w:b w:val="0"/>
          <w:i w:val="0"/>
          <w:caps w:val="0"/>
          <w:color w:val="auto"/>
          <w:spacing w:val="0"/>
          <w:sz w:val="32"/>
          <w:szCs w:val="32"/>
          <w:lang w:eastAsia="zh-CN"/>
        </w:rPr>
        <w:t>的事故</w:t>
      </w:r>
      <w:r>
        <w:rPr>
          <w:rFonts w:hint="eastAsia" w:ascii="仿宋_GB2312" w:hAnsi="仿宋_GB2312" w:eastAsia="仿宋_GB2312" w:cs="仿宋_GB2312"/>
          <w:b w:val="0"/>
          <w:i w:val="0"/>
          <w:caps w:val="0"/>
          <w:color w:val="auto"/>
          <w:spacing w:val="0"/>
          <w:sz w:val="32"/>
          <w:szCs w:val="32"/>
        </w:rPr>
        <w:t>。2021年1月30日</w:t>
      </w:r>
      <w:r>
        <w:rPr>
          <w:rFonts w:hint="eastAsia" w:ascii="仿宋_GB2312" w:hAnsi="仿宋_GB2312" w:eastAsia="仿宋_GB2312" w:cs="仿宋_GB2312"/>
          <w:b w:val="0"/>
          <w:i w:val="0"/>
          <w:caps w:val="0"/>
          <w:color w:val="auto"/>
          <w:spacing w:val="0"/>
          <w:sz w:val="32"/>
          <w:szCs w:val="32"/>
          <w:lang w:eastAsia="zh-CN"/>
        </w:rPr>
        <w:t>，经</w:t>
      </w:r>
      <w:r>
        <w:rPr>
          <w:rFonts w:hint="eastAsia" w:ascii="仿宋_GB2312" w:hAnsi="仿宋_GB2312" w:eastAsia="仿宋_GB2312" w:cs="仿宋_GB2312"/>
          <w:b w:val="0"/>
          <w:i w:val="0"/>
          <w:caps w:val="0"/>
          <w:color w:val="auto"/>
          <w:spacing w:val="0"/>
          <w:sz w:val="32"/>
          <w:szCs w:val="32"/>
        </w:rPr>
        <w:t>重庆市丰都县公安局交通巡逻警察大队事故认定，杨义兰</w:t>
      </w:r>
      <w:r>
        <w:rPr>
          <w:rFonts w:hint="eastAsia" w:ascii="仿宋_GB2312" w:hAnsi="仿宋_GB2312" w:eastAsia="仿宋_GB2312" w:cs="仿宋_GB2312"/>
          <w:b w:val="0"/>
          <w:i w:val="0"/>
          <w:caps w:val="0"/>
          <w:color w:val="auto"/>
          <w:spacing w:val="0"/>
          <w:sz w:val="32"/>
          <w:szCs w:val="32"/>
          <w:lang w:eastAsia="zh-CN"/>
        </w:rPr>
        <w:t>驾驶车辆</w:t>
      </w:r>
      <w:r>
        <w:rPr>
          <w:rFonts w:hint="eastAsia" w:ascii="仿宋_GB2312" w:hAnsi="仿宋_GB2312" w:eastAsia="仿宋_GB2312" w:cs="仿宋_GB2312"/>
          <w:b w:val="0"/>
          <w:i w:val="0"/>
          <w:caps w:val="0"/>
          <w:color w:val="auto"/>
          <w:spacing w:val="0"/>
          <w:sz w:val="32"/>
          <w:szCs w:val="32"/>
        </w:rPr>
        <w:t>在</w:t>
      </w:r>
      <w:r>
        <w:rPr>
          <w:rFonts w:hint="eastAsia" w:ascii="仿宋_GB2312" w:hAnsi="仿宋_GB2312" w:eastAsia="仿宋_GB2312" w:cs="仿宋_GB2312"/>
          <w:b w:val="0"/>
          <w:i w:val="0"/>
          <w:caps w:val="0"/>
          <w:color w:val="auto"/>
          <w:spacing w:val="0"/>
          <w:sz w:val="32"/>
          <w:szCs w:val="32"/>
          <w:lang w:eastAsia="zh-CN"/>
        </w:rPr>
        <w:t>行驶过程中操作措施明显不当，</w:t>
      </w:r>
      <w:r>
        <w:rPr>
          <w:rFonts w:hint="eastAsia" w:ascii="仿宋_GB2312" w:hAnsi="仿宋_GB2312" w:eastAsia="仿宋_GB2312" w:cs="仿宋_GB2312"/>
          <w:b w:val="0"/>
          <w:i w:val="0"/>
          <w:caps w:val="0"/>
          <w:color w:val="auto"/>
          <w:spacing w:val="0"/>
          <w:sz w:val="32"/>
          <w:szCs w:val="32"/>
        </w:rPr>
        <w:t>导致车辆后溜滑入水库</w:t>
      </w:r>
      <w:r>
        <w:rPr>
          <w:rFonts w:hint="eastAsia" w:ascii="仿宋_GB2312" w:hAnsi="仿宋_GB2312" w:eastAsia="仿宋_GB2312" w:cs="仿宋_GB2312"/>
          <w:b w:val="0"/>
          <w:i w:val="0"/>
          <w:caps w:val="0"/>
          <w:color w:val="auto"/>
          <w:spacing w:val="0"/>
          <w:sz w:val="32"/>
          <w:szCs w:val="32"/>
          <w:lang w:eastAsia="zh-CN"/>
        </w:rPr>
        <w:t>（实为山坪塘）。</w:t>
      </w:r>
      <w:r>
        <w:rPr>
          <w:rFonts w:hint="eastAsia" w:ascii="仿宋_GB2312" w:hAnsi="仿宋_GB2312" w:eastAsia="仿宋_GB2312" w:cs="仿宋_GB2312"/>
          <w:b w:val="0"/>
          <w:i w:val="0"/>
          <w:caps w:val="0"/>
          <w:color w:val="auto"/>
          <w:spacing w:val="0"/>
          <w:sz w:val="32"/>
          <w:szCs w:val="32"/>
        </w:rPr>
        <w:t>且车辆存在明显超员行为，其行为是造成事故发生的直接原因</w:t>
      </w:r>
      <w:r>
        <w:rPr>
          <w:rFonts w:hint="eastAsia" w:ascii="仿宋_GB2312" w:hAnsi="仿宋_GB2312" w:eastAsia="仿宋_GB2312" w:cs="仿宋_GB2312"/>
          <w:b w:val="0"/>
          <w:i w:val="0"/>
          <w:caps w:val="0"/>
          <w:color w:val="auto"/>
          <w:spacing w:val="0"/>
          <w:sz w:val="32"/>
          <w:szCs w:val="32"/>
          <w:lang w:val="en-US" w:eastAsia="zh-CN"/>
        </w:rPr>
        <w:t>,</w:t>
      </w:r>
      <w:r>
        <w:rPr>
          <w:rFonts w:hint="eastAsia" w:ascii="仿宋_GB2312" w:hAnsi="仿宋_GB2312" w:eastAsia="仿宋_GB2312" w:cs="仿宋_GB2312"/>
          <w:b w:val="0"/>
          <w:bCs w:val="0"/>
          <w:i w:val="0"/>
          <w:caps w:val="0"/>
          <w:color w:val="auto"/>
          <w:spacing w:val="0"/>
          <w:sz w:val="32"/>
          <w:szCs w:val="32"/>
        </w:rPr>
        <w:t>杨义兰</w:t>
      </w:r>
      <w:r>
        <w:rPr>
          <w:rFonts w:hint="eastAsia" w:ascii="仿宋_GB2312" w:hAnsi="仿宋_GB2312" w:eastAsia="仿宋_GB2312" w:cs="仿宋_GB2312"/>
          <w:b w:val="0"/>
          <w:bCs w:val="0"/>
          <w:i w:val="0"/>
          <w:caps w:val="0"/>
          <w:color w:val="auto"/>
          <w:spacing w:val="0"/>
          <w:sz w:val="32"/>
          <w:szCs w:val="32"/>
          <w:lang w:eastAsia="zh-CN"/>
        </w:rPr>
        <w:t>在</w:t>
      </w:r>
      <w:r>
        <w:rPr>
          <w:rFonts w:hint="eastAsia" w:ascii="仿宋_GB2312" w:hAnsi="仿宋_GB2312" w:eastAsia="仿宋_GB2312" w:cs="仿宋_GB2312"/>
          <w:b w:val="0"/>
          <w:bCs w:val="0"/>
          <w:i w:val="0"/>
          <w:caps w:val="0"/>
          <w:color w:val="auto"/>
          <w:spacing w:val="0"/>
          <w:sz w:val="32"/>
          <w:szCs w:val="32"/>
        </w:rPr>
        <w:t>此事故中为全部过错，负此次事故</w:t>
      </w:r>
      <w:r>
        <w:rPr>
          <w:rFonts w:hint="eastAsia" w:ascii="仿宋_GB2312" w:hAnsi="仿宋_GB2312" w:eastAsia="仿宋_GB2312" w:cs="仿宋_GB2312"/>
          <w:b w:val="0"/>
          <w:bCs w:val="0"/>
          <w:i w:val="0"/>
          <w:caps w:val="0"/>
          <w:color w:val="auto"/>
          <w:spacing w:val="0"/>
          <w:sz w:val="32"/>
          <w:szCs w:val="32"/>
          <w:lang w:eastAsia="zh-CN"/>
        </w:rPr>
        <w:t>的</w:t>
      </w:r>
      <w:r>
        <w:rPr>
          <w:rFonts w:hint="eastAsia" w:ascii="仿宋_GB2312" w:hAnsi="仿宋_GB2312" w:eastAsia="仿宋_GB2312" w:cs="仿宋_GB2312"/>
          <w:b w:val="0"/>
          <w:bCs w:val="0"/>
          <w:i w:val="0"/>
          <w:caps w:val="0"/>
          <w:color w:val="auto"/>
          <w:spacing w:val="0"/>
          <w:sz w:val="32"/>
          <w:szCs w:val="32"/>
        </w:rPr>
        <w:t>全部责任。</w:t>
      </w:r>
    </w:p>
    <w:p>
      <w:pPr>
        <w:pStyle w:val="6"/>
        <w:keepNext w:val="0"/>
        <w:keepLines w:val="0"/>
        <w:pageBreakBefore w:val="0"/>
        <w:kinsoku/>
        <w:overflowPunct/>
        <w:topLinePunct w:val="0"/>
        <w:autoSpaceDE/>
        <w:autoSpaceDN/>
        <w:bidi w:val="0"/>
        <w:adjustRightInd/>
        <w:snapToGrid/>
        <w:spacing w:beforeAutospacing="0" w:afterAutospacing="0" w:line="62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i w:val="0"/>
          <w:caps w:val="0"/>
          <w:color w:val="auto"/>
          <w:spacing w:val="0"/>
          <w:sz w:val="32"/>
          <w:szCs w:val="32"/>
        </w:rPr>
        <w:t>事故发生</w:t>
      </w:r>
      <w:r>
        <w:rPr>
          <w:rFonts w:hint="eastAsia" w:ascii="仿宋_GB2312" w:hAnsi="仿宋_GB2312" w:eastAsia="仿宋_GB2312" w:cs="仿宋_GB2312"/>
          <w:b w:val="0"/>
          <w:i w:val="0"/>
          <w:caps w:val="0"/>
          <w:color w:val="auto"/>
          <w:spacing w:val="0"/>
          <w:sz w:val="32"/>
          <w:szCs w:val="32"/>
          <w:lang w:eastAsia="zh-CN"/>
        </w:rPr>
        <w:t>后经对驾驶人</w:t>
      </w:r>
      <w:r>
        <w:rPr>
          <w:rFonts w:hint="eastAsia" w:ascii="仿宋_GB2312" w:hAnsi="仿宋_GB2312" w:eastAsia="仿宋_GB2312" w:cs="仿宋_GB2312"/>
          <w:b w:val="0"/>
          <w:i w:val="0"/>
          <w:caps w:val="0"/>
          <w:color w:val="auto"/>
          <w:spacing w:val="0"/>
          <w:sz w:val="32"/>
          <w:szCs w:val="32"/>
        </w:rPr>
        <w:t>杨义兰</w:t>
      </w:r>
      <w:r>
        <w:rPr>
          <w:rFonts w:hint="eastAsia" w:ascii="仿宋_GB2312" w:hAnsi="仿宋_GB2312" w:eastAsia="仿宋_GB2312" w:cs="仿宋_GB2312"/>
          <w:b w:val="0"/>
          <w:i w:val="0"/>
          <w:caps w:val="0"/>
          <w:color w:val="auto"/>
          <w:spacing w:val="0"/>
          <w:sz w:val="32"/>
          <w:szCs w:val="32"/>
          <w:lang w:eastAsia="zh-CN"/>
        </w:rPr>
        <w:t>的血型检测，血型中未检出乙醇、吗啡与甲基苯丙胺及其他毒物。</w:t>
      </w:r>
      <w:r>
        <w:rPr>
          <w:rFonts w:hint="eastAsia" w:ascii="仿宋_GB2312" w:hAnsi="仿宋_GB2312" w:eastAsia="仿宋_GB2312" w:cs="仿宋_GB2312"/>
          <w:b w:val="0"/>
          <w:bCs w:val="0"/>
          <w:color w:val="auto"/>
          <w:sz w:val="32"/>
          <w:szCs w:val="32"/>
        </w:rPr>
        <w:t>经重庆市正港司法鉴定</w:t>
      </w:r>
      <w:r>
        <w:rPr>
          <w:rFonts w:hint="eastAsia" w:ascii="仿宋_GB2312" w:hAnsi="仿宋_GB2312" w:eastAsia="仿宋_GB2312" w:cs="仿宋_GB2312"/>
          <w:b w:val="0"/>
          <w:bCs w:val="0"/>
          <w:color w:val="auto"/>
          <w:sz w:val="32"/>
          <w:szCs w:val="32"/>
          <w:lang w:eastAsia="zh-CN"/>
        </w:rPr>
        <w:t>中心对</w:t>
      </w:r>
      <w:r>
        <w:rPr>
          <w:rFonts w:hint="eastAsia" w:ascii="仿宋_GB2312" w:hAnsi="仿宋_GB2312" w:eastAsia="仿宋_GB2312" w:cs="仿宋_GB2312"/>
          <w:b w:val="0"/>
          <w:i w:val="0"/>
          <w:caps w:val="0"/>
          <w:color w:val="auto"/>
          <w:spacing w:val="0"/>
          <w:sz w:val="32"/>
          <w:szCs w:val="32"/>
        </w:rPr>
        <w:t>渝A6HW20</w:t>
      </w:r>
      <w:r>
        <w:rPr>
          <w:rFonts w:hint="eastAsia" w:ascii="仿宋_GB2312" w:hAnsi="仿宋_GB2312" w:eastAsia="仿宋_GB2312" w:cs="仿宋_GB2312"/>
          <w:b w:val="0"/>
          <w:i w:val="0"/>
          <w:caps w:val="0"/>
          <w:color w:val="auto"/>
          <w:spacing w:val="0"/>
          <w:sz w:val="32"/>
          <w:szCs w:val="32"/>
          <w:lang w:eastAsia="zh-CN"/>
        </w:rPr>
        <w:t>号</w:t>
      </w:r>
      <w:r>
        <w:rPr>
          <w:rFonts w:hint="eastAsia" w:ascii="仿宋_GB2312" w:hAnsi="仿宋_GB2312" w:eastAsia="仿宋_GB2312" w:cs="仿宋_GB2312"/>
          <w:b w:val="0"/>
          <w:i w:val="0"/>
          <w:caps w:val="0"/>
          <w:color w:val="auto"/>
          <w:spacing w:val="0"/>
          <w:sz w:val="32"/>
          <w:szCs w:val="32"/>
        </w:rPr>
        <w:t>轻型仓栅式货车</w:t>
      </w:r>
      <w:r>
        <w:rPr>
          <w:rFonts w:hint="eastAsia" w:ascii="仿宋_GB2312" w:hAnsi="仿宋_GB2312" w:eastAsia="仿宋_GB2312" w:cs="仿宋_GB2312"/>
          <w:b w:val="0"/>
          <w:i w:val="0"/>
          <w:caps w:val="0"/>
          <w:color w:val="auto"/>
          <w:spacing w:val="0"/>
          <w:sz w:val="32"/>
          <w:szCs w:val="32"/>
          <w:lang w:eastAsia="zh-CN"/>
        </w:rPr>
        <w:t>的安全技术性能进行</w:t>
      </w:r>
      <w:r>
        <w:rPr>
          <w:rFonts w:hint="eastAsia" w:ascii="仿宋_GB2312" w:hAnsi="仿宋_GB2312" w:eastAsia="仿宋_GB2312" w:cs="仿宋_GB2312"/>
          <w:b w:val="0"/>
          <w:bCs w:val="0"/>
          <w:color w:val="auto"/>
          <w:sz w:val="32"/>
          <w:szCs w:val="32"/>
        </w:rPr>
        <w:t>鉴定，</w:t>
      </w:r>
      <w:r>
        <w:rPr>
          <w:rFonts w:hint="eastAsia" w:ascii="仿宋_GB2312" w:hAnsi="仿宋_GB2312" w:eastAsia="仿宋_GB2312" w:cs="仿宋_GB2312"/>
          <w:b w:val="0"/>
          <w:bCs w:val="0"/>
          <w:color w:val="auto"/>
          <w:sz w:val="32"/>
          <w:szCs w:val="32"/>
          <w:lang w:eastAsia="zh-CN"/>
        </w:rPr>
        <w:t>其结论为：被鉴定车辆</w:t>
      </w:r>
      <w:r>
        <w:rPr>
          <w:rFonts w:hint="eastAsia" w:ascii="仿宋_GB2312" w:hAnsi="仿宋_GB2312" w:eastAsia="仿宋_GB2312" w:cs="仿宋_GB2312"/>
          <w:b w:val="0"/>
          <w:i w:val="0"/>
          <w:caps w:val="0"/>
          <w:color w:val="auto"/>
          <w:spacing w:val="0"/>
          <w:sz w:val="32"/>
          <w:szCs w:val="32"/>
        </w:rPr>
        <w:t>渝A6HW20</w:t>
      </w:r>
      <w:r>
        <w:rPr>
          <w:rFonts w:hint="eastAsia" w:ascii="仿宋_GB2312" w:hAnsi="仿宋_GB2312" w:eastAsia="仿宋_GB2312" w:cs="仿宋_GB2312"/>
          <w:b w:val="0"/>
          <w:i w:val="0"/>
          <w:caps w:val="0"/>
          <w:color w:val="auto"/>
          <w:spacing w:val="0"/>
          <w:sz w:val="32"/>
          <w:szCs w:val="32"/>
          <w:lang w:eastAsia="zh-CN"/>
        </w:rPr>
        <w:t>号</w:t>
      </w:r>
      <w:r>
        <w:rPr>
          <w:rFonts w:hint="eastAsia" w:ascii="仿宋_GB2312" w:hAnsi="仿宋_GB2312" w:eastAsia="仿宋_GB2312" w:cs="仿宋_GB2312"/>
          <w:b w:val="0"/>
          <w:i w:val="0"/>
          <w:caps w:val="0"/>
          <w:color w:val="auto"/>
          <w:spacing w:val="0"/>
          <w:sz w:val="32"/>
          <w:szCs w:val="32"/>
        </w:rPr>
        <w:t>轻型仓栅式货车</w:t>
      </w:r>
      <w:r>
        <w:rPr>
          <w:rFonts w:hint="eastAsia" w:ascii="仿宋_GB2312" w:hAnsi="仿宋_GB2312" w:eastAsia="仿宋_GB2312" w:cs="仿宋_GB2312"/>
          <w:b w:val="0"/>
          <w:bCs w:val="0"/>
          <w:color w:val="auto"/>
          <w:sz w:val="32"/>
          <w:szCs w:val="32"/>
          <w:lang w:val="en-US" w:eastAsia="zh-CN"/>
        </w:rPr>
        <w:t>的前风窗玻璃事故前应是完好；该车转向、传动、行驶、制动装置未见异常，其性能事故前应有效。</w:t>
      </w:r>
    </w:p>
    <w:p>
      <w:pPr>
        <w:pStyle w:val="6"/>
        <w:keepNext w:val="0"/>
        <w:keepLines w:val="0"/>
        <w:pageBreakBefore w:val="0"/>
        <w:kinsoku/>
        <w:overflowPunct/>
        <w:topLinePunct w:val="0"/>
        <w:autoSpaceDE/>
        <w:autoSpaceDN/>
        <w:bidi w:val="0"/>
        <w:adjustRightInd/>
        <w:snapToGrid/>
        <w:spacing w:beforeAutospacing="0" w:afterAutospacing="0" w:line="62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lang w:eastAsia="zh-CN"/>
        </w:rPr>
        <w:t>据“事故认定书”记载，事故发生地点位于重庆市</w:t>
      </w:r>
      <w:r>
        <w:rPr>
          <w:rFonts w:hint="eastAsia" w:ascii="仿宋_GB2312" w:hAnsi="仿宋_GB2312" w:eastAsia="仿宋_GB2312" w:cs="仿宋_GB2312"/>
          <w:b w:val="0"/>
          <w:i w:val="0"/>
          <w:caps w:val="0"/>
          <w:color w:val="auto"/>
          <w:spacing w:val="0"/>
          <w:sz w:val="32"/>
          <w:szCs w:val="32"/>
        </w:rPr>
        <w:t>丰都县三合街道鹿鸣岩村土门子水库堤坝</w:t>
      </w:r>
      <w:r>
        <w:rPr>
          <w:rFonts w:hint="eastAsia" w:ascii="仿宋_GB2312" w:hAnsi="仿宋_GB2312" w:eastAsia="仿宋_GB2312" w:cs="仿宋_GB2312"/>
          <w:b w:val="0"/>
          <w:i w:val="0"/>
          <w:caps w:val="0"/>
          <w:color w:val="auto"/>
          <w:spacing w:val="0"/>
          <w:sz w:val="32"/>
          <w:szCs w:val="32"/>
          <w:lang w:eastAsia="zh-CN"/>
        </w:rPr>
        <w:t>（实为山坪塘，除本次外以前未发生过事故）。依“公路工程竣工验收鉴定书”</w:t>
      </w:r>
      <w:r>
        <w:rPr>
          <w:rFonts w:hint="eastAsia" w:ascii="仿宋_GB2312" w:hAnsi="仿宋_GB2312" w:eastAsia="仿宋_GB2312" w:cs="仿宋_GB2312"/>
          <w:b w:val="0"/>
          <w:bCs w:val="0"/>
          <w:color w:val="auto"/>
          <w:sz w:val="32"/>
          <w:szCs w:val="32"/>
          <w:lang w:eastAsia="zh-CN"/>
        </w:rPr>
        <w:t>记载，事发</w:t>
      </w:r>
      <w:r>
        <w:rPr>
          <w:rFonts w:hint="eastAsia" w:ascii="仿宋_GB2312" w:hAnsi="仿宋_GB2312" w:eastAsia="仿宋_GB2312" w:cs="仿宋_GB2312"/>
          <w:b w:val="0"/>
          <w:i w:val="0"/>
          <w:caps w:val="0"/>
          <w:color w:val="auto"/>
          <w:spacing w:val="0"/>
          <w:sz w:val="32"/>
          <w:szCs w:val="32"/>
          <w:lang w:eastAsia="zh-CN"/>
        </w:rPr>
        <w:t>公路属四级村道路，全长</w:t>
      </w:r>
      <w:r>
        <w:rPr>
          <w:rFonts w:hint="eastAsia" w:ascii="仿宋_GB2312" w:hAnsi="仿宋_GB2312" w:eastAsia="仿宋_GB2312" w:cs="仿宋_GB2312"/>
          <w:b w:val="0"/>
          <w:i w:val="0"/>
          <w:caps w:val="0"/>
          <w:color w:val="auto"/>
          <w:spacing w:val="0"/>
          <w:sz w:val="32"/>
          <w:szCs w:val="32"/>
          <w:lang w:val="en-US" w:eastAsia="zh-CN"/>
        </w:rPr>
        <w:t>82.54KM，</w:t>
      </w:r>
      <w:r>
        <w:rPr>
          <w:rFonts w:hint="eastAsia" w:ascii="仿宋_GB2312" w:hAnsi="仿宋_GB2312" w:eastAsia="仿宋_GB2312" w:cs="仿宋_GB2312"/>
          <w:b w:val="0"/>
          <w:i w:val="0"/>
          <w:caps w:val="0"/>
          <w:color w:val="auto"/>
          <w:spacing w:val="0"/>
          <w:sz w:val="32"/>
          <w:szCs w:val="32"/>
          <w:lang w:eastAsia="zh-CN"/>
        </w:rPr>
        <w:t>于</w:t>
      </w:r>
      <w:r>
        <w:rPr>
          <w:rFonts w:hint="eastAsia" w:ascii="仿宋_GB2312" w:hAnsi="仿宋_GB2312" w:eastAsia="仿宋_GB2312" w:cs="仿宋_GB2312"/>
          <w:b w:val="0"/>
          <w:i w:val="0"/>
          <w:caps w:val="0"/>
          <w:color w:val="auto"/>
          <w:spacing w:val="0"/>
          <w:sz w:val="32"/>
          <w:szCs w:val="32"/>
          <w:lang w:val="en-US" w:eastAsia="zh-CN"/>
        </w:rPr>
        <w:t>2017年6月20日开工，2018年2月15日完工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2019年11月27日验收合格，竣工决算资金3,083.0241万元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i w:val="0"/>
          <w:caps w:val="0"/>
          <w:color w:val="auto"/>
          <w:spacing w:val="0"/>
          <w:sz w:val="32"/>
          <w:szCs w:val="32"/>
          <w:lang w:val="en-US" w:eastAsia="zh-CN"/>
        </w:rPr>
        <w:t>由</w:t>
      </w:r>
      <w:r>
        <w:rPr>
          <w:rFonts w:hint="eastAsia" w:hAnsi="仿宋_GB2312" w:cs="仿宋_GB2312"/>
          <w:b w:val="0"/>
          <w:i w:val="0"/>
          <w:caps w:val="0"/>
          <w:color w:val="auto"/>
          <w:spacing w:val="0"/>
          <w:sz w:val="32"/>
          <w:szCs w:val="32"/>
          <w:lang w:eastAsia="zh-CN"/>
        </w:rPr>
        <w:t>丰都县人民政府三合街道办事处</w:t>
      </w:r>
      <w:r>
        <w:rPr>
          <w:rFonts w:hint="eastAsia" w:ascii="仿宋_GB2312" w:hAnsi="仿宋_GB2312" w:eastAsia="仿宋_GB2312" w:cs="仿宋_GB2312"/>
          <w:b w:val="0"/>
          <w:i w:val="0"/>
          <w:caps w:val="0"/>
          <w:color w:val="auto"/>
          <w:spacing w:val="0"/>
          <w:sz w:val="32"/>
          <w:szCs w:val="32"/>
          <w:lang w:eastAsia="zh-CN"/>
        </w:rPr>
        <w:t>于</w:t>
      </w:r>
      <w:r>
        <w:rPr>
          <w:rFonts w:hint="eastAsia" w:ascii="仿宋_GB2312" w:hAnsi="仿宋_GB2312" w:eastAsia="仿宋_GB2312" w:cs="仿宋_GB2312"/>
          <w:b w:val="0"/>
          <w:bCs w:val="0"/>
          <w:i w:val="0"/>
          <w:caps w:val="0"/>
          <w:color w:val="auto"/>
          <w:spacing w:val="0"/>
          <w:sz w:val="32"/>
          <w:szCs w:val="32"/>
          <w:lang w:val="en-US" w:eastAsia="zh-CN"/>
        </w:rPr>
        <w:t>2016年9月</w:t>
      </w:r>
      <w:r>
        <w:rPr>
          <w:rFonts w:hint="eastAsia" w:ascii="仿宋_GB2312" w:hAnsi="仿宋_GB2312" w:eastAsia="仿宋_GB2312" w:cs="仿宋_GB2312"/>
          <w:b w:val="0"/>
          <w:bCs w:val="0"/>
          <w:i w:val="0"/>
          <w:caps w:val="0"/>
          <w:color w:val="auto"/>
          <w:spacing w:val="0"/>
          <w:sz w:val="32"/>
          <w:szCs w:val="32"/>
          <w:lang w:eastAsia="zh-CN"/>
        </w:rPr>
        <w:t>委托丰都县公路局设计室勘测设计后</w:t>
      </w:r>
      <w:r>
        <w:rPr>
          <w:rFonts w:hint="eastAsia" w:ascii="仿宋_GB2312" w:hAnsi="仿宋_GB2312" w:eastAsia="仿宋_GB2312" w:cs="仿宋_GB2312"/>
          <w:b w:val="0"/>
          <w:i w:val="0"/>
          <w:caps w:val="0"/>
          <w:color w:val="auto"/>
          <w:spacing w:val="0"/>
          <w:sz w:val="32"/>
          <w:szCs w:val="32"/>
          <w:lang w:eastAsia="zh-CN"/>
        </w:rPr>
        <w:t>发包给</w:t>
      </w:r>
      <w:r>
        <w:rPr>
          <w:rFonts w:hint="eastAsia" w:ascii="仿宋_GB2312" w:hAnsi="仿宋_GB2312" w:eastAsia="仿宋_GB2312" w:cs="仿宋_GB2312"/>
          <w:sz w:val="32"/>
          <w:szCs w:val="32"/>
        </w:rPr>
        <w:t>丰都交建公司</w:t>
      </w:r>
      <w:r>
        <w:rPr>
          <w:rFonts w:hint="eastAsia" w:ascii="仿宋_GB2312" w:hAnsi="仿宋_GB2312" w:eastAsia="仿宋_GB2312" w:cs="仿宋_GB2312"/>
          <w:sz w:val="32"/>
          <w:szCs w:val="32"/>
          <w:lang w:eastAsia="zh-CN"/>
        </w:rPr>
        <w:t>承建（将土路硬化成水泥路）。</w:t>
      </w:r>
    </w:p>
    <w:p>
      <w:pPr>
        <w:pStyle w:val="6"/>
        <w:keepNext w:val="0"/>
        <w:keepLines w:val="0"/>
        <w:pageBreakBefore w:val="0"/>
        <w:kinsoku/>
        <w:overflowPunct/>
        <w:topLinePunct w:val="0"/>
        <w:autoSpaceDE/>
        <w:autoSpaceDN/>
        <w:bidi w:val="0"/>
        <w:adjustRightInd/>
        <w:snapToGrid/>
        <w:spacing w:beforeAutospacing="0" w:afterAutospacing="0" w:line="62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交通部《公路工程技术规范》（JTGB01-2014）第10.2.4公路路侧护栏设置应符合下列规定：……3.路侧有悬崖、深谷、深沟、江河湖泊等路段应设置路侧护栏……。</w:t>
      </w:r>
    </w:p>
    <w:p>
      <w:pPr>
        <w:pStyle w:val="6"/>
        <w:keepNext w:val="0"/>
        <w:keepLines w:val="0"/>
        <w:pageBreakBefore w:val="0"/>
        <w:kinsoku/>
        <w:overflowPunct/>
        <w:topLinePunct w:val="0"/>
        <w:autoSpaceDE/>
        <w:autoSpaceDN/>
        <w:bidi w:val="0"/>
        <w:adjustRightInd/>
        <w:snapToGrid/>
        <w:spacing w:beforeAutospacing="0" w:afterAutospacing="0" w:line="620" w:lineRule="exact"/>
        <w:ind w:firstLine="1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事故发生后，</w:t>
      </w:r>
      <w:r>
        <w:rPr>
          <w:rFonts w:hint="eastAsia" w:hAnsi="仿宋_GB2312" w:cs="仿宋_GB2312"/>
          <w:color w:val="auto"/>
          <w:sz w:val="32"/>
          <w:szCs w:val="32"/>
          <w:lang w:eastAsia="zh-CN"/>
        </w:rPr>
        <w:t>丰都县人民政府三合街道办事处</w:t>
      </w:r>
      <w:r>
        <w:rPr>
          <w:rFonts w:hint="eastAsia" w:ascii="仿宋_GB2312" w:hAnsi="仿宋_GB2312" w:eastAsia="仿宋_GB2312" w:cs="仿宋_GB2312"/>
          <w:b w:val="0"/>
          <w:bCs w:val="0"/>
          <w:color w:val="auto"/>
          <w:sz w:val="32"/>
          <w:szCs w:val="32"/>
          <w:lang w:eastAsia="zh-CN"/>
        </w:rPr>
        <w:t>已向</w:t>
      </w:r>
      <w:r>
        <w:rPr>
          <w:rFonts w:hint="eastAsia" w:ascii="仿宋_GB2312" w:hAnsi="仿宋_GB2312" w:eastAsia="仿宋_GB2312" w:cs="仿宋_GB2312"/>
          <w:b w:val="0"/>
          <w:bCs w:val="0"/>
          <w:color w:val="auto"/>
          <w:sz w:val="32"/>
          <w:szCs w:val="32"/>
          <w:lang w:val="en-US" w:eastAsia="zh-CN"/>
        </w:rPr>
        <w:t>8名死者（其中</w:t>
      </w:r>
      <w:r>
        <w:rPr>
          <w:rFonts w:hint="eastAsia" w:ascii="仿宋_GB2312" w:hAnsi="仿宋_GB2312" w:eastAsia="仿宋_GB2312" w:cs="仿宋_GB2312"/>
          <w:b w:val="0"/>
          <w:i w:val="0"/>
          <w:caps w:val="0"/>
          <w:color w:val="auto"/>
          <w:spacing w:val="0"/>
          <w:sz w:val="32"/>
          <w:szCs w:val="32"/>
        </w:rPr>
        <w:t>黄卓程</w:t>
      </w:r>
      <w:r>
        <w:rPr>
          <w:rFonts w:hint="eastAsia" w:ascii="仿宋_GB2312" w:hAnsi="仿宋_GB2312" w:eastAsia="仿宋_GB2312" w:cs="仿宋_GB2312"/>
          <w:b w:val="0"/>
          <w:i w:val="0"/>
          <w:caps w:val="0"/>
          <w:color w:val="auto"/>
          <w:spacing w:val="0"/>
          <w:sz w:val="32"/>
          <w:szCs w:val="32"/>
          <w:lang w:eastAsia="zh-CN"/>
        </w:rPr>
        <w:t>系城镇居民）</w:t>
      </w:r>
      <w:r>
        <w:rPr>
          <w:rFonts w:hint="eastAsia" w:ascii="仿宋_GB2312" w:hAnsi="仿宋_GB2312" w:eastAsia="仿宋_GB2312" w:cs="仿宋_GB2312"/>
          <w:b w:val="0"/>
          <w:bCs w:val="0"/>
          <w:color w:val="auto"/>
          <w:sz w:val="32"/>
          <w:szCs w:val="32"/>
          <w:lang w:val="en-US" w:eastAsia="zh-CN"/>
        </w:rPr>
        <w:t>的近亲</w:t>
      </w:r>
      <w:r>
        <w:rPr>
          <w:rFonts w:hint="eastAsia" w:ascii="仿宋_GB2312" w:hAnsi="仿宋_GB2312" w:eastAsia="仿宋_GB2312" w:cs="仿宋_GB2312"/>
          <w:b w:val="0"/>
          <w:bCs w:val="0"/>
          <w:color w:val="auto"/>
          <w:sz w:val="32"/>
          <w:szCs w:val="32"/>
          <w:lang w:val="en-US" w:eastAsia="zh-CN"/>
        </w:rPr>
        <w:t>属各支</w:t>
      </w:r>
      <w:r>
        <w:rPr>
          <w:rFonts w:hint="eastAsia" w:ascii="仿宋_GB2312" w:hAnsi="仿宋_GB2312" w:eastAsia="仿宋_GB2312" w:cs="仿宋_GB2312"/>
          <w:b w:val="0"/>
          <w:bCs w:val="0"/>
          <w:color w:val="auto"/>
          <w:sz w:val="32"/>
          <w:szCs w:val="32"/>
          <w:lang w:val="en-US" w:eastAsia="zh-CN"/>
        </w:rPr>
        <w:t>付</w:t>
      </w:r>
      <w:r>
        <w:rPr>
          <w:rFonts w:hint="eastAsia" w:ascii="仿宋_GB2312" w:hAnsi="仿宋_GB2312" w:eastAsia="仿宋_GB2312" w:cs="仿宋_GB2312"/>
          <w:color w:val="auto"/>
          <w:sz w:val="32"/>
          <w:szCs w:val="32"/>
          <w:lang w:val="en-US" w:eastAsia="zh-CN"/>
        </w:rPr>
        <w:t>丧葬费20</w:t>
      </w:r>
      <w:r>
        <w:rPr>
          <w:rFonts w:hint="eastAsia" w:ascii="仿宋_GB2312" w:hAnsi="仿宋_GB2312" w:eastAsia="仿宋_GB2312" w:cs="仿宋_GB2312"/>
          <w:b w:val="0"/>
          <w:bCs w:val="0"/>
          <w:color w:val="auto"/>
          <w:sz w:val="32"/>
          <w:szCs w:val="32"/>
          <w:lang w:val="en-US" w:eastAsia="zh-CN"/>
        </w:rPr>
        <w:t>,000元</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第三人</w:t>
      </w:r>
      <w:r>
        <w:rPr>
          <w:rFonts w:hint="eastAsia" w:ascii="仿宋_GB2312" w:hAnsi="仿宋_GB2312" w:eastAsia="仿宋_GB2312" w:cs="仿宋_GB2312"/>
          <w:kern w:val="0"/>
          <w:sz w:val="32"/>
          <w:szCs w:val="32"/>
          <w:lang w:val="en-US" w:eastAsia="zh-CN"/>
        </w:rPr>
        <w:t>王飞、王德荣、皮有妹坡均为</w:t>
      </w:r>
      <w:r>
        <w:rPr>
          <w:rFonts w:hint="eastAsia" w:ascii="仿宋_GB2312" w:hAnsi="仿宋_GB2312" w:eastAsia="仿宋_GB2312" w:cs="仿宋_GB2312"/>
          <w:b w:val="0"/>
          <w:i w:val="0"/>
          <w:caps w:val="0"/>
          <w:color w:val="auto"/>
          <w:spacing w:val="0"/>
          <w:sz w:val="32"/>
          <w:szCs w:val="32"/>
        </w:rPr>
        <w:t>杨义兰</w:t>
      </w:r>
      <w:r>
        <w:rPr>
          <w:rFonts w:hint="eastAsia" w:ascii="仿宋_GB2312" w:hAnsi="仿宋_GB2312" w:eastAsia="仿宋_GB2312" w:cs="仿宋_GB2312"/>
          <w:b w:val="0"/>
          <w:i w:val="0"/>
          <w:caps w:val="0"/>
          <w:color w:val="auto"/>
          <w:spacing w:val="0"/>
          <w:sz w:val="32"/>
          <w:szCs w:val="32"/>
          <w:lang w:eastAsia="zh-CN"/>
        </w:rPr>
        <w:t>的第一顺序法定继承人，庭审中</w:t>
      </w:r>
      <w:r>
        <w:rPr>
          <w:rFonts w:hint="eastAsia" w:ascii="仿宋_GB2312" w:hAnsi="仿宋_GB2312" w:eastAsia="仿宋_GB2312" w:cs="仿宋_GB2312"/>
          <w:kern w:val="0"/>
          <w:sz w:val="32"/>
          <w:szCs w:val="32"/>
        </w:rPr>
        <w:t>原告</w:t>
      </w:r>
      <w:r>
        <w:rPr>
          <w:rFonts w:hint="eastAsia" w:ascii="仿宋_GB2312" w:hAnsi="仿宋_GB2312" w:eastAsia="仿宋_GB2312" w:cs="仿宋_GB2312"/>
          <w:kern w:val="0"/>
          <w:sz w:val="32"/>
          <w:szCs w:val="32"/>
          <w:lang w:eastAsia="zh-CN"/>
        </w:rPr>
        <w:t>廖克祥、张福芳、</w:t>
      </w:r>
      <w:r>
        <w:rPr>
          <w:rFonts w:hint="eastAsia" w:ascii="仿宋_GB2312" w:hAnsi="仿宋_GB2312" w:eastAsia="仿宋_GB2312" w:cs="仿宋_GB2312"/>
          <w:kern w:val="0"/>
          <w:sz w:val="32"/>
          <w:szCs w:val="32"/>
          <w:lang w:val="en-US" w:eastAsia="zh-CN"/>
        </w:rPr>
        <w:t>冉永奎、冉玉美、冉玉珠、冉兴明确表示放弃对</w:t>
      </w:r>
      <w:r>
        <w:rPr>
          <w:rFonts w:hint="eastAsia" w:ascii="仿宋_GB2312" w:hAnsi="仿宋_GB2312" w:eastAsia="仿宋_GB2312" w:cs="仿宋_GB2312"/>
          <w:b w:val="0"/>
          <w:bCs w:val="0"/>
          <w:color w:val="auto"/>
          <w:sz w:val="32"/>
          <w:szCs w:val="32"/>
          <w:lang w:eastAsia="zh-CN"/>
        </w:rPr>
        <w:t>第三人</w:t>
      </w:r>
      <w:r>
        <w:rPr>
          <w:rFonts w:hint="eastAsia" w:ascii="仿宋_GB2312" w:hAnsi="仿宋_GB2312" w:eastAsia="仿宋_GB2312" w:cs="仿宋_GB2312"/>
          <w:kern w:val="0"/>
          <w:sz w:val="32"/>
          <w:szCs w:val="32"/>
          <w:lang w:val="en-US" w:eastAsia="zh-CN"/>
        </w:rPr>
        <w:t>王飞、王德荣、皮有妹的赔偿请求权。</w:t>
      </w:r>
    </w:p>
    <w:p>
      <w:pPr>
        <w:autoSpaceDE w:val="0"/>
        <w:autoSpaceDN w:val="0"/>
        <w:adjustRightInd w:val="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auto"/>
          <w:kern w:val="0"/>
          <w:sz w:val="32"/>
          <w:szCs w:val="32"/>
          <w:lang w:val="en-US" w:eastAsia="zh-CN"/>
        </w:rPr>
        <w:t>2020年重庆市</w:t>
      </w:r>
      <w:r>
        <w:rPr>
          <w:rFonts w:hint="eastAsia" w:ascii="仿宋_GB2312" w:hAnsi="仿宋_GB2312" w:eastAsia="仿宋_GB2312" w:cs="仿宋_GB2312"/>
          <w:b w:val="0"/>
          <w:bCs w:val="0"/>
          <w:color w:val="auto"/>
          <w:kern w:val="0"/>
          <w:sz w:val="32"/>
          <w:szCs w:val="32"/>
        </w:rPr>
        <w:t>城镇居民人均可支配收入</w:t>
      </w:r>
      <w:r>
        <w:rPr>
          <w:rFonts w:hint="eastAsia" w:ascii="仿宋_GB2312" w:hAnsi="仿宋_GB2312" w:eastAsia="仿宋_GB2312" w:cs="仿宋_GB2312"/>
          <w:b w:val="0"/>
          <w:bCs w:val="0"/>
          <w:color w:val="auto"/>
          <w:kern w:val="0"/>
          <w:sz w:val="32"/>
          <w:szCs w:val="32"/>
          <w:lang w:eastAsia="zh-CN"/>
        </w:rPr>
        <w:t>为</w:t>
      </w:r>
      <w:r>
        <w:rPr>
          <w:rFonts w:hint="eastAsia" w:ascii="仿宋_GB2312" w:hAnsi="仿宋_GB2312" w:eastAsia="仿宋_GB2312" w:cs="仿宋_GB2312"/>
          <w:b w:val="0"/>
          <w:bCs w:val="0"/>
          <w:color w:val="auto"/>
          <w:kern w:val="0"/>
          <w:sz w:val="32"/>
          <w:szCs w:val="32"/>
          <w:lang w:val="en-US" w:eastAsia="zh-CN"/>
        </w:rPr>
        <w:t>40,006</w:t>
      </w:r>
      <w:r>
        <w:rPr>
          <w:rFonts w:hint="eastAsia" w:ascii="仿宋_GB2312" w:hAnsi="仿宋_GB2312" w:eastAsia="仿宋_GB2312" w:cs="仿宋_GB2312"/>
          <w:b w:val="0"/>
          <w:bCs w:val="0"/>
          <w:color w:val="auto"/>
          <w:sz w:val="32"/>
          <w:szCs w:val="32"/>
          <w:lang w:val="en-US" w:eastAsia="zh-CN"/>
        </w:rPr>
        <w:t>元/年，</w:t>
      </w:r>
      <w:r>
        <w:rPr>
          <w:rFonts w:hint="eastAsia" w:ascii="仿宋_GB2312" w:hAnsi="仿宋_GB2312" w:eastAsia="仿宋_GB2312" w:cs="仿宋_GB2312"/>
          <w:b w:val="0"/>
          <w:bCs w:val="0"/>
          <w:color w:val="auto"/>
          <w:kern w:val="0"/>
          <w:sz w:val="32"/>
          <w:szCs w:val="32"/>
        </w:rPr>
        <w:t>城镇居民人均消费支出</w:t>
      </w:r>
      <w:r>
        <w:rPr>
          <w:rFonts w:hint="eastAsia" w:ascii="仿宋_GB2312" w:hAnsi="仿宋_GB2312" w:eastAsia="仿宋_GB2312" w:cs="仿宋_GB2312"/>
          <w:b w:val="0"/>
          <w:bCs w:val="0"/>
          <w:color w:val="auto"/>
          <w:kern w:val="0"/>
          <w:sz w:val="32"/>
          <w:szCs w:val="32"/>
          <w:lang w:eastAsia="zh-CN"/>
        </w:rPr>
        <w:t>为</w:t>
      </w:r>
      <w:r>
        <w:rPr>
          <w:rFonts w:hint="eastAsia" w:ascii="仿宋_GB2312" w:hAnsi="仿宋_GB2312" w:eastAsia="仿宋_GB2312" w:cs="仿宋_GB2312"/>
          <w:b w:val="0"/>
          <w:bCs w:val="0"/>
          <w:color w:val="auto"/>
          <w:kern w:val="0"/>
          <w:sz w:val="32"/>
          <w:szCs w:val="32"/>
          <w:lang w:val="en-US" w:eastAsia="zh-CN"/>
        </w:rPr>
        <w:t>26,464</w:t>
      </w:r>
      <w:r>
        <w:rPr>
          <w:rFonts w:hint="eastAsia" w:ascii="仿宋_GB2312" w:hAnsi="仿宋_GB2312" w:eastAsia="仿宋_GB2312" w:cs="仿宋_GB2312"/>
          <w:b w:val="0"/>
          <w:bCs w:val="0"/>
          <w:color w:val="auto"/>
          <w:sz w:val="32"/>
          <w:szCs w:val="32"/>
          <w:lang w:val="en-US" w:eastAsia="zh-CN"/>
        </w:rPr>
        <w:t>元/年。廖克祥、张福芳共有廖昌莲在内的子女3人</w:t>
      </w:r>
      <w:r>
        <w:rPr>
          <w:rFonts w:hint="eastAsia" w:ascii="仿宋_GB2312" w:hAnsi="仿宋_GB2312" w:eastAsia="仿宋_GB2312" w:cs="仿宋_GB2312"/>
          <w:kern w:val="0"/>
          <w:sz w:val="32"/>
          <w:szCs w:val="32"/>
          <w:lang w:eastAsia="zh-CN"/>
        </w:rPr>
        <w:t>。</w:t>
      </w:r>
    </w:p>
    <w:p>
      <w:pPr>
        <w:spacing w:line="360" w:lineRule="auto"/>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上述事实有下列证据：</w:t>
      </w:r>
    </w:p>
    <w:p>
      <w:pPr>
        <w:numPr>
          <w:ilvl w:val="0"/>
          <w:numId w:val="0"/>
        </w:numPr>
        <w:spacing w:line="360" w:lineRule="auto"/>
        <w:ind w:firstLine="640" w:firstLineChars="200"/>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lang w:val="en-US" w:eastAsia="zh-CN"/>
        </w:rPr>
        <w:t>1</w:t>
      </w: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rPr>
        <w:t>有公民身份证复印件</w:t>
      </w:r>
      <w:r>
        <w:rPr>
          <w:rFonts w:hint="eastAsia" w:ascii="仿宋" w:hAnsi="仿宋" w:eastAsia="仿宋"/>
          <w:color w:val="000000"/>
          <w:kern w:val="0"/>
          <w:sz w:val="32"/>
          <w:szCs w:val="32"/>
          <w:lang w:eastAsia="zh-CN"/>
        </w:rPr>
        <w:t>，证明原被告的基本情况；</w:t>
      </w:r>
    </w:p>
    <w:p>
      <w:pPr>
        <w:numPr>
          <w:ilvl w:val="0"/>
          <w:numId w:val="0"/>
        </w:numPr>
        <w:spacing w:line="360" w:lineRule="auto"/>
        <w:ind w:firstLine="640" w:firstLineChars="200"/>
        <w:rPr>
          <w:rFonts w:hint="eastAsia" w:ascii="Times New Roman" w:hAnsi="Times New Roman" w:eastAsia="黑体" w:cs="Times New Roman"/>
          <w:sz w:val="32"/>
          <w:szCs w:val="32"/>
          <w:lang w:eastAsia="zh-CN"/>
        </w:rPr>
      </w:pP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rPr>
        <w:t>道路交通事故认定书</w:t>
      </w:r>
      <w:r>
        <w:rPr>
          <w:rFonts w:hint="eastAsia" w:ascii="仿宋" w:hAnsi="仿宋" w:eastAsia="仿宋"/>
          <w:color w:val="000000"/>
          <w:kern w:val="0"/>
          <w:sz w:val="32"/>
          <w:szCs w:val="32"/>
          <w:lang w:eastAsia="zh-CN"/>
        </w:rPr>
        <w:t>、</w:t>
      </w:r>
      <w:r>
        <w:rPr>
          <w:rFonts w:hint="eastAsia" w:ascii="仿宋" w:hAnsi="仿宋" w:eastAsia="仿宋" w:cs="H-SS9-PK74820000a48-Identity-H"/>
          <w:kern w:val="0"/>
          <w:sz w:val="32"/>
          <w:szCs w:val="32"/>
          <w:lang w:val="en-US" w:eastAsia="zh-CN"/>
        </w:rPr>
        <w:t>现场勘查笔录</w:t>
      </w:r>
      <w:r>
        <w:rPr>
          <w:rFonts w:hint="eastAsia" w:ascii="仿宋" w:hAnsi="仿宋" w:eastAsia="仿宋"/>
          <w:color w:val="000000"/>
          <w:kern w:val="0"/>
          <w:sz w:val="32"/>
          <w:szCs w:val="32"/>
          <w:lang w:eastAsia="zh-CN"/>
        </w:rPr>
        <w:t>，证明发生交通事故的事实；</w:t>
      </w:r>
    </w:p>
    <w:p>
      <w:pPr>
        <w:numPr>
          <w:ilvl w:val="0"/>
          <w:numId w:val="0"/>
        </w:numPr>
        <w:spacing w:line="360" w:lineRule="auto"/>
        <w:ind w:firstLine="640" w:firstLineChars="200"/>
        <w:rPr>
          <w:rFonts w:hint="eastAsia" w:ascii="Times New Roman" w:hAnsi="Times New Roman" w:eastAsia="黑体" w:cs="Times New Roman"/>
          <w:sz w:val="32"/>
          <w:szCs w:val="32"/>
          <w:lang w:eastAsia="zh-CN"/>
        </w:rPr>
      </w:pP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lang w:val="en-US" w:eastAsia="zh-CN"/>
        </w:rPr>
        <w:t>3</w:t>
      </w:r>
      <w:r>
        <w:rPr>
          <w:rFonts w:hint="eastAsia" w:ascii="仿宋" w:hAnsi="仿宋" w:eastAsia="仿宋"/>
          <w:color w:val="000000"/>
          <w:kern w:val="0"/>
          <w:sz w:val="32"/>
          <w:szCs w:val="32"/>
          <w:lang w:eastAsia="zh-CN"/>
        </w:rPr>
        <w:t>）户口本，证明</w:t>
      </w:r>
      <w:r>
        <w:rPr>
          <w:rFonts w:hint="eastAsia" w:ascii="仿宋_GB2312" w:hAnsi="仿宋_GB2312" w:eastAsia="仿宋_GB2312" w:cs="仿宋_GB2312"/>
          <w:kern w:val="0"/>
          <w:sz w:val="32"/>
          <w:szCs w:val="32"/>
          <w:lang w:val="en-US" w:eastAsia="zh-CN"/>
        </w:rPr>
        <w:t>皮有妹的近亲属情况</w:t>
      </w:r>
      <w:r>
        <w:rPr>
          <w:rFonts w:hint="eastAsia" w:ascii="仿宋" w:hAnsi="仿宋" w:eastAsia="仿宋"/>
          <w:color w:val="000000"/>
          <w:kern w:val="0"/>
          <w:sz w:val="32"/>
          <w:szCs w:val="32"/>
          <w:lang w:eastAsia="zh-CN"/>
        </w:rPr>
        <w:t>；</w:t>
      </w:r>
    </w:p>
    <w:p>
      <w:pPr>
        <w:numPr>
          <w:ilvl w:val="0"/>
          <w:numId w:val="0"/>
        </w:numPr>
        <w:spacing w:line="360" w:lineRule="auto"/>
        <w:ind w:firstLine="640" w:firstLineChars="200"/>
        <w:rPr>
          <w:rFonts w:hint="eastAsia" w:ascii="Times New Roman" w:hAnsi="Times New Roman" w:eastAsia="黑体" w:cs="Times New Roman"/>
          <w:sz w:val="32"/>
          <w:szCs w:val="32"/>
          <w:lang w:eastAsia="zh-CN"/>
        </w:rPr>
      </w:pP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lang w:val="en-US" w:eastAsia="zh-CN"/>
        </w:rPr>
        <w:t>4</w:t>
      </w:r>
      <w:r>
        <w:rPr>
          <w:rFonts w:hint="eastAsia" w:ascii="仿宋" w:hAnsi="仿宋" w:eastAsia="仿宋"/>
          <w:color w:val="000000"/>
          <w:kern w:val="0"/>
          <w:sz w:val="32"/>
          <w:szCs w:val="32"/>
          <w:lang w:eastAsia="zh-CN"/>
        </w:rPr>
        <w:t>）原告的陈述，证明原告放弃对第三人的赔偿请求。</w:t>
      </w:r>
    </w:p>
    <w:p>
      <w:pPr>
        <w:spacing w:line="360" w:lineRule="auto"/>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3.</w:t>
      </w:r>
      <w:r>
        <w:rPr>
          <w:rFonts w:hint="eastAsia" w:ascii="Times New Roman" w:hAnsi="Times New Roman" w:eastAsia="黑体" w:cs="Times New Roman"/>
          <w:sz w:val="32"/>
          <w:szCs w:val="32"/>
          <w:lang w:eastAsia="zh-CN"/>
        </w:rPr>
        <w:t>一审裁判理由</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olor w:val="000000"/>
          <w:kern w:val="0"/>
          <w:sz w:val="32"/>
          <w:szCs w:val="32"/>
          <w:lang w:eastAsia="zh-CN"/>
        </w:rPr>
        <w:t>重庆市丰都县人民法院审理</w:t>
      </w:r>
      <w:r>
        <w:rPr>
          <w:rFonts w:hint="eastAsia" w:ascii="仿宋" w:hAnsi="仿宋" w:eastAsia="仿宋"/>
          <w:color w:val="000000"/>
          <w:kern w:val="0"/>
          <w:sz w:val="32"/>
          <w:szCs w:val="32"/>
        </w:rPr>
        <w:t>认为，</w:t>
      </w:r>
      <w:r>
        <w:rPr>
          <w:rFonts w:hint="eastAsia" w:ascii="仿宋_GB2312" w:hAnsi="仿宋_GB2312" w:eastAsia="仿宋_GB2312" w:cs="仿宋_GB2312"/>
          <w:b w:val="0"/>
          <w:bCs w:val="0"/>
          <w:color w:val="auto"/>
          <w:sz w:val="32"/>
          <w:szCs w:val="32"/>
          <w:lang w:eastAsia="zh-CN"/>
        </w:rPr>
        <w:t>《中华人民共和国侵权责任法》第六条规定，行为人因过错侵害他人民事权益，应当承担侵权责任。第十六条规定</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侵害他人造成人身损害的，应当赔偿医疗费……；造成死亡的，还应当赔偿丧葬费和死亡赔偿金。第十七条规定，因同一侵权行为造成多人死亡的，可以以相同数额确定死亡赔偿金。</w:t>
      </w:r>
      <w:r>
        <w:rPr>
          <w:rFonts w:hint="eastAsia" w:ascii="仿宋_GB2312" w:hAnsi="仿宋_GB2312" w:eastAsia="仿宋_GB2312" w:cs="仿宋_GB2312"/>
          <w:b w:val="0"/>
          <w:bCs w:val="0"/>
          <w:color w:val="auto"/>
          <w:kern w:val="0"/>
          <w:sz w:val="32"/>
          <w:szCs w:val="32"/>
        </w:rPr>
        <w:t>第</w:t>
      </w: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十</w:t>
      </w:r>
      <w:r>
        <w:rPr>
          <w:rFonts w:hint="eastAsia" w:ascii="仿宋_GB2312" w:hAnsi="仿宋_GB2312" w:eastAsia="仿宋_GB2312" w:cs="仿宋_GB2312"/>
          <w:b w:val="0"/>
          <w:bCs w:val="0"/>
          <w:color w:val="auto"/>
          <w:kern w:val="0"/>
          <w:sz w:val="32"/>
          <w:szCs w:val="32"/>
          <w:lang w:eastAsia="zh-CN"/>
        </w:rPr>
        <w:t>六</w:t>
      </w:r>
      <w:r>
        <w:rPr>
          <w:rFonts w:hint="eastAsia" w:ascii="仿宋_GB2312" w:hAnsi="仿宋_GB2312" w:eastAsia="仿宋_GB2312" w:cs="仿宋_GB2312"/>
          <w:b w:val="0"/>
          <w:bCs w:val="0"/>
          <w:color w:val="auto"/>
          <w:kern w:val="0"/>
          <w:sz w:val="32"/>
          <w:szCs w:val="32"/>
        </w:rPr>
        <w:t>条</w:t>
      </w:r>
      <w:r>
        <w:rPr>
          <w:rFonts w:hint="eastAsia" w:ascii="仿宋_GB2312" w:hAnsi="仿宋_GB2312" w:eastAsia="仿宋_GB2312" w:cs="仿宋_GB2312"/>
          <w:b w:val="0"/>
          <w:bCs w:val="0"/>
          <w:color w:val="auto"/>
          <w:kern w:val="0"/>
          <w:sz w:val="32"/>
          <w:szCs w:val="32"/>
          <w:lang w:eastAsia="zh-CN"/>
        </w:rPr>
        <w:t>规定，被侵权人对损害的发生也有过错的，可以减轻侵权人的责任。</w:t>
      </w:r>
    </w:p>
    <w:p>
      <w:pPr>
        <w:pStyle w:val="6"/>
        <w:keepNext w:val="0"/>
        <w:keepLines w:val="0"/>
        <w:pageBreakBefore w:val="0"/>
        <w:kinsoku/>
        <w:overflowPunct/>
        <w:topLinePunct w:val="0"/>
        <w:autoSpaceDE/>
        <w:autoSpaceDN/>
        <w:bidi w:val="0"/>
        <w:adjustRightInd/>
        <w:snapToGrid/>
        <w:spacing w:beforeAutospacing="0" w:afterAutospacing="0" w:line="620" w:lineRule="exact"/>
        <w:ind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lang w:eastAsia="zh-CN"/>
        </w:rPr>
      </w:pPr>
      <w:r>
        <w:rPr>
          <w:rFonts w:hint="eastAsia" w:ascii="仿宋_GB2312" w:hAnsi="仿宋_GB2312" w:eastAsia="仿宋_GB2312" w:cs="仿宋_GB2312"/>
          <w:b w:val="0"/>
          <w:bCs w:val="0"/>
          <w:color w:val="auto"/>
          <w:sz w:val="32"/>
          <w:szCs w:val="32"/>
          <w:lang w:eastAsia="zh-CN"/>
        </w:rPr>
        <w:t>就本案而言，事发公路</w:t>
      </w:r>
      <w:r>
        <w:rPr>
          <w:rFonts w:hint="eastAsia" w:ascii="仿宋_GB2312" w:hAnsi="仿宋_GB2312" w:eastAsia="仿宋_GB2312" w:cs="仿宋_GB2312"/>
          <w:b w:val="0"/>
          <w:i w:val="0"/>
          <w:caps w:val="0"/>
          <w:color w:val="auto"/>
          <w:spacing w:val="0"/>
          <w:sz w:val="32"/>
          <w:szCs w:val="32"/>
          <w:lang w:val="en-US" w:eastAsia="zh-CN"/>
        </w:rPr>
        <w:t>由被告</w:t>
      </w:r>
      <w:r>
        <w:rPr>
          <w:rFonts w:hint="eastAsia" w:hAnsi="仿宋_GB2312" w:cs="仿宋_GB2312"/>
          <w:b w:val="0"/>
          <w:i w:val="0"/>
          <w:caps w:val="0"/>
          <w:color w:val="auto"/>
          <w:spacing w:val="0"/>
          <w:sz w:val="32"/>
          <w:szCs w:val="32"/>
          <w:lang w:eastAsia="zh-CN"/>
        </w:rPr>
        <w:t>丰都县人民政府三合街道办事处</w:t>
      </w:r>
      <w:r>
        <w:rPr>
          <w:rFonts w:hint="eastAsia" w:ascii="仿宋_GB2312" w:hAnsi="仿宋_GB2312" w:eastAsia="仿宋_GB2312" w:cs="仿宋_GB2312"/>
          <w:b w:val="0"/>
          <w:bCs w:val="0"/>
          <w:i w:val="0"/>
          <w:caps w:val="0"/>
          <w:color w:val="auto"/>
          <w:spacing w:val="0"/>
          <w:sz w:val="32"/>
          <w:szCs w:val="32"/>
          <w:lang w:eastAsia="zh-CN"/>
        </w:rPr>
        <w:t>委托相关部门勘测设计后</w:t>
      </w:r>
      <w:r>
        <w:rPr>
          <w:rFonts w:hint="eastAsia" w:ascii="仿宋_GB2312" w:hAnsi="仿宋_GB2312" w:eastAsia="仿宋_GB2312" w:cs="仿宋_GB2312"/>
          <w:b w:val="0"/>
          <w:i w:val="0"/>
          <w:caps w:val="0"/>
          <w:color w:val="auto"/>
          <w:spacing w:val="0"/>
          <w:sz w:val="32"/>
          <w:szCs w:val="32"/>
          <w:lang w:eastAsia="zh-CN"/>
        </w:rPr>
        <w:t>发包给被告</w:t>
      </w:r>
      <w:r>
        <w:rPr>
          <w:rFonts w:hint="eastAsia" w:ascii="仿宋_GB2312" w:hAnsi="仿宋_GB2312" w:eastAsia="仿宋_GB2312" w:cs="仿宋_GB2312"/>
          <w:sz w:val="32"/>
          <w:szCs w:val="32"/>
        </w:rPr>
        <w:t>丰都交建公司</w:t>
      </w:r>
      <w:r>
        <w:rPr>
          <w:rFonts w:hint="eastAsia" w:ascii="仿宋_GB2312" w:hAnsi="仿宋_GB2312" w:eastAsia="仿宋_GB2312" w:cs="仿宋_GB2312"/>
          <w:sz w:val="32"/>
          <w:szCs w:val="32"/>
          <w:lang w:eastAsia="zh-CN"/>
        </w:rPr>
        <w:t>承建（将土路硬化成水泥路），</w:t>
      </w:r>
      <w:r>
        <w:rPr>
          <w:rFonts w:hint="eastAsia" w:ascii="仿宋_GB2312" w:hAnsi="仿宋_GB2312" w:eastAsia="仿宋_GB2312" w:cs="仿宋_GB2312"/>
          <w:b w:val="0"/>
          <w:i w:val="0"/>
          <w:caps w:val="0"/>
          <w:color w:val="auto"/>
          <w:spacing w:val="0"/>
          <w:sz w:val="32"/>
          <w:szCs w:val="32"/>
          <w:lang w:val="en-US" w:eastAsia="zh-CN"/>
        </w:rPr>
        <w:t>2017年6月20日开工，2018年2月15日完工并投入使用，后经相关部门</w:t>
      </w:r>
      <w:r>
        <w:rPr>
          <w:rFonts w:hint="eastAsia" w:ascii="仿宋_GB2312" w:hAnsi="仿宋_GB2312" w:eastAsia="仿宋_GB2312" w:cs="仿宋_GB2312"/>
          <w:sz w:val="32"/>
          <w:szCs w:val="32"/>
          <w:lang w:val="en-US" w:eastAsia="zh-CN"/>
        </w:rPr>
        <w:t>验收合格，证明被告</w:t>
      </w:r>
      <w:r>
        <w:rPr>
          <w:rFonts w:hint="eastAsia" w:hAnsi="仿宋_GB2312" w:cs="仿宋_GB2312"/>
          <w:b w:val="0"/>
          <w:i w:val="0"/>
          <w:caps w:val="0"/>
          <w:color w:val="auto"/>
          <w:spacing w:val="0"/>
          <w:sz w:val="32"/>
          <w:szCs w:val="32"/>
          <w:lang w:eastAsia="zh-CN"/>
        </w:rPr>
        <w:t>丰都县人民政府三合街道办事处</w:t>
      </w:r>
      <w:r>
        <w:rPr>
          <w:rFonts w:hint="eastAsia" w:ascii="仿宋_GB2312" w:hAnsi="仿宋_GB2312" w:eastAsia="仿宋_GB2312" w:cs="仿宋_GB2312"/>
          <w:b w:val="0"/>
          <w:i w:val="0"/>
          <w:caps w:val="0"/>
          <w:color w:val="auto"/>
          <w:spacing w:val="0"/>
          <w:sz w:val="32"/>
          <w:szCs w:val="32"/>
          <w:lang w:eastAsia="zh-CN"/>
        </w:rPr>
        <w:t>对该公路有设计合理性论证等</w:t>
      </w:r>
      <w:r>
        <w:rPr>
          <w:rFonts w:hint="eastAsia" w:ascii="仿宋_GB2312" w:hAnsi="仿宋_GB2312" w:eastAsia="仿宋_GB2312" w:cs="仿宋_GB2312"/>
          <w:b w:val="0"/>
          <w:i w:val="0"/>
          <w:caps w:val="0"/>
          <w:color w:val="333333"/>
          <w:spacing w:val="0"/>
          <w:sz w:val="32"/>
          <w:szCs w:val="32"/>
          <w:lang w:eastAsia="zh-CN"/>
        </w:rPr>
        <w:t>职责。由于</w:t>
      </w:r>
      <w:r>
        <w:rPr>
          <w:rFonts w:hint="eastAsia" w:ascii="仿宋_GB2312" w:hAnsi="仿宋_GB2312" w:eastAsia="仿宋_GB2312" w:cs="仿宋_GB2312"/>
          <w:b w:val="0"/>
          <w:bCs w:val="0"/>
          <w:i w:val="0"/>
          <w:caps w:val="0"/>
          <w:color w:val="auto"/>
          <w:spacing w:val="0"/>
          <w:sz w:val="32"/>
          <w:szCs w:val="32"/>
          <w:lang w:eastAsia="zh-CN"/>
        </w:rPr>
        <w:t>原有土公路挨山坪塘的一边装有</w:t>
      </w:r>
      <w:r>
        <w:rPr>
          <w:rFonts w:hint="eastAsia" w:ascii="仿宋_GB2312" w:hAnsi="仿宋_GB2312" w:eastAsia="仿宋_GB2312" w:cs="仿宋_GB2312"/>
          <w:b w:val="0"/>
          <w:bCs w:val="0"/>
          <w:i w:val="0"/>
          <w:caps w:val="0"/>
          <w:color w:val="auto"/>
          <w:spacing w:val="0"/>
          <w:sz w:val="32"/>
          <w:szCs w:val="32"/>
          <w:lang w:val="en-US" w:eastAsia="zh-CN"/>
        </w:rPr>
        <w:t>防</w:t>
      </w:r>
      <w:r>
        <w:rPr>
          <w:rFonts w:hint="eastAsia" w:ascii="仿宋_GB2312" w:hAnsi="仿宋_GB2312" w:eastAsia="仿宋_GB2312" w:cs="仿宋_GB2312"/>
          <w:b w:val="0"/>
          <w:bCs w:val="0"/>
          <w:i w:val="0"/>
          <w:caps w:val="0"/>
          <w:color w:val="auto"/>
          <w:spacing w:val="0"/>
          <w:sz w:val="32"/>
          <w:szCs w:val="32"/>
          <w:lang w:eastAsia="zh-CN"/>
        </w:rPr>
        <w:t>护墩</w:t>
      </w:r>
      <w:r>
        <w:rPr>
          <w:rFonts w:hint="eastAsia" w:ascii="仿宋_GB2312" w:hAnsi="仿宋_GB2312" w:eastAsia="仿宋_GB2312" w:cs="仿宋_GB2312"/>
          <w:b w:val="0"/>
          <w:bCs w:val="0"/>
          <w:i w:val="0"/>
          <w:caps w:val="0"/>
          <w:color w:val="auto"/>
          <w:spacing w:val="0"/>
          <w:sz w:val="32"/>
          <w:szCs w:val="32"/>
        </w:rPr>
        <w:t>，</w:t>
      </w:r>
      <w:r>
        <w:rPr>
          <w:rFonts w:hint="eastAsia" w:ascii="仿宋_GB2312" w:hAnsi="仿宋_GB2312" w:eastAsia="仿宋_GB2312" w:cs="仿宋_GB2312"/>
          <w:b w:val="0"/>
          <w:bCs w:val="0"/>
          <w:i w:val="0"/>
          <w:caps w:val="0"/>
          <w:color w:val="auto"/>
          <w:spacing w:val="0"/>
          <w:sz w:val="32"/>
          <w:szCs w:val="32"/>
          <w:lang w:eastAsia="zh-CN"/>
        </w:rPr>
        <w:t>说明此处客观存在风险。在</w:t>
      </w:r>
      <w:r>
        <w:rPr>
          <w:rFonts w:hint="eastAsia" w:ascii="仿宋_GB2312" w:hAnsi="仿宋_GB2312" w:eastAsia="仿宋_GB2312" w:cs="仿宋_GB2312"/>
          <w:b w:val="0"/>
          <w:i w:val="0"/>
          <w:caps w:val="0"/>
          <w:color w:val="auto"/>
          <w:spacing w:val="0"/>
          <w:sz w:val="32"/>
          <w:szCs w:val="32"/>
          <w:lang w:val="en-US" w:eastAsia="zh-CN"/>
        </w:rPr>
        <w:t>2017-2018年该公路升级改造时，</w:t>
      </w:r>
      <w:r>
        <w:rPr>
          <w:rFonts w:hint="eastAsia" w:ascii="仿宋_GB2312" w:hAnsi="仿宋_GB2312" w:eastAsia="仿宋_GB2312" w:cs="仿宋_GB2312"/>
          <w:sz w:val="32"/>
          <w:szCs w:val="32"/>
          <w:lang w:val="en-US" w:eastAsia="zh-CN"/>
        </w:rPr>
        <w:t>被告</w:t>
      </w:r>
      <w:r>
        <w:rPr>
          <w:rFonts w:hint="eastAsia" w:hAnsi="仿宋_GB2312" w:cs="仿宋_GB2312"/>
          <w:b w:val="0"/>
          <w:i w:val="0"/>
          <w:caps w:val="0"/>
          <w:color w:val="auto"/>
          <w:spacing w:val="0"/>
          <w:sz w:val="32"/>
          <w:szCs w:val="32"/>
          <w:lang w:eastAsia="zh-CN"/>
        </w:rPr>
        <w:t>丰都县人民政府三合街道办事处</w:t>
      </w:r>
      <w:r>
        <w:rPr>
          <w:rFonts w:hint="eastAsia" w:ascii="仿宋_GB2312" w:hAnsi="仿宋_GB2312" w:eastAsia="仿宋_GB2312" w:cs="仿宋_GB2312"/>
          <w:b w:val="0"/>
          <w:i w:val="0"/>
          <w:caps w:val="0"/>
          <w:color w:val="auto"/>
          <w:spacing w:val="0"/>
          <w:sz w:val="32"/>
          <w:szCs w:val="32"/>
          <w:lang w:val="en-US" w:eastAsia="zh-CN"/>
        </w:rPr>
        <w:t>更应</w:t>
      </w:r>
      <w:r>
        <w:rPr>
          <w:rFonts w:hint="eastAsia" w:ascii="仿宋_GB2312" w:hAnsi="仿宋_GB2312" w:eastAsia="仿宋_GB2312" w:cs="仿宋_GB2312"/>
          <w:b w:val="0"/>
          <w:i w:val="0"/>
          <w:caps w:val="0"/>
          <w:color w:val="333333"/>
          <w:spacing w:val="0"/>
          <w:sz w:val="32"/>
          <w:szCs w:val="32"/>
          <w:lang w:eastAsia="zh-CN"/>
        </w:rPr>
        <w:t>根据</w:t>
      </w:r>
      <w:r>
        <w:rPr>
          <w:rFonts w:hint="eastAsia" w:ascii="仿宋_GB2312" w:hAnsi="仿宋_GB2312" w:eastAsia="仿宋_GB2312" w:cs="仿宋_GB2312"/>
          <w:b w:val="0"/>
          <w:bCs w:val="0"/>
          <w:color w:val="auto"/>
          <w:sz w:val="32"/>
          <w:szCs w:val="32"/>
          <w:lang w:val="en-US" w:eastAsia="zh-CN"/>
        </w:rPr>
        <w:t>交通部《公路工程技术规范》（JTGB01-2014）第10.2.4条第3款之规定设置路侧护栏</w:t>
      </w:r>
      <w:r>
        <w:rPr>
          <w:rFonts w:hint="eastAsia" w:ascii="仿宋_GB2312" w:hAnsi="仿宋_GB2312" w:eastAsia="仿宋_GB2312" w:cs="仿宋_GB2312"/>
          <w:b w:val="0"/>
          <w:i w:val="0"/>
          <w:caps w:val="0"/>
          <w:color w:val="333333"/>
          <w:spacing w:val="0"/>
          <w:sz w:val="32"/>
          <w:szCs w:val="32"/>
          <w:lang w:eastAsia="zh-CN"/>
        </w:rPr>
        <w:t>而未</w:t>
      </w:r>
      <w:r>
        <w:rPr>
          <w:rFonts w:hint="eastAsia" w:ascii="仿宋_GB2312" w:hAnsi="仿宋_GB2312" w:eastAsia="仿宋_GB2312" w:cs="仿宋_GB2312"/>
          <w:b w:val="0"/>
          <w:bCs w:val="0"/>
          <w:color w:val="auto"/>
          <w:sz w:val="32"/>
          <w:szCs w:val="32"/>
          <w:lang w:val="en-US" w:eastAsia="zh-CN"/>
        </w:rPr>
        <w:t>设置</w:t>
      </w:r>
      <w:r>
        <w:rPr>
          <w:rFonts w:hint="eastAsia" w:ascii="仿宋_GB2312" w:hAnsi="仿宋_GB2312" w:eastAsia="仿宋_GB2312" w:cs="仿宋_GB2312"/>
          <w:b w:val="0"/>
          <w:i w:val="0"/>
          <w:caps w:val="0"/>
          <w:color w:val="333333"/>
          <w:spacing w:val="0"/>
          <w:sz w:val="32"/>
          <w:szCs w:val="32"/>
          <w:lang w:eastAsia="zh-CN"/>
        </w:rPr>
        <w:t>存在轻微的过错。</w:t>
      </w:r>
      <w:r>
        <w:rPr>
          <w:rFonts w:hint="eastAsia" w:ascii="仿宋_GB2312" w:hAnsi="仿宋_GB2312" w:eastAsia="仿宋_GB2312" w:cs="仿宋_GB2312"/>
          <w:b w:val="0"/>
          <w:i w:val="0"/>
          <w:caps w:val="0"/>
          <w:color w:val="auto"/>
          <w:spacing w:val="0"/>
          <w:sz w:val="32"/>
          <w:szCs w:val="32"/>
          <w:lang w:eastAsia="zh-CN"/>
        </w:rPr>
        <w:t>被告</w:t>
      </w:r>
      <w:r>
        <w:rPr>
          <w:rFonts w:hint="eastAsia" w:ascii="仿宋_GB2312" w:hAnsi="仿宋_GB2312" w:eastAsia="仿宋_GB2312" w:cs="仿宋_GB2312"/>
          <w:color w:val="auto"/>
          <w:sz w:val="32"/>
          <w:szCs w:val="32"/>
        </w:rPr>
        <w:t>三合</w:t>
      </w:r>
      <w:r>
        <w:rPr>
          <w:rFonts w:hint="eastAsia" w:ascii="仿宋_GB2312" w:hAnsi="仿宋_GB2312" w:eastAsia="仿宋_GB2312" w:cs="仿宋_GB2312"/>
          <w:color w:val="auto"/>
          <w:sz w:val="32"/>
          <w:szCs w:val="32"/>
          <w:lang w:eastAsia="zh-CN"/>
        </w:rPr>
        <w:t>农服中心的设置单位系</w:t>
      </w:r>
      <w:r>
        <w:rPr>
          <w:rFonts w:hint="eastAsia" w:ascii="仿宋_GB2312" w:hAnsi="仿宋_GB2312" w:eastAsia="仿宋_GB2312" w:cs="仿宋_GB2312"/>
          <w:sz w:val="32"/>
          <w:szCs w:val="32"/>
          <w:lang w:val="en-US" w:eastAsia="zh-CN"/>
        </w:rPr>
        <w:t>被告</w:t>
      </w:r>
      <w:r>
        <w:rPr>
          <w:rFonts w:hint="eastAsia" w:hAnsi="仿宋_GB2312" w:cs="仿宋_GB2312"/>
          <w:b w:val="0"/>
          <w:i w:val="0"/>
          <w:caps w:val="0"/>
          <w:color w:val="auto"/>
          <w:spacing w:val="0"/>
          <w:sz w:val="32"/>
          <w:szCs w:val="32"/>
          <w:lang w:eastAsia="zh-CN"/>
        </w:rPr>
        <w:t>丰都县人民政府三合街道办事处</w:t>
      </w:r>
      <w:r>
        <w:rPr>
          <w:rFonts w:hint="eastAsia" w:ascii="仿宋_GB2312" w:hAnsi="仿宋_GB2312" w:eastAsia="仿宋_GB2312" w:cs="仿宋_GB2312"/>
          <w:b w:val="0"/>
          <w:i w:val="0"/>
          <w:caps w:val="0"/>
          <w:color w:val="auto"/>
          <w:spacing w:val="0"/>
          <w:sz w:val="32"/>
          <w:szCs w:val="32"/>
          <w:lang w:eastAsia="zh-CN"/>
        </w:rPr>
        <w:t>，其宗旨主要是为农业服务，无管理公路之业务</w:t>
      </w:r>
      <w:r>
        <w:rPr>
          <w:rFonts w:hint="eastAsia" w:ascii="仿宋_GB2312" w:hAnsi="仿宋_GB2312" w:eastAsia="仿宋_GB2312" w:cs="仿宋_GB2312"/>
          <w:color w:val="auto"/>
          <w:sz w:val="32"/>
          <w:szCs w:val="32"/>
          <w:lang w:eastAsia="zh-CN"/>
        </w:rPr>
        <w:t>，在本案不应承担责任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i w:val="0"/>
          <w:caps w:val="0"/>
          <w:color w:val="333333"/>
          <w:spacing w:val="0"/>
          <w:sz w:val="32"/>
          <w:szCs w:val="32"/>
          <w:lang w:eastAsia="zh-CN"/>
        </w:rPr>
        <w:t>被告</w:t>
      </w:r>
      <w:r>
        <w:rPr>
          <w:rFonts w:hint="eastAsia" w:ascii="仿宋_GB2312" w:hAnsi="仿宋_GB2312" w:eastAsia="仿宋_GB2312" w:cs="仿宋_GB2312"/>
          <w:sz w:val="32"/>
          <w:szCs w:val="32"/>
        </w:rPr>
        <w:t>丰都交建公司</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lang w:val="en-US" w:eastAsia="zh-CN"/>
        </w:rPr>
        <w:t>被告</w:t>
      </w:r>
      <w:r>
        <w:rPr>
          <w:rFonts w:hint="eastAsia" w:hAnsi="仿宋_GB2312" w:cs="仿宋_GB2312"/>
          <w:b w:val="0"/>
          <w:i w:val="0"/>
          <w:caps w:val="0"/>
          <w:color w:val="auto"/>
          <w:spacing w:val="0"/>
          <w:sz w:val="32"/>
          <w:szCs w:val="32"/>
          <w:lang w:eastAsia="zh-CN"/>
        </w:rPr>
        <w:t>丰都县人民政府三合街道办事处</w:t>
      </w:r>
      <w:r>
        <w:rPr>
          <w:rFonts w:hint="eastAsia" w:ascii="仿宋_GB2312" w:hAnsi="仿宋_GB2312" w:eastAsia="仿宋_GB2312" w:cs="仿宋_GB2312"/>
          <w:b w:val="0"/>
          <w:i w:val="0"/>
          <w:caps w:val="0"/>
          <w:color w:val="auto"/>
          <w:spacing w:val="0"/>
          <w:sz w:val="32"/>
          <w:szCs w:val="32"/>
          <w:lang w:eastAsia="zh-CN"/>
        </w:rPr>
        <w:t>的要求</w:t>
      </w:r>
      <w:r>
        <w:rPr>
          <w:rFonts w:hint="eastAsia" w:ascii="仿宋_GB2312" w:hAnsi="仿宋_GB2312" w:eastAsia="仿宋_GB2312" w:cs="仿宋_GB2312"/>
          <w:sz w:val="32"/>
          <w:szCs w:val="32"/>
          <w:lang w:eastAsia="zh-CN"/>
        </w:rPr>
        <w:t>承建该公路，结束后经验收已合格，在本案不存在过错；被告</w:t>
      </w:r>
      <w:r>
        <w:rPr>
          <w:rFonts w:hint="eastAsia" w:ascii="仿宋_GB2312" w:hAnsi="仿宋_GB2312" w:eastAsia="仿宋_GB2312" w:cs="仿宋_GB2312"/>
          <w:sz w:val="32"/>
          <w:szCs w:val="32"/>
        </w:rPr>
        <w:t>鹿鸣岩村委会</w:t>
      </w:r>
      <w:r>
        <w:rPr>
          <w:rFonts w:hint="eastAsia" w:ascii="仿宋_GB2312" w:hAnsi="仿宋_GB2312" w:eastAsia="仿宋_GB2312" w:cs="仿宋_GB2312"/>
          <w:sz w:val="32"/>
          <w:szCs w:val="32"/>
          <w:lang w:eastAsia="zh-CN"/>
        </w:rPr>
        <w:t>不是该公路的管理者、维护者，在本案不存在过错；被告</w:t>
      </w:r>
      <w:r>
        <w:rPr>
          <w:rFonts w:hint="eastAsia" w:ascii="仿宋_GB2312" w:hAnsi="仿宋_GB2312" w:eastAsia="仿宋_GB2312" w:cs="仿宋_GB2312"/>
          <w:sz w:val="32"/>
          <w:szCs w:val="32"/>
        </w:rPr>
        <w:t>胡青勇</w:t>
      </w:r>
      <w:r>
        <w:rPr>
          <w:rFonts w:hint="eastAsia" w:ascii="仿宋_GB2312" w:hAnsi="仿宋_GB2312" w:eastAsia="仿宋_GB2312" w:cs="仿宋_GB2312"/>
          <w:sz w:val="32"/>
          <w:szCs w:val="32"/>
          <w:lang w:eastAsia="zh-CN"/>
        </w:rPr>
        <w:t>因山坪塘排水的需要而修建引水拱，不影响车辆在公路（塘坝）的正常通行，在本案不存在过错。</w:t>
      </w:r>
      <w:r>
        <w:rPr>
          <w:rFonts w:hint="eastAsia" w:ascii="仿宋_GB2312" w:hAnsi="仿宋_GB2312" w:eastAsia="仿宋_GB2312" w:cs="仿宋_GB2312"/>
          <w:b w:val="0"/>
          <w:i w:val="0"/>
          <w:caps w:val="0"/>
          <w:color w:val="auto"/>
          <w:spacing w:val="0"/>
          <w:sz w:val="32"/>
          <w:szCs w:val="32"/>
          <w:lang w:eastAsia="zh-CN"/>
        </w:rPr>
        <w:t>本次事故发生后经相关部门认定，属驾驶员</w:t>
      </w:r>
      <w:r>
        <w:rPr>
          <w:rFonts w:hint="eastAsia" w:ascii="仿宋_GB2312" w:hAnsi="仿宋_GB2312" w:eastAsia="仿宋_GB2312" w:cs="仿宋_GB2312"/>
          <w:b w:val="0"/>
          <w:i w:val="0"/>
          <w:caps w:val="0"/>
          <w:color w:val="auto"/>
          <w:spacing w:val="0"/>
          <w:sz w:val="32"/>
          <w:szCs w:val="32"/>
        </w:rPr>
        <w:t>杨义兰</w:t>
      </w:r>
      <w:r>
        <w:rPr>
          <w:rFonts w:hint="eastAsia" w:ascii="仿宋_GB2312" w:hAnsi="仿宋_GB2312" w:eastAsia="仿宋_GB2312" w:cs="仿宋_GB2312"/>
          <w:b w:val="0"/>
          <w:i w:val="0"/>
          <w:caps w:val="0"/>
          <w:color w:val="auto"/>
          <w:spacing w:val="0"/>
          <w:sz w:val="32"/>
          <w:szCs w:val="32"/>
          <w:lang w:eastAsia="zh-CN"/>
        </w:rPr>
        <w:t>操作措施明显不当所</w:t>
      </w:r>
      <w:r>
        <w:rPr>
          <w:rFonts w:hint="eastAsia" w:ascii="仿宋_GB2312" w:hAnsi="仿宋_GB2312" w:eastAsia="仿宋_GB2312" w:cs="仿宋_GB2312"/>
          <w:b w:val="0"/>
          <w:i w:val="0"/>
          <w:caps w:val="0"/>
          <w:color w:val="auto"/>
          <w:spacing w:val="0"/>
          <w:sz w:val="32"/>
          <w:szCs w:val="32"/>
        </w:rPr>
        <w:t>致</w:t>
      </w:r>
      <w:r>
        <w:rPr>
          <w:rFonts w:hint="eastAsia" w:ascii="仿宋_GB2312" w:hAnsi="仿宋_GB2312" w:eastAsia="仿宋_GB2312" w:cs="仿宋_GB2312"/>
          <w:b w:val="0"/>
          <w:i w:val="0"/>
          <w:caps w:val="0"/>
          <w:color w:val="auto"/>
          <w:spacing w:val="0"/>
          <w:sz w:val="32"/>
          <w:szCs w:val="32"/>
          <w:lang w:eastAsia="zh-CN"/>
        </w:rPr>
        <w:t>，</w:t>
      </w:r>
      <w:r>
        <w:rPr>
          <w:rFonts w:hint="eastAsia" w:ascii="仿宋_GB2312" w:hAnsi="仿宋_GB2312" w:eastAsia="仿宋_GB2312" w:cs="仿宋_GB2312"/>
          <w:b w:val="0"/>
          <w:i w:val="0"/>
          <w:caps w:val="0"/>
          <w:color w:val="auto"/>
          <w:spacing w:val="0"/>
          <w:sz w:val="32"/>
          <w:szCs w:val="32"/>
        </w:rPr>
        <w:t>杨义兰</w:t>
      </w:r>
      <w:r>
        <w:rPr>
          <w:rFonts w:hint="eastAsia" w:ascii="仿宋_GB2312" w:hAnsi="仿宋_GB2312" w:eastAsia="仿宋_GB2312" w:cs="仿宋_GB2312"/>
          <w:b w:val="0"/>
          <w:i w:val="0"/>
          <w:caps w:val="0"/>
          <w:color w:val="auto"/>
          <w:spacing w:val="0"/>
          <w:sz w:val="32"/>
          <w:szCs w:val="32"/>
          <w:lang w:eastAsia="zh-CN"/>
        </w:rPr>
        <w:t>存在重大过错；</w:t>
      </w:r>
      <w:r>
        <w:rPr>
          <w:rFonts w:hint="eastAsia" w:ascii="仿宋_GB2312" w:hAnsi="仿宋_GB2312" w:eastAsia="仿宋_GB2312" w:cs="仿宋_GB2312"/>
          <w:b w:val="0"/>
          <w:i w:val="0"/>
          <w:caps w:val="0"/>
          <w:color w:val="333333"/>
          <w:spacing w:val="0"/>
          <w:sz w:val="32"/>
          <w:szCs w:val="32"/>
          <w:lang w:eastAsia="zh-CN"/>
        </w:rPr>
        <w:t>乘客</w:t>
      </w:r>
      <w:r>
        <w:rPr>
          <w:rFonts w:hint="eastAsia" w:ascii="仿宋_GB2312" w:hAnsi="仿宋_GB2312" w:eastAsia="仿宋_GB2312" w:cs="仿宋_GB2312"/>
          <w:kern w:val="0"/>
          <w:sz w:val="32"/>
          <w:szCs w:val="32"/>
          <w:lang w:val="en-US" w:eastAsia="zh-CN"/>
        </w:rPr>
        <w:t>廖昌莲</w:t>
      </w:r>
      <w:r>
        <w:rPr>
          <w:rFonts w:hint="eastAsia" w:ascii="仿宋_GB2312" w:hAnsi="仿宋_GB2312" w:eastAsia="仿宋_GB2312" w:cs="仿宋_GB2312"/>
          <w:b w:val="0"/>
          <w:i w:val="0"/>
          <w:caps w:val="0"/>
          <w:color w:val="333333"/>
          <w:spacing w:val="0"/>
          <w:sz w:val="32"/>
          <w:szCs w:val="32"/>
          <w:lang w:eastAsia="zh-CN"/>
        </w:rPr>
        <w:t>明知</w:t>
      </w:r>
      <w:r>
        <w:rPr>
          <w:rFonts w:hint="eastAsia" w:ascii="仿宋_GB2312" w:hAnsi="仿宋_GB2312" w:eastAsia="仿宋_GB2312" w:cs="仿宋_GB2312"/>
          <w:b w:val="0"/>
          <w:i w:val="0"/>
          <w:caps w:val="0"/>
          <w:color w:val="auto"/>
          <w:spacing w:val="0"/>
          <w:sz w:val="32"/>
          <w:szCs w:val="32"/>
          <w:lang w:eastAsia="zh-CN"/>
        </w:rPr>
        <w:t>该车已超载且</w:t>
      </w:r>
      <w:r>
        <w:rPr>
          <w:rFonts w:hint="eastAsia" w:ascii="仿宋_GB2312" w:hAnsi="仿宋_GB2312" w:eastAsia="仿宋_GB2312" w:cs="仿宋_GB2312"/>
          <w:b w:val="0"/>
          <w:bCs w:val="0"/>
          <w:color w:val="auto"/>
          <w:kern w:val="0"/>
          <w:sz w:val="32"/>
          <w:szCs w:val="32"/>
          <w:lang w:eastAsia="zh-CN"/>
        </w:rPr>
        <w:t>无偿搭乘，</w:t>
      </w:r>
      <w:r>
        <w:rPr>
          <w:rFonts w:hint="eastAsia" w:ascii="仿宋_GB2312" w:hAnsi="仿宋_GB2312" w:eastAsia="仿宋_GB2312" w:cs="仿宋_GB2312"/>
          <w:kern w:val="0"/>
          <w:sz w:val="32"/>
          <w:szCs w:val="32"/>
          <w:lang w:val="en-US" w:eastAsia="zh-CN"/>
        </w:rPr>
        <w:t>廖昌莲应承担相应的民事责任</w:t>
      </w:r>
      <w:r>
        <w:rPr>
          <w:rFonts w:hint="eastAsia" w:ascii="仿宋_GB2312" w:hAnsi="仿宋_GB2312" w:eastAsia="仿宋_GB2312" w:cs="仿宋_GB2312"/>
          <w:b w:val="0"/>
          <w:i w:val="0"/>
          <w:caps w:val="0"/>
          <w:color w:val="auto"/>
          <w:spacing w:val="0"/>
          <w:sz w:val="32"/>
          <w:szCs w:val="32"/>
          <w:lang w:eastAsia="zh-CN"/>
        </w:rPr>
        <w:t>。</w:t>
      </w:r>
    </w:p>
    <w:p>
      <w:pPr>
        <w:pStyle w:val="6"/>
        <w:keepNext w:val="0"/>
        <w:keepLines w:val="0"/>
        <w:pageBreakBefore w:val="0"/>
        <w:kinsoku/>
        <w:overflowPunct/>
        <w:topLinePunct w:val="0"/>
        <w:autoSpaceDE/>
        <w:autoSpaceDN/>
        <w:bidi w:val="0"/>
        <w:adjustRightInd/>
        <w:snapToGrid/>
        <w:spacing w:beforeAutospacing="0" w:afterAutospacing="0" w:line="620" w:lineRule="exact"/>
        <w:ind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lang w:eastAsia="zh-CN"/>
        </w:rPr>
      </w:pPr>
      <w:r>
        <w:rPr>
          <w:rFonts w:hint="eastAsia" w:ascii="仿宋_GB2312" w:hAnsi="仿宋_GB2312" w:eastAsia="仿宋_GB2312" w:cs="仿宋_GB2312"/>
          <w:b w:val="0"/>
          <w:i w:val="0"/>
          <w:caps w:val="0"/>
          <w:color w:val="auto"/>
          <w:spacing w:val="0"/>
          <w:sz w:val="32"/>
          <w:szCs w:val="32"/>
          <w:lang w:eastAsia="zh-CN"/>
        </w:rPr>
        <w:t>综上，本院根据本案查明的过错程度，原因力事实，确定驾驶员</w:t>
      </w:r>
      <w:r>
        <w:rPr>
          <w:rFonts w:hint="eastAsia" w:ascii="仿宋_GB2312" w:hAnsi="仿宋_GB2312" w:eastAsia="仿宋_GB2312" w:cs="仿宋_GB2312"/>
          <w:b w:val="0"/>
          <w:i w:val="0"/>
          <w:caps w:val="0"/>
          <w:color w:val="auto"/>
          <w:spacing w:val="0"/>
          <w:sz w:val="32"/>
          <w:szCs w:val="32"/>
        </w:rPr>
        <w:t>杨义兰</w:t>
      </w:r>
      <w:r>
        <w:rPr>
          <w:rFonts w:hint="eastAsia" w:ascii="仿宋_GB2312" w:hAnsi="仿宋_GB2312" w:eastAsia="仿宋_GB2312" w:cs="仿宋_GB2312"/>
          <w:b w:val="0"/>
          <w:i w:val="0"/>
          <w:caps w:val="0"/>
          <w:color w:val="auto"/>
          <w:spacing w:val="0"/>
          <w:sz w:val="32"/>
          <w:szCs w:val="32"/>
          <w:lang w:eastAsia="zh-CN"/>
        </w:rPr>
        <w:t>承担</w:t>
      </w:r>
      <w:r>
        <w:rPr>
          <w:rFonts w:hint="eastAsia" w:ascii="仿宋_GB2312" w:hAnsi="仿宋_GB2312" w:eastAsia="仿宋_GB2312" w:cs="仿宋_GB2312"/>
          <w:b w:val="0"/>
          <w:i w:val="0"/>
          <w:caps w:val="0"/>
          <w:color w:val="auto"/>
          <w:spacing w:val="0"/>
          <w:sz w:val="32"/>
          <w:szCs w:val="32"/>
          <w:lang w:val="en-US" w:eastAsia="zh-CN"/>
        </w:rPr>
        <w:t>80</w:t>
      </w:r>
      <w:r>
        <w:rPr>
          <w:rFonts w:hint="eastAsia" w:ascii="仿宋_GB2312" w:hAnsi="仿宋_GB2312" w:eastAsia="仿宋_GB2312" w:cs="仿宋_GB2312"/>
          <w:b w:val="0"/>
          <w:i w:val="0"/>
          <w:caps w:val="0"/>
          <w:color w:val="auto"/>
          <w:spacing w:val="0"/>
          <w:sz w:val="32"/>
          <w:szCs w:val="32"/>
          <w:lang w:eastAsia="zh-CN"/>
        </w:rPr>
        <w:t>％的责任，</w:t>
      </w:r>
      <w:r>
        <w:rPr>
          <w:rFonts w:hint="eastAsia" w:ascii="仿宋_GB2312" w:hAnsi="仿宋_GB2312" w:eastAsia="仿宋_GB2312" w:cs="仿宋_GB2312"/>
          <w:kern w:val="0"/>
          <w:sz w:val="32"/>
          <w:szCs w:val="32"/>
          <w:lang w:val="en-US" w:eastAsia="zh-CN"/>
        </w:rPr>
        <w:t>廖昌莲</w:t>
      </w:r>
      <w:r>
        <w:rPr>
          <w:rFonts w:hint="eastAsia" w:ascii="仿宋_GB2312" w:hAnsi="仿宋_GB2312" w:eastAsia="仿宋_GB2312" w:cs="仿宋_GB2312"/>
          <w:b w:val="0"/>
          <w:i w:val="0"/>
          <w:caps w:val="0"/>
          <w:color w:val="333333"/>
          <w:spacing w:val="0"/>
          <w:sz w:val="32"/>
          <w:szCs w:val="32"/>
          <w:lang w:eastAsia="zh-CN"/>
        </w:rPr>
        <w:t>承担</w:t>
      </w:r>
      <w:r>
        <w:rPr>
          <w:rFonts w:hint="eastAsia" w:ascii="仿宋_GB2312" w:hAnsi="仿宋_GB2312" w:eastAsia="仿宋_GB2312" w:cs="仿宋_GB2312"/>
          <w:b w:val="0"/>
          <w:i w:val="0"/>
          <w:caps w:val="0"/>
          <w:color w:val="auto"/>
          <w:spacing w:val="0"/>
          <w:sz w:val="32"/>
          <w:szCs w:val="32"/>
          <w:lang w:val="en-US" w:eastAsia="zh-CN"/>
        </w:rPr>
        <w:t>15</w:t>
      </w:r>
      <w:r>
        <w:rPr>
          <w:rFonts w:hint="eastAsia" w:ascii="仿宋_GB2312" w:hAnsi="仿宋_GB2312" w:eastAsia="仿宋_GB2312" w:cs="仿宋_GB2312"/>
          <w:b w:val="0"/>
          <w:i w:val="0"/>
          <w:caps w:val="0"/>
          <w:color w:val="auto"/>
          <w:spacing w:val="0"/>
          <w:sz w:val="32"/>
          <w:szCs w:val="32"/>
          <w:lang w:eastAsia="zh-CN"/>
        </w:rPr>
        <w:t>％的责任，</w:t>
      </w:r>
      <w:r>
        <w:rPr>
          <w:rFonts w:hint="eastAsia" w:ascii="仿宋_GB2312" w:hAnsi="仿宋_GB2312" w:eastAsia="仿宋_GB2312" w:cs="仿宋_GB2312"/>
          <w:sz w:val="32"/>
          <w:szCs w:val="32"/>
          <w:lang w:val="en-US" w:eastAsia="zh-CN"/>
        </w:rPr>
        <w:t>被告</w:t>
      </w:r>
      <w:r>
        <w:rPr>
          <w:rFonts w:hint="eastAsia" w:hAnsi="仿宋_GB2312" w:cs="仿宋_GB2312"/>
          <w:b w:val="0"/>
          <w:i w:val="0"/>
          <w:caps w:val="0"/>
          <w:color w:val="auto"/>
          <w:spacing w:val="0"/>
          <w:sz w:val="32"/>
          <w:szCs w:val="32"/>
          <w:lang w:eastAsia="zh-CN"/>
        </w:rPr>
        <w:t>丰都县人民政府三合街道办事处</w:t>
      </w:r>
      <w:r>
        <w:rPr>
          <w:rFonts w:hint="eastAsia" w:ascii="仿宋_GB2312" w:hAnsi="仿宋_GB2312" w:eastAsia="仿宋_GB2312" w:cs="仿宋_GB2312"/>
          <w:b w:val="0"/>
          <w:i w:val="0"/>
          <w:caps w:val="0"/>
          <w:color w:val="auto"/>
          <w:spacing w:val="0"/>
          <w:sz w:val="32"/>
          <w:szCs w:val="32"/>
          <w:lang w:eastAsia="zh-CN"/>
        </w:rPr>
        <w:t>承担</w:t>
      </w:r>
      <w:r>
        <w:rPr>
          <w:rFonts w:hint="eastAsia" w:ascii="仿宋_GB2312" w:hAnsi="仿宋_GB2312" w:eastAsia="仿宋_GB2312" w:cs="仿宋_GB2312"/>
          <w:b w:val="0"/>
          <w:i w:val="0"/>
          <w:caps w:val="0"/>
          <w:color w:val="auto"/>
          <w:spacing w:val="0"/>
          <w:sz w:val="32"/>
          <w:szCs w:val="32"/>
          <w:lang w:val="en-US" w:eastAsia="zh-CN"/>
        </w:rPr>
        <w:t>5</w:t>
      </w:r>
      <w:r>
        <w:rPr>
          <w:rFonts w:hint="eastAsia" w:ascii="仿宋_GB2312" w:hAnsi="仿宋_GB2312" w:eastAsia="仿宋_GB2312" w:cs="仿宋_GB2312"/>
          <w:b w:val="0"/>
          <w:i w:val="0"/>
          <w:caps w:val="0"/>
          <w:color w:val="auto"/>
          <w:spacing w:val="0"/>
          <w:sz w:val="32"/>
          <w:szCs w:val="32"/>
          <w:lang w:eastAsia="zh-CN"/>
        </w:rPr>
        <w:t>％的责任，其余被告无责任。鉴于原告放弃</w:t>
      </w:r>
      <w:r>
        <w:rPr>
          <w:rFonts w:hint="eastAsia" w:ascii="仿宋_GB2312" w:hAnsi="仿宋_GB2312" w:eastAsia="仿宋_GB2312" w:cs="仿宋_GB2312"/>
          <w:b w:val="0"/>
          <w:i w:val="0"/>
          <w:caps w:val="0"/>
          <w:color w:val="auto"/>
          <w:spacing w:val="0"/>
          <w:sz w:val="32"/>
          <w:szCs w:val="32"/>
        </w:rPr>
        <w:t>杨义兰</w:t>
      </w:r>
      <w:r>
        <w:rPr>
          <w:rFonts w:hint="eastAsia" w:ascii="仿宋_GB2312" w:hAnsi="仿宋_GB2312" w:eastAsia="仿宋_GB2312" w:cs="仿宋_GB2312"/>
          <w:b w:val="0"/>
          <w:i w:val="0"/>
          <w:caps w:val="0"/>
          <w:color w:val="auto"/>
          <w:spacing w:val="0"/>
          <w:sz w:val="32"/>
          <w:szCs w:val="32"/>
          <w:lang w:eastAsia="zh-CN"/>
        </w:rPr>
        <w:t>承担的责任部分的请求，系原告对实体权利的处分，本院予以准许。</w:t>
      </w:r>
      <w:r>
        <w:rPr>
          <w:rFonts w:hint="eastAsia" w:ascii="仿宋_GB2312" w:hAnsi="仿宋_GB2312" w:eastAsia="仿宋_GB2312" w:cs="仿宋_GB2312"/>
          <w:kern w:val="0"/>
          <w:sz w:val="32"/>
          <w:szCs w:val="32"/>
          <w:lang w:val="en-US" w:eastAsia="zh-CN"/>
        </w:rPr>
        <w:t>廖昌莲</w:t>
      </w:r>
      <w:r>
        <w:rPr>
          <w:rFonts w:hint="eastAsia" w:ascii="仿宋_GB2312" w:hAnsi="仿宋_GB2312" w:eastAsia="仿宋_GB2312" w:cs="仿宋_GB2312"/>
          <w:b w:val="0"/>
          <w:i w:val="0"/>
          <w:caps w:val="0"/>
          <w:color w:val="333333"/>
          <w:spacing w:val="0"/>
          <w:sz w:val="32"/>
          <w:szCs w:val="32"/>
          <w:lang w:eastAsia="zh-CN"/>
        </w:rPr>
        <w:t>承担</w:t>
      </w:r>
      <w:r>
        <w:rPr>
          <w:rFonts w:hint="eastAsia" w:ascii="仿宋_GB2312" w:hAnsi="仿宋_GB2312" w:eastAsia="仿宋_GB2312" w:cs="仿宋_GB2312"/>
          <w:b w:val="0"/>
          <w:i w:val="0"/>
          <w:caps w:val="0"/>
          <w:color w:val="auto"/>
          <w:spacing w:val="0"/>
          <w:sz w:val="32"/>
          <w:szCs w:val="32"/>
          <w:lang w:eastAsia="zh-CN"/>
        </w:rPr>
        <w:t>的责任部分由原告自己承担。</w:t>
      </w:r>
    </w:p>
    <w:p>
      <w:pPr>
        <w:pStyle w:val="6"/>
        <w:keepNext w:val="0"/>
        <w:keepLines w:val="0"/>
        <w:pageBreakBefore w:val="0"/>
        <w:kinsoku/>
        <w:overflowPunct/>
        <w:topLinePunct w:val="0"/>
        <w:autoSpaceDE/>
        <w:autoSpaceDN/>
        <w:bidi w:val="0"/>
        <w:adjustRightInd/>
        <w:snapToGrid/>
        <w:spacing w:beforeAutospacing="0" w:afterAutospacing="0" w:line="620" w:lineRule="exact"/>
        <w:ind w:firstLine="1200"/>
        <w:jc w:val="both"/>
        <w:textAlignment w:val="auto"/>
        <w:outlineLvl w:val="9"/>
        <w:rPr>
          <w:rFonts w:hint="eastAsia" w:ascii="仿宋_GB2312" w:hAnsi="仿宋_GB2312" w:eastAsia="仿宋_GB2312" w:cs="仿宋_GB2312"/>
          <w:b w:val="0"/>
          <w:bCs w:val="0"/>
          <w:color w:val="auto"/>
          <w:sz w:val="32"/>
          <w:szCs w:val="32"/>
        </w:rPr>
      </w:pPr>
      <w:r>
        <w:rPr>
          <w:rFonts w:hint="eastAsia" w:hAnsi="仿宋_GB2312" w:cs="仿宋_GB2312"/>
          <w:b w:val="0"/>
          <w:i w:val="0"/>
          <w:caps w:val="0"/>
          <w:color w:val="auto"/>
          <w:spacing w:val="0"/>
          <w:sz w:val="32"/>
          <w:szCs w:val="32"/>
          <w:lang w:eastAsia="zh-CN"/>
        </w:rPr>
        <w:t>廖昌莲</w:t>
      </w:r>
      <w:r>
        <w:rPr>
          <w:rFonts w:hint="eastAsia" w:ascii="仿宋_GB2312" w:hAnsi="仿宋_GB2312" w:eastAsia="仿宋_GB2312" w:cs="仿宋_GB2312"/>
          <w:b w:val="0"/>
          <w:bCs w:val="0"/>
          <w:color w:val="auto"/>
          <w:sz w:val="32"/>
          <w:szCs w:val="32"/>
        </w:rPr>
        <w:t>死亡后的经济损失，本院</w:t>
      </w:r>
      <w:r>
        <w:rPr>
          <w:rFonts w:hint="eastAsia" w:ascii="仿宋_GB2312" w:hAnsi="仿宋_GB2312" w:eastAsia="仿宋_GB2312" w:cs="仿宋_GB2312"/>
          <w:b w:val="0"/>
          <w:bCs w:val="0"/>
          <w:color w:val="auto"/>
          <w:sz w:val="32"/>
          <w:szCs w:val="32"/>
          <w:lang w:eastAsia="zh-CN"/>
        </w:rPr>
        <w:t>依法</w:t>
      </w:r>
      <w:r>
        <w:rPr>
          <w:rFonts w:hint="eastAsia" w:ascii="仿宋_GB2312" w:hAnsi="仿宋_GB2312" w:eastAsia="仿宋_GB2312" w:cs="仿宋_GB2312"/>
          <w:b w:val="0"/>
          <w:bCs w:val="0"/>
          <w:color w:val="auto"/>
          <w:sz w:val="32"/>
          <w:szCs w:val="32"/>
        </w:rPr>
        <w:t>确认如下：</w:t>
      </w:r>
    </w:p>
    <w:p>
      <w:pPr>
        <w:pStyle w:val="6"/>
        <w:keepNext w:val="0"/>
        <w:keepLines w:val="0"/>
        <w:pageBreakBefore w:val="0"/>
        <w:kinsoku/>
        <w:overflowPunct/>
        <w:topLinePunct w:val="0"/>
        <w:autoSpaceDE/>
        <w:autoSpaceDN/>
        <w:bidi w:val="0"/>
        <w:adjustRightInd/>
        <w:snapToGrid/>
        <w:spacing w:beforeAutospacing="0" w:afterAutospacing="0" w:line="620" w:lineRule="exact"/>
        <w:ind w:firstLine="1200"/>
        <w:jc w:val="both"/>
        <w:textAlignment w:val="auto"/>
        <w:outlineLvl w:val="9"/>
        <w:rPr>
          <w:rFonts w:hint="eastAsia" w:ascii="仿宋_GB2312" w:hAnsi="仿宋_GB2312" w:eastAsia="仿宋_GB2312" w:cs="仿宋_GB2312"/>
          <w:b w:val="0"/>
          <w:bCs w:val="0"/>
          <w:color w:val="auto"/>
          <w:sz w:val="32"/>
          <w:szCs w:val="32"/>
          <w:lang w:val="en"/>
        </w:rPr>
      </w:pPr>
      <w:r>
        <w:rPr>
          <w:rFonts w:hint="eastAsia" w:ascii="仿宋_GB2312" w:hAnsi="仿宋_GB2312" w:eastAsia="仿宋_GB2312" w:cs="仿宋_GB2312"/>
          <w:b w:val="0"/>
          <w:bCs w:val="0"/>
          <w:color w:val="auto"/>
          <w:sz w:val="32"/>
          <w:szCs w:val="32"/>
          <w:lang w:val="en" w:eastAsia="zh-CN"/>
        </w:rPr>
        <w:t>1. 死亡赔偿金，计算为，</w:t>
      </w:r>
      <w:r>
        <w:rPr>
          <w:rFonts w:hint="eastAsia" w:ascii="仿宋_GB2312" w:hAnsi="仿宋_GB2312" w:eastAsia="仿宋_GB2312" w:cs="仿宋_GB2312"/>
          <w:b w:val="0"/>
          <w:bCs w:val="0"/>
          <w:color w:val="auto"/>
          <w:kern w:val="0"/>
          <w:sz w:val="32"/>
          <w:szCs w:val="32"/>
          <w:lang w:val="en-US" w:eastAsia="zh-CN"/>
        </w:rPr>
        <w:t>40,006</w:t>
      </w:r>
      <w:r>
        <w:rPr>
          <w:rFonts w:hint="eastAsia" w:ascii="仿宋_GB2312" w:hAnsi="仿宋_GB2312" w:eastAsia="仿宋_GB2312" w:cs="仿宋_GB2312"/>
          <w:b w:val="0"/>
          <w:bCs w:val="0"/>
          <w:color w:val="auto"/>
          <w:sz w:val="32"/>
          <w:szCs w:val="32"/>
          <w:lang w:val="en-US" w:eastAsia="zh-CN"/>
        </w:rPr>
        <w:t>元/年×20年=800</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120元（本系交通事故且同一事故受害人有城镇居民在同一事故中死亡，依法按城镇居民标准计算），被扶养人生活费分别计算为，26</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464元/年×11年÷3=97</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034.67元（</w:t>
      </w:r>
      <w:r>
        <w:rPr>
          <w:rFonts w:hint="eastAsia" w:ascii="仿宋_GB2312" w:hAnsi="仿宋_GB2312" w:eastAsia="仿宋_GB2312" w:cs="仿宋_GB2312"/>
          <w:kern w:val="0"/>
          <w:sz w:val="32"/>
          <w:szCs w:val="32"/>
          <w:lang w:eastAsia="zh-CN"/>
        </w:rPr>
        <w:t>廖克祥</w:t>
      </w:r>
      <w:r>
        <w:rPr>
          <w:rFonts w:hint="eastAsia" w:ascii="仿宋_GB2312" w:hAnsi="仿宋_GB2312" w:eastAsia="仿宋_GB2312" w:cs="仿宋_GB2312"/>
          <w:b w:val="0"/>
          <w:bCs w:val="0"/>
          <w:color w:val="auto"/>
          <w:sz w:val="32"/>
          <w:szCs w:val="32"/>
          <w:lang w:val="en-US" w:eastAsia="zh-CN"/>
        </w:rPr>
        <w:t>），26</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464元/年×1</w:t>
      </w:r>
      <w:r>
        <w:rPr>
          <w:rFonts w:hint="eastAsia" w:hAnsi="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年÷3=88</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213.33元（</w:t>
      </w:r>
      <w:r>
        <w:rPr>
          <w:rFonts w:hint="eastAsia" w:ascii="仿宋_GB2312" w:hAnsi="仿宋_GB2312" w:eastAsia="仿宋_GB2312" w:cs="仿宋_GB2312"/>
          <w:kern w:val="0"/>
          <w:sz w:val="32"/>
          <w:szCs w:val="32"/>
          <w:lang w:eastAsia="zh-CN"/>
        </w:rPr>
        <w:t>张福芳</w:t>
      </w:r>
      <w:r>
        <w:rPr>
          <w:rFonts w:hint="eastAsia" w:ascii="仿宋_GB2312" w:hAnsi="仿宋_GB2312" w:eastAsia="仿宋_GB2312" w:cs="仿宋_GB2312"/>
          <w:b w:val="0"/>
          <w:bCs w:val="0"/>
          <w:color w:val="auto"/>
          <w:sz w:val="32"/>
          <w:szCs w:val="32"/>
          <w:lang w:val="en-US" w:eastAsia="zh-CN"/>
        </w:rPr>
        <w:t>），26</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464元/年×1年÷2</w:t>
      </w:r>
      <w:r>
        <w:rPr>
          <w:rFonts w:hint="eastAsia" w:ascii="仿宋_GB2312" w:hAnsi="仿宋_GB2312" w:eastAsia="仿宋_GB2312" w:cs="仿宋_GB2312"/>
          <w:b w:val="0"/>
          <w:bCs w:val="0"/>
          <w:color w:val="auto"/>
          <w:sz w:val="32"/>
          <w:szCs w:val="32"/>
          <w:lang w:val="en" w:eastAsia="zh-CN"/>
        </w:rPr>
        <w:t xml:space="preserve"> </w:t>
      </w:r>
      <w:r>
        <w:rPr>
          <w:rFonts w:hint="eastAsia" w:ascii="仿宋_GB2312" w:hAnsi="仿宋_GB2312" w:eastAsia="仿宋_GB2312" w:cs="仿宋_GB2312"/>
          <w:b w:val="0"/>
          <w:bCs w:val="0"/>
          <w:color w:val="auto"/>
          <w:sz w:val="32"/>
          <w:szCs w:val="32"/>
          <w:lang w:val="en-US" w:eastAsia="zh-CN"/>
        </w:rPr>
        <w:t>=13</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232元（</w:t>
      </w:r>
      <w:r>
        <w:rPr>
          <w:rFonts w:hint="eastAsia" w:ascii="仿宋_GB2312" w:hAnsi="仿宋_GB2312" w:eastAsia="仿宋_GB2312" w:cs="仿宋_GB2312"/>
          <w:kern w:val="0"/>
          <w:sz w:val="32"/>
          <w:szCs w:val="32"/>
          <w:lang w:val="en-US" w:eastAsia="zh-CN"/>
        </w:rPr>
        <w:t>冉兴</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 w:eastAsia="zh-CN"/>
        </w:rPr>
        <w:t>，该项小计</w:t>
      </w:r>
      <w:r>
        <w:rPr>
          <w:rFonts w:hint="eastAsia" w:ascii="仿宋_GB2312" w:hAnsi="仿宋_GB2312" w:eastAsia="仿宋_GB2312" w:cs="仿宋_GB2312"/>
          <w:b w:val="0"/>
          <w:bCs w:val="0"/>
          <w:color w:val="auto"/>
          <w:sz w:val="32"/>
          <w:szCs w:val="32"/>
          <w:lang w:val="en-US" w:eastAsia="zh-CN"/>
        </w:rPr>
        <w:t>998</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600元；</w:t>
      </w:r>
      <w:r>
        <w:rPr>
          <w:rFonts w:hint="eastAsia" w:ascii="仿宋_GB2312" w:hAnsi="仿宋_GB2312" w:eastAsia="仿宋_GB2312" w:cs="仿宋_GB2312"/>
          <w:b w:val="0"/>
          <w:bCs w:val="0"/>
          <w:color w:val="auto"/>
          <w:sz w:val="32"/>
          <w:szCs w:val="32"/>
          <w:lang w:val="en" w:eastAsia="zh-CN"/>
        </w:rPr>
        <w:t xml:space="preserve">                                                                                                                            </w:t>
      </w:r>
    </w:p>
    <w:p>
      <w:pPr>
        <w:pStyle w:val="6"/>
        <w:keepNext w:val="0"/>
        <w:keepLines w:val="0"/>
        <w:pageBreakBefore w:val="0"/>
        <w:kinsoku/>
        <w:overflowPunct/>
        <w:topLinePunct w:val="0"/>
        <w:autoSpaceDE/>
        <w:autoSpaceDN/>
        <w:bidi w:val="0"/>
        <w:adjustRightInd/>
        <w:snapToGrid/>
        <w:spacing w:beforeAutospacing="0" w:afterAutospacing="0" w:line="620" w:lineRule="exact"/>
        <w:ind w:firstLine="1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丧葬费。原告</w:t>
      </w:r>
      <w:r>
        <w:rPr>
          <w:rFonts w:hint="eastAsia" w:ascii="仿宋_GB2312" w:hAnsi="仿宋_GB2312" w:eastAsia="仿宋_GB2312" w:cs="仿宋_GB2312"/>
          <w:b w:val="0"/>
          <w:bCs w:val="0"/>
          <w:color w:val="auto"/>
          <w:sz w:val="32"/>
          <w:szCs w:val="32"/>
          <w:lang w:eastAsia="zh-CN"/>
        </w:rPr>
        <w:t>拟计算</w:t>
      </w:r>
      <w:r>
        <w:rPr>
          <w:rFonts w:hint="eastAsia" w:ascii="仿宋_GB2312" w:hAnsi="仿宋_GB2312" w:eastAsia="仿宋_GB2312" w:cs="仿宋_GB2312"/>
          <w:b w:val="0"/>
          <w:bCs w:val="0"/>
          <w:color w:val="auto"/>
          <w:sz w:val="32"/>
          <w:szCs w:val="32"/>
          <w:lang w:val="en-US" w:eastAsia="zh-CN"/>
        </w:rPr>
        <w:t>49,190</w:t>
      </w:r>
      <w:r>
        <w:rPr>
          <w:rFonts w:hint="eastAsia" w:ascii="仿宋_GB2312" w:hAnsi="仿宋_GB2312" w:eastAsia="仿宋_GB2312" w:cs="仿宋_GB2312"/>
          <w:b w:val="0"/>
          <w:bCs w:val="0"/>
          <w:color w:val="auto"/>
          <w:kern w:val="0"/>
          <w:sz w:val="32"/>
          <w:szCs w:val="32"/>
        </w:rPr>
        <w:t>元</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98,380</w:t>
      </w:r>
      <w:r>
        <w:rPr>
          <w:rFonts w:hint="eastAsia" w:ascii="仿宋_GB2312" w:hAnsi="仿宋_GB2312" w:eastAsia="仿宋_GB2312" w:cs="仿宋_GB2312"/>
          <w:b w:val="0"/>
          <w:bCs w:val="0"/>
          <w:color w:val="auto"/>
          <w:sz w:val="32"/>
          <w:szCs w:val="32"/>
        </w:rPr>
        <w:t>元／年÷12个月×6个月）。经审查</w:t>
      </w:r>
      <w:r>
        <w:rPr>
          <w:rFonts w:hint="eastAsia" w:ascii="仿宋_GB2312" w:hAnsi="仿宋_GB2312" w:eastAsia="仿宋_GB2312" w:cs="仿宋_GB2312"/>
          <w:b w:val="0"/>
          <w:bCs w:val="0"/>
          <w:color w:val="auto"/>
          <w:sz w:val="32"/>
          <w:szCs w:val="32"/>
          <w:lang w:eastAsia="zh-CN"/>
        </w:rPr>
        <w:t>符合法律规定，本院予以确认</w:t>
      </w:r>
      <w:r>
        <w:rPr>
          <w:rFonts w:hint="eastAsia" w:ascii="仿宋_GB2312" w:hAnsi="仿宋_GB2312" w:eastAsia="仿宋_GB2312" w:cs="仿宋_GB2312"/>
          <w:b w:val="0"/>
          <w:bCs w:val="0"/>
          <w:color w:val="auto"/>
          <w:sz w:val="32"/>
          <w:szCs w:val="32"/>
        </w:rPr>
        <w:t>；</w:t>
      </w:r>
    </w:p>
    <w:p>
      <w:pPr>
        <w:pStyle w:val="6"/>
        <w:keepNext w:val="0"/>
        <w:keepLines w:val="0"/>
        <w:pageBreakBefore w:val="0"/>
        <w:kinsoku/>
        <w:overflowPunct/>
        <w:topLinePunct w:val="0"/>
        <w:autoSpaceDE/>
        <w:autoSpaceDN/>
        <w:bidi w:val="0"/>
        <w:adjustRightInd/>
        <w:snapToGrid/>
        <w:spacing w:beforeAutospacing="0" w:afterAutospacing="0" w:line="620" w:lineRule="exact"/>
        <w:ind w:firstLine="1200"/>
        <w:jc w:val="both"/>
        <w:textAlignment w:val="auto"/>
        <w:outlineLvl w:val="9"/>
        <w:rPr>
          <w:rFonts w:hint="eastAsia" w:ascii="仿宋_GB2312" w:hAnsi="仿宋_GB2312" w:eastAsia="仿宋_GB2312" w:cs="仿宋_GB2312"/>
          <w:b w:val="0"/>
          <w:bCs w:val="0"/>
          <w:color w:val="auto"/>
          <w:sz w:val="32"/>
          <w:szCs w:val="32"/>
          <w:lang w:val="e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精神损害抚慰金。原告</w:t>
      </w:r>
      <w:r>
        <w:rPr>
          <w:rFonts w:hint="eastAsia" w:ascii="仿宋_GB2312" w:hAnsi="仿宋_GB2312" w:eastAsia="仿宋_GB2312" w:cs="仿宋_GB2312"/>
          <w:b w:val="0"/>
          <w:bCs w:val="0"/>
          <w:color w:val="auto"/>
          <w:sz w:val="32"/>
          <w:szCs w:val="32"/>
          <w:lang w:eastAsia="zh-CN"/>
        </w:rPr>
        <w:t>拟计算</w:t>
      </w:r>
      <w:r>
        <w:rPr>
          <w:rFonts w:hint="eastAsia" w:ascii="仿宋_GB2312" w:hAnsi="仿宋_GB2312" w:eastAsia="仿宋_GB2312" w:cs="仿宋_GB2312"/>
          <w:b w:val="0"/>
          <w:bCs w:val="0"/>
          <w:color w:val="auto"/>
          <w:sz w:val="32"/>
          <w:szCs w:val="32"/>
          <w:lang w:val="en-US" w:eastAsia="zh-CN"/>
        </w:rPr>
        <w:t>50,000</w:t>
      </w:r>
      <w:r>
        <w:rPr>
          <w:rFonts w:hint="eastAsia" w:ascii="仿宋_GB2312" w:hAnsi="仿宋_GB2312" w:eastAsia="仿宋_GB2312" w:cs="仿宋_GB2312"/>
          <w:b w:val="0"/>
          <w:bCs w:val="0"/>
          <w:color w:val="auto"/>
          <w:sz w:val="32"/>
          <w:szCs w:val="32"/>
        </w:rPr>
        <w:t>元。</w:t>
      </w:r>
      <w:r>
        <w:rPr>
          <w:rFonts w:hint="eastAsia" w:ascii="仿宋_GB2312" w:hAnsi="仿宋_GB2312" w:eastAsia="仿宋_GB2312" w:cs="仿宋_GB2312"/>
          <w:kern w:val="0"/>
          <w:sz w:val="32"/>
          <w:szCs w:val="32"/>
          <w:lang w:val="en-US" w:eastAsia="zh-CN"/>
        </w:rPr>
        <w:t>廖昌莲</w:t>
      </w:r>
      <w:r>
        <w:rPr>
          <w:rFonts w:hint="eastAsia" w:ascii="仿宋_GB2312" w:hAnsi="仿宋_GB2312" w:eastAsia="仿宋_GB2312" w:cs="仿宋_GB2312"/>
          <w:b w:val="0"/>
          <w:i w:val="0"/>
          <w:caps w:val="0"/>
          <w:color w:val="auto"/>
          <w:spacing w:val="0"/>
          <w:sz w:val="32"/>
          <w:szCs w:val="32"/>
          <w:lang w:eastAsia="zh-CN"/>
        </w:rPr>
        <w:t>死亡后，</w:t>
      </w:r>
      <w:r>
        <w:rPr>
          <w:rFonts w:hint="eastAsia" w:ascii="仿宋_GB2312" w:hAnsi="仿宋_GB2312" w:eastAsia="仿宋_GB2312" w:cs="仿宋_GB2312"/>
          <w:b w:val="0"/>
          <w:bCs w:val="0"/>
          <w:color w:val="auto"/>
          <w:sz w:val="32"/>
          <w:szCs w:val="32"/>
        </w:rPr>
        <w:t>给其亲属即</w:t>
      </w:r>
      <w:r>
        <w:rPr>
          <w:rFonts w:hint="eastAsia" w:ascii="仿宋_GB2312" w:hAnsi="仿宋_GB2312" w:eastAsia="仿宋_GB2312" w:cs="仿宋_GB2312"/>
          <w:b w:val="0"/>
          <w:bCs w:val="0"/>
          <w:color w:val="auto"/>
          <w:sz w:val="32"/>
          <w:szCs w:val="32"/>
          <w:lang w:eastAsia="zh-CN"/>
        </w:rPr>
        <w:t>本案</w:t>
      </w:r>
      <w:r>
        <w:rPr>
          <w:rFonts w:hint="eastAsia" w:ascii="仿宋_GB2312" w:hAnsi="仿宋_GB2312" w:eastAsia="仿宋_GB2312" w:cs="仿宋_GB2312"/>
          <w:b w:val="0"/>
          <w:bCs w:val="0"/>
          <w:color w:val="auto"/>
          <w:sz w:val="32"/>
          <w:szCs w:val="32"/>
        </w:rPr>
        <w:t>原告造成了</w:t>
      </w:r>
      <w:r>
        <w:rPr>
          <w:rFonts w:hint="eastAsia" w:ascii="仿宋_GB2312" w:hAnsi="仿宋_GB2312" w:eastAsia="仿宋_GB2312" w:cs="仿宋_GB2312"/>
          <w:b w:val="0"/>
          <w:bCs w:val="0"/>
          <w:color w:val="auto"/>
          <w:sz w:val="32"/>
          <w:szCs w:val="32"/>
          <w:lang w:eastAsia="zh-CN"/>
        </w:rPr>
        <w:t>较大的</w:t>
      </w:r>
      <w:r>
        <w:rPr>
          <w:rFonts w:hint="eastAsia" w:ascii="仿宋_GB2312" w:hAnsi="仿宋_GB2312" w:eastAsia="仿宋_GB2312" w:cs="仿宋_GB2312"/>
          <w:b w:val="0"/>
          <w:bCs w:val="0"/>
          <w:color w:val="auto"/>
          <w:sz w:val="32"/>
          <w:szCs w:val="32"/>
        </w:rPr>
        <w:t>精神伤害</w:t>
      </w:r>
      <w:r>
        <w:rPr>
          <w:rFonts w:hint="eastAsia" w:ascii="仿宋_GB2312" w:hAnsi="仿宋_GB2312" w:eastAsia="仿宋_GB2312" w:cs="仿宋_GB2312"/>
          <w:b w:val="0"/>
          <w:bCs w:val="0"/>
          <w:color w:val="auto"/>
          <w:sz w:val="32"/>
          <w:szCs w:val="32"/>
          <w:lang w:eastAsia="zh-CN"/>
        </w:rPr>
        <w:t>。但</w:t>
      </w:r>
      <w:r>
        <w:rPr>
          <w:rFonts w:hint="eastAsia" w:ascii="仿宋_GB2312" w:hAnsi="仿宋_GB2312" w:eastAsia="仿宋_GB2312" w:cs="仿宋_GB2312"/>
          <w:kern w:val="0"/>
          <w:sz w:val="32"/>
          <w:szCs w:val="32"/>
          <w:lang w:val="en-US" w:eastAsia="zh-CN"/>
        </w:rPr>
        <w:t>廖昌莲</w:t>
      </w:r>
      <w:r>
        <w:rPr>
          <w:rFonts w:hint="eastAsia" w:ascii="仿宋_GB2312" w:hAnsi="仿宋_GB2312" w:eastAsia="仿宋_GB2312" w:cs="仿宋_GB2312"/>
          <w:color w:val="auto"/>
          <w:sz w:val="32"/>
          <w:szCs w:val="32"/>
        </w:rPr>
        <w:t>因</w:t>
      </w:r>
      <w:r>
        <w:rPr>
          <w:rFonts w:hint="eastAsia" w:ascii="仿宋_GB2312" w:hAnsi="仿宋_GB2312" w:eastAsia="仿宋_GB2312" w:cs="仿宋_GB2312"/>
          <w:b w:val="0"/>
          <w:i w:val="0"/>
          <w:caps w:val="0"/>
          <w:color w:val="auto"/>
          <w:spacing w:val="0"/>
          <w:sz w:val="32"/>
          <w:szCs w:val="32"/>
          <w:lang w:eastAsia="zh-CN"/>
        </w:rPr>
        <w:t>系无偿和明知超载而搭乘在本案存在</w:t>
      </w:r>
      <w:r>
        <w:rPr>
          <w:rFonts w:hint="eastAsia" w:ascii="仿宋_GB2312" w:hAnsi="仿宋_GB2312" w:eastAsia="仿宋_GB2312" w:cs="仿宋_GB2312"/>
          <w:b w:val="0"/>
          <w:bCs w:val="0"/>
          <w:color w:val="auto"/>
          <w:sz w:val="32"/>
          <w:szCs w:val="32"/>
        </w:rPr>
        <w:t>过错，</w:t>
      </w:r>
      <w:r>
        <w:rPr>
          <w:rFonts w:hint="eastAsia" w:ascii="仿宋_GB2312" w:hAnsi="仿宋_GB2312" w:eastAsia="仿宋_GB2312" w:cs="仿宋_GB2312"/>
          <w:b w:val="0"/>
          <w:bCs w:val="0"/>
          <w:color w:val="auto"/>
          <w:sz w:val="32"/>
          <w:szCs w:val="32"/>
          <w:lang w:eastAsia="zh-CN"/>
        </w:rPr>
        <w:t>故本院酌定赔付</w:t>
      </w:r>
      <w:r>
        <w:rPr>
          <w:rFonts w:hint="eastAsia" w:ascii="仿宋_GB2312" w:hAnsi="仿宋_GB2312" w:eastAsia="仿宋_GB2312" w:cs="仿宋_GB2312"/>
          <w:b w:val="0"/>
          <w:bCs w:val="0"/>
          <w:color w:val="auto"/>
          <w:sz w:val="32"/>
          <w:szCs w:val="32"/>
          <w:lang w:val="en-US" w:eastAsia="zh-CN"/>
        </w:rPr>
        <w:t>40,000元</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
        </w:rPr>
        <w:t xml:space="preserve">                                                                                                                                                                                                                                                                                                                                                                                                                                                                                                                                                                                                                                                                                                                                                                                                                                                                                                                                                                                                                                                                                                                                                                                                                                                                                                                                                                                                                                                                                                                                                                                                                                                                                                                                                                                                                                                                                                                                                                                                                                                                                                                                                                                                                                                                                                                                                                                                                                                                                                                                                                                                                                                                                                                                                                                                                                                                                                                                                                                                                                                                                                                                                                                                                                                                                                                                                                                                                                                                                                                                                                                                                                                                                                                                                                                                                                                                                                                                                                       </w:t>
      </w:r>
    </w:p>
    <w:p>
      <w:pPr>
        <w:pStyle w:val="6"/>
        <w:keepNext w:val="0"/>
        <w:keepLines w:val="0"/>
        <w:pageBreakBefore w:val="0"/>
        <w:kinsoku/>
        <w:overflowPunct/>
        <w:topLinePunct w:val="0"/>
        <w:autoSpaceDE/>
        <w:autoSpaceDN/>
        <w:bidi w:val="0"/>
        <w:adjustRightInd/>
        <w:snapToGrid/>
        <w:spacing w:beforeAutospacing="0" w:afterAutospacing="0" w:line="620" w:lineRule="exact"/>
        <w:ind w:firstLine="1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4.办理丧葬支出的</w:t>
      </w:r>
      <w:r>
        <w:rPr>
          <w:rFonts w:hint="eastAsia" w:ascii="仿宋_GB2312" w:hAnsi="仿宋_GB2312" w:eastAsia="仿宋_GB2312" w:cs="仿宋_GB2312"/>
          <w:b w:val="0"/>
          <w:bCs w:val="0"/>
          <w:color w:val="auto"/>
          <w:kern w:val="0"/>
          <w:sz w:val="32"/>
          <w:szCs w:val="32"/>
          <w:lang w:val="en-US" w:eastAsia="zh-CN"/>
        </w:rPr>
        <w:t>交通费、住宿费、误工费损失。</w:t>
      </w:r>
      <w:r>
        <w:rPr>
          <w:rFonts w:hint="eastAsia" w:ascii="仿宋_GB2312" w:hAnsi="仿宋_GB2312" w:eastAsia="仿宋_GB2312" w:cs="仿宋_GB2312"/>
          <w:b w:val="0"/>
          <w:bCs w:val="0"/>
          <w:color w:val="auto"/>
          <w:sz w:val="32"/>
          <w:szCs w:val="32"/>
        </w:rPr>
        <w:t>原告</w:t>
      </w:r>
      <w:r>
        <w:rPr>
          <w:rFonts w:hint="eastAsia" w:ascii="仿宋_GB2312" w:hAnsi="仿宋_GB2312" w:eastAsia="仿宋_GB2312" w:cs="仿宋_GB2312"/>
          <w:b w:val="0"/>
          <w:bCs w:val="0"/>
          <w:color w:val="auto"/>
          <w:sz w:val="32"/>
          <w:szCs w:val="32"/>
          <w:lang w:eastAsia="zh-CN"/>
        </w:rPr>
        <w:t>拟计算</w:t>
      </w:r>
      <w:r>
        <w:rPr>
          <w:rFonts w:hint="eastAsia" w:ascii="仿宋_GB2312" w:hAnsi="仿宋_GB2312" w:eastAsia="仿宋_GB2312" w:cs="仿宋_GB2312"/>
          <w:sz w:val="32"/>
          <w:szCs w:val="32"/>
          <w:lang w:val="en-US" w:eastAsia="zh-CN"/>
        </w:rPr>
        <w:t>交通费3,000元、住宿费2,000元、误工费2,100元，虽原告</w:t>
      </w:r>
      <w:r>
        <w:rPr>
          <w:rFonts w:hint="eastAsia" w:ascii="仿宋_GB2312" w:hAnsi="仿宋_GB2312" w:eastAsia="仿宋_GB2312" w:cs="仿宋_GB2312"/>
          <w:color w:val="auto"/>
          <w:sz w:val="32"/>
          <w:szCs w:val="32"/>
          <w:lang w:eastAsia="zh-CN"/>
        </w:rPr>
        <w:t>未举示相关票据证明，但</w:t>
      </w:r>
      <w:r>
        <w:rPr>
          <w:rFonts w:hint="eastAsia" w:ascii="仿宋_GB2312" w:hAnsi="仿宋_GB2312" w:eastAsia="仿宋_GB2312" w:cs="仿宋_GB2312"/>
          <w:b w:val="0"/>
          <w:bCs w:val="0"/>
          <w:color w:val="auto"/>
          <w:kern w:val="0"/>
          <w:sz w:val="32"/>
          <w:szCs w:val="32"/>
          <w:lang w:val="en-US" w:eastAsia="zh-CN"/>
        </w:rPr>
        <w:t>本院考虑实际需要，可酌定赔付交通费600元、</w:t>
      </w:r>
      <w:r>
        <w:rPr>
          <w:rFonts w:hint="eastAsia" w:ascii="仿宋_GB2312" w:hAnsi="仿宋_GB2312" w:eastAsia="仿宋_GB2312" w:cs="仿宋_GB2312"/>
          <w:sz w:val="32"/>
          <w:szCs w:val="32"/>
          <w:lang w:val="en-US" w:eastAsia="zh-CN"/>
        </w:rPr>
        <w:t>住宿费500元，</w:t>
      </w:r>
      <w:r>
        <w:rPr>
          <w:rFonts w:hint="eastAsia" w:ascii="仿宋_GB2312" w:hAnsi="仿宋_GB2312" w:eastAsia="仿宋_GB2312" w:cs="仿宋_GB2312"/>
          <w:b w:val="0"/>
          <w:bCs w:val="0"/>
          <w:color w:val="auto"/>
          <w:kern w:val="0"/>
          <w:sz w:val="32"/>
          <w:szCs w:val="32"/>
          <w:lang w:val="en-US" w:eastAsia="zh-CN"/>
        </w:rPr>
        <w:t>误工费600元（2人×3天×100元/天），共计1,700元</w:t>
      </w:r>
      <w:r>
        <w:rPr>
          <w:rFonts w:hint="eastAsia" w:ascii="仿宋_GB2312" w:hAnsi="仿宋_GB2312" w:eastAsia="仿宋_GB2312" w:cs="仿宋_GB2312"/>
          <w:b w:val="0"/>
          <w:bCs w:val="0"/>
          <w:color w:val="auto"/>
          <w:sz w:val="32"/>
          <w:szCs w:val="32"/>
        </w:rPr>
        <w:t>；</w:t>
      </w:r>
    </w:p>
    <w:p>
      <w:pPr>
        <w:numPr>
          <w:ilvl w:val="0"/>
          <w:numId w:val="1"/>
        </w:numPr>
        <w:autoSpaceDE w:val="0"/>
        <w:autoSpaceDN w:val="0"/>
        <w:adjustRightInd w:val="0"/>
        <w:ind w:firstLine="640" w:firstLineChars="200"/>
        <w:rPr>
          <w:rFonts w:hint="eastAsia" w:ascii="仿宋" w:hAnsi="仿宋" w:eastAsia="仿宋"/>
          <w:color w:val="000000"/>
          <w:sz w:val="32"/>
          <w:szCs w:val="32"/>
        </w:rPr>
      </w:pPr>
      <w:r>
        <w:rPr>
          <w:rFonts w:hint="eastAsia" w:ascii="仿宋_GB2312" w:hAnsi="仿宋_GB2312" w:eastAsia="仿宋_GB2312" w:cs="仿宋_GB2312"/>
          <w:b w:val="0"/>
          <w:bCs w:val="0"/>
          <w:color w:val="auto"/>
          <w:sz w:val="32"/>
          <w:szCs w:val="32"/>
        </w:rPr>
        <w:t>上列损失共计</w:t>
      </w:r>
      <w:r>
        <w:rPr>
          <w:rFonts w:hint="eastAsia" w:ascii="仿宋_GB2312" w:hAnsi="仿宋_GB2312" w:eastAsia="仿宋_GB2312" w:cs="仿宋_GB2312"/>
          <w:b w:val="0"/>
          <w:bCs w:val="0"/>
          <w:color w:val="auto"/>
          <w:sz w:val="32"/>
          <w:szCs w:val="32"/>
          <w:lang w:val="en-US" w:eastAsia="zh-CN"/>
        </w:rPr>
        <w:t>1</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089</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490元，</w:t>
      </w:r>
      <w:r>
        <w:rPr>
          <w:rFonts w:hint="eastAsia" w:ascii="仿宋_GB2312" w:hAnsi="仿宋_GB2312" w:eastAsia="仿宋_GB2312" w:cs="仿宋_GB2312"/>
          <w:color w:val="auto"/>
          <w:sz w:val="32"/>
          <w:szCs w:val="32"/>
          <w:lang w:eastAsia="zh-CN"/>
        </w:rPr>
        <w:t>丰都县人民政府三合街道办事处应赔付的金额为，</w:t>
      </w:r>
      <w:r>
        <w:rPr>
          <w:rFonts w:hint="eastAsia" w:ascii="仿宋_GB2312" w:hAnsi="仿宋_GB2312" w:eastAsia="仿宋_GB2312" w:cs="仿宋_GB2312"/>
          <w:b w:val="0"/>
          <w:bCs w:val="0"/>
          <w:color w:val="auto"/>
          <w:sz w:val="32"/>
          <w:szCs w:val="32"/>
          <w:lang w:val="en-US" w:eastAsia="zh-CN"/>
        </w:rPr>
        <w:t>108</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9490元×5%=54</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474.5元，扣减已赔偿的金额20</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000元，实际赔偿的金额为34</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474.5元</w:t>
      </w:r>
      <w:r>
        <w:rPr>
          <w:rFonts w:hint="eastAsia" w:ascii="仿宋" w:hAnsi="仿宋" w:eastAsia="仿宋" w:cs="H-SS9-PK74820000a48-Identity-H"/>
          <w:kern w:val="0"/>
          <w:sz w:val="32"/>
          <w:szCs w:val="32"/>
          <w:lang w:val="en-US" w:eastAsia="zh-CN"/>
        </w:rPr>
        <w:t>。</w:t>
      </w:r>
    </w:p>
    <w:p>
      <w:pPr>
        <w:snapToGrid w:val="0"/>
        <w:spacing w:line="560" w:lineRule="exact"/>
        <w:ind w:firstLine="640" w:firstLineChars="200"/>
        <w:rPr>
          <w:rFonts w:hint="eastAsia" w:ascii="仿宋" w:hAnsi="仿宋" w:eastAsia="黑体"/>
          <w:color w:val="000000"/>
          <w:sz w:val="32"/>
          <w:szCs w:val="32"/>
          <w:lang w:eastAsia="zh-CN"/>
        </w:rPr>
      </w:pPr>
      <w:r>
        <w:rPr>
          <w:rFonts w:hint="eastAsia" w:ascii="黑体" w:hAnsi="黑体" w:eastAsia="黑体" w:cs="黑体"/>
          <w:color w:val="000000"/>
          <w:sz w:val="32"/>
          <w:szCs w:val="32"/>
          <w:lang w:val="en-US" w:eastAsia="zh-CN"/>
        </w:rPr>
        <w:t>4.</w:t>
      </w:r>
      <w:r>
        <w:rPr>
          <w:rFonts w:hint="eastAsia" w:ascii="黑体" w:hAnsi="黑体" w:eastAsia="黑体" w:cs="黑体"/>
          <w:color w:val="000000"/>
          <w:sz w:val="32"/>
          <w:szCs w:val="32"/>
          <w:lang w:eastAsia="zh-CN"/>
        </w:rPr>
        <w:t>一审定案结论</w:t>
      </w:r>
    </w:p>
    <w:p>
      <w:pPr>
        <w:pStyle w:val="6"/>
        <w:keepNext w:val="0"/>
        <w:keepLines w:val="0"/>
        <w:pageBreakBefore w:val="0"/>
        <w:kinsoku/>
        <w:overflowPunct/>
        <w:topLinePunct w:val="0"/>
        <w:autoSpaceDE/>
        <w:autoSpaceDN/>
        <w:bidi w:val="0"/>
        <w:adjustRightInd/>
        <w:snapToGrid/>
        <w:spacing w:beforeAutospacing="0" w:afterAutospacing="0" w:line="58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olor w:val="000000"/>
          <w:sz w:val="32"/>
          <w:szCs w:val="32"/>
          <w:lang w:eastAsia="zh-CN"/>
        </w:rPr>
        <w:t>重庆市丰都县人民法院</w:t>
      </w:r>
      <w:r>
        <w:rPr>
          <w:rFonts w:hint="eastAsia" w:ascii="仿宋" w:hAnsi="仿宋" w:eastAsia="仿宋"/>
          <w:color w:val="000000"/>
          <w:sz w:val="32"/>
          <w:szCs w:val="32"/>
        </w:rPr>
        <w:t>依照</w:t>
      </w:r>
      <w:r>
        <w:rPr>
          <w:rFonts w:hint="eastAsia" w:ascii="仿宋_GB2312" w:hAnsi="仿宋_GB2312" w:eastAsia="仿宋_GB2312" w:cs="仿宋_GB2312"/>
          <w:b w:val="0"/>
          <w:bCs w:val="0"/>
          <w:color w:val="auto"/>
          <w:sz w:val="32"/>
          <w:szCs w:val="32"/>
          <w:lang w:eastAsia="zh-CN"/>
        </w:rPr>
        <w:t>《中华人民共和国侵权责任法》第六条、</w:t>
      </w:r>
      <w:r>
        <w:rPr>
          <w:rFonts w:hint="eastAsia" w:ascii="仿宋_GB2312" w:hAnsi="仿宋_GB2312" w:eastAsia="仿宋_GB2312" w:cs="仿宋_GB2312"/>
          <w:b w:val="0"/>
          <w:bCs w:val="0"/>
          <w:color w:val="auto"/>
          <w:kern w:val="0"/>
          <w:sz w:val="32"/>
          <w:szCs w:val="32"/>
        </w:rPr>
        <w:t>第十</w:t>
      </w:r>
      <w:r>
        <w:rPr>
          <w:rFonts w:hint="eastAsia" w:ascii="仿宋_GB2312" w:hAnsi="仿宋_GB2312" w:eastAsia="仿宋_GB2312" w:cs="仿宋_GB2312"/>
          <w:b w:val="0"/>
          <w:bCs w:val="0"/>
          <w:color w:val="auto"/>
          <w:kern w:val="0"/>
          <w:sz w:val="32"/>
          <w:szCs w:val="32"/>
          <w:lang w:eastAsia="zh-CN"/>
        </w:rPr>
        <w:t>六</w:t>
      </w:r>
      <w:r>
        <w:rPr>
          <w:rFonts w:hint="eastAsia" w:ascii="仿宋_GB2312" w:hAnsi="仿宋_GB2312" w:eastAsia="仿宋_GB2312" w:cs="仿宋_GB2312"/>
          <w:b w:val="0"/>
          <w:bCs w:val="0"/>
          <w:color w:val="auto"/>
          <w:kern w:val="0"/>
          <w:sz w:val="32"/>
          <w:szCs w:val="32"/>
        </w:rPr>
        <w:t>条</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第十</w:t>
      </w:r>
      <w:r>
        <w:rPr>
          <w:rFonts w:hint="eastAsia" w:ascii="仿宋_GB2312" w:hAnsi="仿宋_GB2312" w:eastAsia="仿宋_GB2312" w:cs="仿宋_GB2312"/>
          <w:b w:val="0"/>
          <w:bCs w:val="0"/>
          <w:color w:val="auto"/>
          <w:kern w:val="0"/>
          <w:sz w:val="32"/>
          <w:szCs w:val="32"/>
          <w:lang w:eastAsia="zh-CN"/>
        </w:rPr>
        <w:t>七</w:t>
      </w:r>
      <w:r>
        <w:rPr>
          <w:rFonts w:hint="eastAsia" w:ascii="仿宋_GB2312" w:hAnsi="仿宋_GB2312" w:eastAsia="仿宋_GB2312" w:cs="仿宋_GB2312"/>
          <w:b w:val="0"/>
          <w:bCs w:val="0"/>
          <w:color w:val="auto"/>
          <w:kern w:val="0"/>
          <w:sz w:val="32"/>
          <w:szCs w:val="32"/>
        </w:rPr>
        <w:t>条</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第</w:t>
      </w: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十</w:t>
      </w:r>
      <w:r>
        <w:rPr>
          <w:rFonts w:hint="eastAsia" w:ascii="仿宋_GB2312" w:hAnsi="仿宋_GB2312" w:eastAsia="仿宋_GB2312" w:cs="仿宋_GB2312"/>
          <w:b w:val="0"/>
          <w:bCs w:val="0"/>
          <w:color w:val="auto"/>
          <w:kern w:val="0"/>
          <w:sz w:val="32"/>
          <w:szCs w:val="32"/>
          <w:lang w:eastAsia="zh-CN"/>
        </w:rPr>
        <w:t>六</w:t>
      </w:r>
      <w:r>
        <w:rPr>
          <w:rFonts w:hint="eastAsia" w:ascii="仿宋_GB2312" w:hAnsi="仿宋_GB2312" w:eastAsia="仿宋_GB2312" w:cs="仿宋_GB2312"/>
          <w:b w:val="0"/>
          <w:bCs w:val="0"/>
          <w:color w:val="auto"/>
          <w:kern w:val="0"/>
          <w:sz w:val="32"/>
          <w:szCs w:val="32"/>
        </w:rPr>
        <w:t>条</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sz w:val="32"/>
          <w:szCs w:val="32"/>
        </w:rPr>
        <w:t>《最高人民法院关于审理人身损害赔偿案件适用法律若干问题的解释》</w:t>
      </w:r>
      <w:r>
        <w:rPr>
          <w:rFonts w:hint="eastAsia" w:hAnsi="仿宋_GB2312" w:cs="仿宋_GB2312"/>
          <w:b w:val="0"/>
          <w:bCs w:val="0"/>
          <w:color w:val="auto"/>
          <w:sz w:val="32"/>
          <w:szCs w:val="32"/>
          <w:lang w:eastAsia="zh-CN"/>
        </w:rPr>
        <w:t>第十七条、</w:t>
      </w:r>
      <w:r>
        <w:rPr>
          <w:rFonts w:hint="eastAsia" w:ascii="仿宋_GB2312" w:hAnsi="仿宋_GB2312" w:eastAsia="仿宋_GB2312" w:cs="仿宋_GB2312"/>
          <w:b w:val="0"/>
          <w:bCs w:val="0"/>
          <w:color w:val="auto"/>
          <w:sz w:val="32"/>
          <w:szCs w:val="32"/>
        </w:rPr>
        <w:t>第十</w:t>
      </w:r>
      <w:r>
        <w:rPr>
          <w:rFonts w:hint="eastAsia" w:ascii="仿宋_GB2312" w:hAnsi="仿宋_GB2312" w:eastAsia="仿宋_GB2312" w:cs="仿宋_GB2312"/>
          <w:b w:val="0"/>
          <w:bCs w:val="0"/>
          <w:color w:val="auto"/>
          <w:sz w:val="32"/>
          <w:szCs w:val="32"/>
          <w:lang w:eastAsia="zh-CN"/>
        </w:rPr>
        <w:t>八</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第二十</w:t>
      </w:r>
      <w:r>
        <w:rPr>
          <w:rFonts w:hint="eastAsia" w:ascii="仿宋_GB2312" w:hAnsi="仿宋_GB2312" w:eastAsia="仿宋_GB2312" w:cs="仿宋_GB2312"/>
          <w:b w:val="0"/>
          <w:bCs w:val="0"/>
          <w:color w:val="auto"/>
          <w:sz w:val="32"/>
          <w:szCs w:val="32"/>
          <w:lang w:eastAsia="zh-CN"/>
        </w:rPr>
        <w:t>七</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eastAsia="zh-CN"/>
        </w:rPr>
        <w:t>、</w:t>
      </w:r>
      <w:r>
        <w:rPr>
          <w:rFonts w:hint="eastAsia" w:hAnsi="仿宋_GB2312" w:cs="仿宋_GB2312"/>
          <w:b w:val="0"/>
          <w:bCs w:val="0"/>
          <w:color w:val="auto"/>
          <w:sz w:val="32"/>
          <w:szCs w:val="32"/>
          <w:lang w:eastAsia="zh-CN"/>
        </w:rPr>
        <w:t>第二十八条、</w:t>
      </w:r>
      <w:r>
        <w:rPr>
          <w:rFonts w:hint="eastAsia" w:ascii="仿宋_GB2312" w:hAnsi="仿宋_GB2312" w:eastAsia="仿宋_GB2312" w:cs="仿宋_GB2312"/>
          <w:b w:val="0"/>
          <w:bCs w:val="0"/>
          <w:color w:val="auto"/>
          <w:sz w:val="32"/>
          <w:szCs w:val="32"/>
        </w:rPr>
        <w:t>第二十九条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lang w:eastAsia="zh-CN"/>
        </w:rPr>
        <w:t>中华人民共和国民事诉讼法</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一百四十四</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b w:val="0"/>
          <w:bCs w:val="0"/>
          <w:color w:val="auto"/>
          <w:sz w:val="32"/>
          <w:szCs w:val="32"/>
        </w:rPr>
        <w:t>规定，</w:t>
      </w:r>
      <w:r>
        <w:rPr>
          <w:rFonts w:hint="eastAsia" w:ascii="仿宋_GB2312" w:hAnsi="仿宋_GB2312" w:eastAsia="仿宋_GB2312" w:cs="仿宋_GB2312"/>
          <w:b w:val="0"/>
          <w:bCs w:val="0"/>
          <w:color w:val="auto"/>
          <w:sz w:val="32"/>
          <w:szCs w:val="32"/>
          <w:lang w:eastAsia="zh-CN"/>
        </w:rPr>
        <w:t>并经本院审判委员会讨论决定，</w:t>
      </w:r>
      <w:r>
        <w:rPr>
          <w:rFonts w:hint="eastAsia" w:ascii="仿宋_GB2312" w:hAnsi="仿宋_GB2312" w:eastAsia="仿宋_GB2312" w:cs="仿宋_GB2312"/>
          <w:b w:val="0"/>
          <w:bCs w:val="0"/>
          <w:color w:val="auto"/>
          <w:sz w:val="32"/>
          <w:szCs w:val="32"/>
        </w:rPr>
        <w:t>判决如下：</w:t>
      </w:r>
    </w:p>
    <w:p>
      <w:pPr>
        <w:pStyle w:val="6"/>
        <w:keepNext w:val="0"/>
        <w:keepLines w:val="0"/>
        <w:pageBreakBefore w:val="0"/>
        <w:kinsoku/>
        <w:overflowPunct/>
        <w:topLinePunct w:val="0"/>
        <w:autoSpaceDE/>
        <w:autoSpaceDN/>
        <w:bidi w:val="0"/>
        <w:adjustRightInd/>
        <w:snapToGrid/>
        <w:spacing w:beforeAutospacing="0" w:afterAutospacing="0" w:line="620" w:lineRule="exact"/>
        <w:ind w:firstLine="1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sz w:val="32"/>
          <w:szCs w:val="32"/>
        </w:rPr>
        <w:t>被告丰都县人民政府</w:t>
      </w:r>
      <w:r>
        <w:rPr>
          <w:rFonts w:hint="eastAsia" w:hAnsi="仿宋_GB2312" w:cs="仿宋_GB2312"/>
          <w:sz w:val="32"/>
          <w:szCs w:val="32"/>
          <w:lang w:eastAsia="zh-CN"/>
        </w:rPr>
        <w:t>丰都县人民政府三合街道办事处</w:t>
      </w:r>
      <w:r>
        <w:rPr>
          <w:rFonts w:hint="eastAsia" w:ascii="仿宋_GB2312" w:hAnsi="仿宋_GB2312" w:eastAsia="仿宋_GB2312" w:cs="仿宋_GB2312"/>
          <w:sz w:val="32"/>
          <w:szCs w:val="32"/>
          <w:lang w:eastAsia="zh-CN"/>
        </w:rPr>
        <w:t>在本判决生效后</w:t>
      </w:r>
      <w:r>
        <w:rPr>
          <w:rFonts w:hint="eastAsia" w:ascii="仿宋_GB2312" w:hAnsi="仿宋_GB2312" w:eastAsia="仿宋_GB2312" w:cs="仿宋_GB2312"/>
          <w:sz w:val="32"/>
          <w:szCs w:val="32"/>
          <w:lang w:val="en-US" w:eastAsia="zh-CN"/>
        </w:rPr>
        <w:t>10日内赔付</w:t>
      </w:r>
      <w:r>
        <w:rPr>
          <w:rFonts w:hint="eastAsia" w:ascii="仿宋_GB2312" w:hAnsi="仿宋_GB2312" w:eastAsia="仿宋_GB2312" w:cs="仿宋_GB2312"/>
          <w:sz w:val="32"/>
          <w:szCs w:val="32"/>
        </w:rPr>
        <w:t>原告</w:t>
      </w:r>
      <w:r>
        <w:rPr>
          <w:rFonts w:hint="eastAsia" w:ascii="仿宋_GB2312" w:hAnsi="仿宋_GB2312" w:eastAsia="仿宋_GB2312" w:cs="仿宋_GB2312"/>
          <w:kern w:val="0"/>
          <w:sz w:val="32"/>
          <w:szCs w:val="32"/>
          <w:lang w:eastAsia="zh-CN"/>
        </w:rPr>
        <w:t>廖克祥、张福芳、</w:t>
      </w:r>
      <w:r>
        <w:rPr>
          <w:rFonts w:hint="eastAsia" w:ascii="仿宋_GB2312" w:hAnsi="仿宋_GB2312" w:eastAsia="仿宋_GB2312" w:cs="仿宋_GB2312"/>
          <w:kern w:val="0"/>
          <w:sz w:val="32"/>
          <w:szCs w:val="32"/>
          <w:lang w:val="en-US" w:eastAsia="zh-CN"/>
        </w:rPr>
        <w:t>冉永奎、冉玉美、冉玉珠、冉兴</w:t>
      </w:r>
      <w:r>
        <w:rPr>
          <w:rFonts w:hint="eastAsia" w:hAnsi="仿宋_GB2312" w:cs="仿宋_GB2312"/>
          <w:kern w:val="0"/>
          <w:sz w:val="32"/>
          <w:szCs w:val="32"/>
          <w:lang w:val="en-US" w:eastAsia="zh-CN"/>
        </w:rPr>
        <w:t>因廖昌莲死亡产生的</w:t>
      </w:r>
      <w:r>
        <w:rPr>
          <w:rFonts w:hint="eastAsia" w:ascii="仿宋_GB2312" w:hAnsi="仿宋_GB2312" w:eastAsia="仿宋_GB2312" w:cs="仿宋_GB2312"/>
          <w:b w:val="0"/>
          <w:bCs w:val="0"/>
          <w:color w:val="auto"/>
          <w:sz w:val="32"/>
          <w:szCs w:val="32"/>
        </w:rPr>
        <w:t>死亡赔偿金</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丧葬费</w:t>
      </w:r>
      <w:r>
        <w:rPr>
          <w:rFonts w:hint="eastAsia" w:ascii="仿宋_GB2312" w:hAnsi="仿宋_GB2312" w:eastAsia="仿宋_GB2312" w:cs="仿宋_GB2312"/>
          <w:b w:val="0"/>
          <w:bCs w:val="0"/>
          <w:color w:val="auto"/>
          <w:sz w:val="32"/>
          <w:szCs w:val="32"/>
          <w:lang w:eastAsia="zh-CN"/>
        </w:rPr>
        <w:t>等损失共计</w:t>
      </w:r>
      <w:r>
        <w:rPr>
          <w:rFonts w:hint="eastAsia" w:ascii="仿宋_GB2312" w:hAnsi="仿宋_GB2312" w:eastAsia="仿宋_GB2312" w:cs="仿宋_GB2312"/>
          <w:b w:val="0"/>
          <w:bCs w:val="0"/>
          <w:color w:val="auto"/>
          <w:sz w:val="32"/>
          <w:szCs w:val="32"/>
          <w:lang w:val="en-US" w:eastAsia="zh-CN"/>
        </w:rPr>
        <w:t>34</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474.45</w:t>
      </w:r>
      <w:r>
        <w:rPr>
          <w:rFonts w:hint="eastAsia" w:ascii="仿宋_GB2312" w:hAnsi="仿宋_GB2312" w:eastAsia="仿宋_GB2312" w:cs="仿宋_GB2312"/>
          <w:color w:val="auto"/>
          <w:sz w:val="32"/>
          <w:szCs w:val="32"/>
          <w:lang w:val="en-US" w:eastAsia="zh-CN"/>
        </w:rPr>
        <w:t>元；</w:t>
      </w:r>
    </w:p>
    <w:p>
      <w:pPr>
        <w:pStyle w:val="6"/>
        <w:keepNext w:val="0"/>
        <w:keepLines w:val="0"/>
        <w:pageBreakBefore w:val="0"/>
        <w:kinsoku/>
        <w:overflowPunct/>
        <w:topLinePunct w:val="0"/>
        <w:autoSpaceDE/>
        <w:autoSpaceDN/>
        <w:bidi w:val="0"/>
        <w:adjustRightInd/>
        <w:snapToGrid/>
        <w:spacing w:beforeAutospacing="0" w:afterAutospacing="0" w:line="620" w:lineRule="exact"/>
        <w:ind w:firstLine="1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lang w:eastAsia="zh-CN"/>
        </w:rPr>
        <w:t>二、驳回原告</w:t>
      </w:r>
      <w:r>
        <w:rPr>
          <w:rFonts w:hint="eastAsia" w:ascii="仿宋_GB2312" w:hAnsi="仿宋_GB2312" w:eastAsia="仿宋_GB2312" w:cs="仿宋_GB2312"/>
          <w:kern w:val="0"/>
          <w:sz w:val="32"/>
          <w:szCs w:val="32"/>
          <w:lang w:eastAsia="zh-CN"/>
        </w:rPr>
        <w:t>廖克祥、张福芳、</w:t>
      </w:r>
      <w:r>
        <w:rPr>
          <w:rFonts w:hint="eastAsia" w:ascii="仿宋_GB2312" w:hAnsi="仿宋_GB2312" w:eastAsia="仿宋_GB2312" w:cs="仿宋_GB2312"/>
          <w:kern w:val="0"/>
          <w:sz w:val="32"/>
          <w:szCs w:val="32"/>
          <w:lang w:val="en-US" w:eastAsia="zh-CN"/>
        </w:rPr>
        <w:t>冉永奎、冉玉美、冉玉珠、冉兴</w:t>
      </w:r>
      <w:r>
        <w:rPr>
          <w:rFonts w:hint="eastAsia" w:ascii="仿宋_GB2312" w:hAnsi="仿宋_GB2312" w:eastAsia="仿宋_GB2312" w:cs="仿宋_GB2312"/>
          <w:sz w:val="32"/>
          <w:szCs w:val="32"/>
          <w:lang w:eastAsia="zh-CN"/>
        </w:rPr>
        <w:t>的其余诉讼请求。</w:t>
      </w:r>
    </w:p>
    <w:p>
      <w:pPr>
        <w:pStyle w:val="6"/>
        <w:keepNext w:val="0"/>
        <w:keepLines w:val="0"/>
        <w:pageBreakBefore w:val="0"/>
        <w:widowControl w:val="0"/>
        <w:kinsoku/>
        <w:wordWrap/>
        <w:overflowPunct/>
        <w:topLinePunct w:val="0"/>
        <w:autoSpaceDE/>
        <w:autoSpaceDN/>
        <w:bidi w:val="0"/>
        <w:adjustRightInd/>
        <w:snapToGrid/>
        <w:spacing w:line="620" w:lineRule="exact"/>
        <w:ind w:firstLine="1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如果未按本判决指定的期间履行给付金钱义务的，应当依照《中华人民共和国民事诉讼法》第二百五十三条之规定，加倍支付迟延履行期间的债务利息。</w:t>
      </w:r>
    </w:p>
    <w:p>
      <w:pPr>
        <w:pStyle w:val="6"/>
        <w:keepNext w:val="0"/>
        <w:keepLines w:val="0"/>
        <w:pageBreakBefore w:val="0"/>
        <w:kinsoku/>
        <w:overflowPunct/>
        <w:topLinePunct w:val="0"/>
        <w:autoSpaceDE/>
        <w:autoSpaceDN/>
        <w:bidi w:val="0"/>
        <w:adjustRightInd/>
        <w:snapToGrid/>
        <w:spacing w:beforeAutospacing="0" w:afterAutospacing="0" w:line="620" w:lineRule="exact"/>
        <w:ind w:firstLine="1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案件受理费</w:t>
      </w:r>
      <w:r>
        <w:rPr>
          <w:rFonts w:hint="eastAsia" w:ascii="仿宋_GB2312" w:hAnsi="仿宋_GB2312" w:eastAsia="仿宋_GB2312" w:cs="仿宋_GB2312"/>
          <w:b w:val="0"/>
          <w:bCs w:val="0"/>
          <w:color w:val="auto"/>
          <w:sz w:val="32"/>
          <w:szCs w:val="32"/>
          <w:lang w:val="en-US" w:eastAsia="zh-CN"/>
        </w:rPr>
        <w:t>3162.22</w:t>
      </w:r>
      <w:r>
        <w:rPr>
          <w:rFonts w:hint="eastAsia" w:ascii="仿宋_GB2312" w:hAnsi="仿宋_GB2312" w:eastAsia="仿宋_GB2312" w:cs="仿宋_GB2312"/>
          <w:b w:val="0"/>
          <w:bCs w:val="0"/>
          <w:color w:val="auto"/>
          <w:sz w:val="32"/>
          <w:szCs w:val="32"/>
        </w:rPr>
        <w:t>元，由</w:t>
      </w:r>
      <w:r>
        <w:rPr>
          <w:rFonts w:hint="eastAsia" w:ascii="仿宋_GB2312" w:hAnsi="仿宋_GB2312" w:eastAsia="仿宋_GB2312" w:cs="仿宋_GB2312"/>
          <w:sz w:val="32"/>
          <w:szCs w:val="32"/>
        </w:rPr>
        <w:t>被告丰都县人民政府</w:t>
      </w:r>
      <w:r>
        <w:rPr>
          <w:rFonts w:hint="eastAsia" w:hAnsi="仿宋_GB2312" w:cs="仿宋_GB2312"/>
          <w:sz w:val="32"/>
          <w:szCs w:val="32"/>
          <w:lang w:eastAsia="zh-CN"/>
        </w:rPr>
        <w:t>丰都县人民政府三合街道办事处</w:t>
      </w:r>
      <w:r>
        <w:rPr>
          <w:rFonts w:hint="eastAsia" w:ascii="仿宋_GB2312" w:hAnsi="仿宋_GB2312" w:eastAsia="仿宋_GB2312" w:cs="仿宋_GB2312"/>
          <w:b w:val="0"/>
          <w:bCs w:val="0"/>
          <w:color w:val="auto"/>
          <w:sz w:val="32"/>
          <w:szCs w:val="32"/>
        </w:rPr>
        <w:t>负担</w:t>
      </w:r>
      <w:r>
        <w:rPr>
          <w:rFonts w:hint="eastAsia" w:hAnsi="仿宋_GB2312" w:cs="仿宋_GB2312"/>
          <w:b w:val="0"/>
          <w:bCs w:val="0"/>
          <w:color w:val="auto"/>
          <w:sz w:val="32"/>
          <w:szCs w:val="32"/>
          <w:lang w:val="en-US" w:eastAsia="zh-CN"/>
        </w:rPr>
        <w:t>158.11</w:t>
      </w:r>
      <w:r>
        <w:rPr>
          <w:rFonts w:hint="eastAsia" w:ascii="仿宋_GB2312" w:hAnsi="仿宋_GB2312" w:eastAsia="仿宋_GB2312" w:cs="仿宋_GB2312"/>
          <w:b w:val="0"/>
          <w:bCs w:val="0"/>
          <w:color w:val="auto"/>
          <w:sz w:val="32"/>
          <w:szCs w:val="32"/>
          <w:lang w:val="en-US" w:eastAsia="zh-CN"/>
        </w:rPr>
        <w:t>元，</w:t>
      </w:r>
      <w:r>
        <w:rPr>
          <w:rFonts w:hint="eastAsia" w:ascii="仿宋_GB2312" w:hAnsi="仿宋_GB2312" w:eastAsia="仿宋_GB2312" w:cs="仿宋_GB2312"/>
          <w:sz w:val="32"/>
          <w:szCs w:val="32"/>
        </w:rPr>
        <w:t>原告</w:t>
      </w:r>
      <w:r>
        <w:rPr>
          <w:rFonts w:hint="eastAsia" w:ascii="仿宋_GB2312" w:hAnsi="仿宋_GB2312" w:eastAsia="仿宋_GB2312" w:cs="仿宋_GB2312"/>
          <w:kern w:val="0"/>
          <w:sz w:val="32"/>
          <w:szCs w:val="32"/>
          <w:lang w:eastAsia="zh-CN"/>
        </w:rPr>
        <w:t>廖克祥、张福芳、</w:t>
      </w:r>
      <w:r>
        <w:rPr>
          <w:rFonts w:hint="eastAsia" w:ascii="仿宋_GB2312" w:hAnsi="仿宋_GB2312" w:eastAsia="仿宋_GB2312" w:cs="仿宋_GB2312"/>
          <w:kern w:val="0"/>
          <w:sz w:val="32"/>
          <w:szCs w:val="32"/>
          <w:lang w:val="en-US" w:eastAsia="zh-CN"/>
        </w:rPr>
        <w:t>冉永奎、冉玉美、冉玉珠、冉兴</w:t>
      </w:r>
      <w:r>
        <w:rPr>
          <w:rFonts w:hint="eastAsia" w:ascii="仿宋_GB2312" w:hAnsi="仿宋_GB2312" w:eastAsia="仿宋_GB2312" w:cs="仿宋_GB2312"/>
          <w:b w:val="0"/>
          <w:bCs w:val="0"/>
          <w:color w:val="auto"/>
          <w:sz w:val="32"/>
          <w:szCs w:val="32"/>
        </w:rPr>
        <w:t>负担</w:t>
      </w:r>
      <w:r>
        <w:rPr>
          <w:rFonts w:hint="eastAsia" w:hAnsi="仿宋_GB2312" w:cs="仿宋_GB2312"/>
          <w:b w:val="0"/>
          <w:bCs w:val="0"/>
          <w:color w:val="auto"/>
          <w:sz w:val="32"/>
          <w:szCs w:val="32"/>
          <w:lang w:val="en-US" w:eastAsia="zh-CN"/>
        </w:rPr>
        <w:t>3004.11</w:t>
      </w:r>
      <w:r>
        <w:rPr>
          <w:rFonts w:hint="eastAsia" w:ascii="仿宋_GB2312" w:hAnsi="仿宋_GB2312" w:eastAsia="仿宋_GB2312" w:cs="仿宋_GB2312"/>
          <w:b w:val="0"/>
          <w:bCs w:val="0"/>
          <w:color w:val="auto"/>
          <w:sz w:val="32"/>
          <w:szCs w:val="32"/>
          <w:lang w:val="en-US" w:eastAsia="zh-CN"/>
        </w:rPr>
        <w:t>元</w:t>
      </w:r>
      <w:r>
        <w:rPr>
          <w:rFonts w:hint="eastAsia" w:ascii="仿宋_GB2312" w:hAnsi="仿宋_GB2312" w:eastAsia="仿宋_GB2312" w:cs="仿宋_GB2312"/>
          <w:b w:val="0"/>
          <w:bCs w:val="0"/>
          <w:color w:val="auto"/>
          <w:sz w:val="32"/>
          <w:szCs w:val="32"/>
          <w:lang w:eastAsia="zh-CN"/>
        </w:rPr>
        <w:t>。</w:t>
      </w:r>
    </w:p>
    <w:p>
      <w:pPr>
        <w:numPr>
          <w:ilvl w:val="0"/>
          <w:numId w:val="2"/>
        </w:numPr>
        <w:spacing w:line="360" w:lineRule="auto"/>
        <w:ind w:firstLine="640" w:firstLineChars="20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二审诉辩主张</w:t>
      </w:r>
    </w:p>
    <w:p>
      <w:pPr>
        <w:numPr>
          <w:ilvl w:val="0"/>
          <w:numId w:val="0"/>
        </w:numPr>
        <w:spacing w:line="360" w:lineRule="auto"/>
        <w:ind w:left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   上诉人（原审原告）廖克祥、张福芳、冉永奎、冉玉美、冉玉珠、冉兴诉称</w:t>
      </w:r>
    </w:p>
    <w:p>
      <w:pPr>
        <w:numPr>
          <w:numId w:val="0"/>
        </w:numPr>
        <w:spacing w:line="360" w:lineRule="auto"/>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审判决认定事实和适用法律错误。丰都县人民政府丰都县人民政府三合街道办事处将案涉公路发包给重庆市丰都县交通建设工程有限公司修建，在修建道路主体工程时没有同时设计、同步施工，未在危险路段安装安全防护措施，又在没有进行安全评估的情况下就通车运行，且事故路段的纵坡度为18%，明显超出国家行业标准《公路工程技术标准》（JTGB01-2014）第4.0.20条的规定，根据《最高人民法院关于审理道路交通事故损害赔偿案件适用法律若干问题解释》第八条的规定，丰都县人民政府丰都县人民政府三合街道办事处与重庆市丰都县交通建设工程有限公司应当承担相应的赔偿责任。丰都县人民政府丰都县人民政府三合街道办事处作为案涉公路的管理、维护单位，存在管理维护不当的行为。在案涉临水危险路段没有设置警示标志和安全防护措施，不履行管理维护职责，对胡青勇在临水危险路段修建的引水拱没有尽到清理、防护等警示义务，丰都县人民政府丰都县人民政府三合街道办事处也应承担相应的民事赔偿责任。被上诉人丰都县三合街道农业服务中心虽然没有管理公路的义务，但由于事故发生路段是村道公路，也是土门子水库堤坝，丰都县三合街道农业服务中心应当对土门子水库堤坝承担安全管理责任，而土门子水库堤坝的防护墩因缺失而失去安全防护作用后丰都县三合街道农业服务中心没有进行修复，故其单位应当承担管理维护不当的责任。根据《重庆市水利工程管理条例》第3条第3款的规定，丰都县三合街道鹿鸣岩村村民委员会具有协助管理土门子水库的责任。重庆市丰都县交通建设工程有限公司2017年对土门子水库堤坝第二次整修和公路硬化时将该水库的防护墩高度从原来的50CM降低到了15CM，而土门子水库堤坝临水一侧的防护墩已经没有了，本案交通事故就是发生在位于土门子水库堤坝临水一侧北边没有防护墩的位置。故重庆市丰都县交通建设工程有限公司与丰都县三合街道农业服务中心均有过错，其过错与案涉事故的发生具有直接的因果关系，应当承担侵权责任。胡青勇在没有任何单位批准、报备和验收的情况下，擅自在道路路面（既是弯道处又是陡坡处）修建了引水拱，明显影响车辆的正常通行，是本案事故发生的间接原因，应当承担侵权责任。杨义兰是在采取自救措施时操作失误发生的案涉事故，其行为只属于一般过失，在主观上不构成重大过错。案涉车辆虽然超员，但不超重，杨义兰让廖昌莲乘坐超员车辆并不影响车辆的正常行驶，杨义兰驾驶超员车辆行驶的违法行为应当受到行政处罚，但违法行为与案涉事故发生并无直接的因果关系。一审判决认定丰都县三合街道农业服务中心、丰都县三合街道鹿鸣岩村村民委员会、重庆市丰都县交通建设工程有限公司、胡青勇不承担该案民事责任，由丰都县人民政府丰都县人民政府三合街道办事处承担5%的责任，由杨义兰承担80%、廖昌莲承担15%的民事责任，明显缺乏公平、公正。请求1、撤销重庆市丰都县人民法院(2021)渝0230民初4693号民事判决，改判支持其六人在一审的诉讼请求；2、本案一、二审诉讼费由被上诉人丰都县人民政府丰都县人民政府三合街道办事处、丰都县三合街道农业服务中心、丰都县三合街道鹿鸣岩村村民委员会、重庆市丰都县交通建设工程有限公司、胡青勇承担。</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outlineLvl w:val="9"/>
        <w:rPr>
          <w:rFonts w:hint="eastAsia"/>
          <w:sz w:val="32"/>
          <w:szCs w:val="32"/>
          <w:lang w:val="en-US" w:eastAsia="zh-CN"/>
        </w:rPr>
      </w:pPr>
      <w:r>
        <w:rPr>
          <w:rFonts w:hint="eastAsia"/>
          <w:sz w:val="32"/>
          <w:szCs w:val="32"/>
          <w:lang w:val="en-US" w:eastAsia="zh-CN"/>
        </w:rPr>
        <w:t>上诉人（原审被告）丰都县人民政府三合街道办事处诉称</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outlineLvl w:val="9"/>
        <w:rPr>
          <w:rFonts w:hint="eastAsia"/>
          <w:sz w:val="32"/>
          <w:szCs w:val="32"/>
          <w:lang w:val="en-US" w:eastAsia="zh-CN"/>
        </w:rPr>
      </w:pPr>
      <w:r>
        <w:rPr>
          <w:rFonts w:hint="eastAsia"/>
          <w:sz w:val="32"/>
          <w:szCs w:val="32"/>
          <w:lang w:val="en-US" w:eastAsia="zh-CN"/>
        </w:rPr>
        <w:t>认可该案是一起交通事故责任纠纷，责任的划分是经过专业的交警部门所认定的，在没有经过其他更充分证据推翻交警部门作出的责任认定书的情况下，人民法院应当采信交警部门作出的责任划分，该责任认定书认定本案交通事故是杨义兰在驾驶过程中明显操作不当、明显超员发生的，廖克祥、张福芳、冉永奎、冉玉美、冉玉珠、冉兴的上诉理由和请求不应当成立，丰都县人民政府丰都县人民政府三合街道办事处没有任何过错，不应当承担任何责任。请求驳回廖克祥、张福芳、冉永奎、冉玉美、冉玉珠、冉兴等六人的全部上诉请求。</w:t>
      </w:r>
    </w:p>
    <w:p>
      <w:pPr>
        <w:numPr>
          <w:numId w:val="0"/>
        </w:numPr>
        <w:spacing w:line="360" w:lineRule="auto"/>
        <w:ind w:firstLine="640" w:firstLineChars="200"/>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被上诉人</w:t>
      </w:r>
      <w:r>
        <w:rPr>
          <w:rFonts w:hint="eastAsia" w:ascii="黑体" w:hAnsi="黑体" w:eastAsia="黑体" w:cs="黑体"/>
          <w:color w:val="000000"/>
          <w:sz w:val="32"/>
          <w:szCs w:val="32"/>
          <w:lang w:val="en-US" w:eastAsia="zh-CN"/>
        </w:rPr>
        <w:t>（原审被告）</w:t>
      </w:r>
      <w:r>
        <w:rPr>
          <w:rFonts w:hint="default" w:ascii="黑体" w:hAnsi="黑体" w:eastAsia="黑体" w:cs="黑体"/>
          <w:color w:val="000000"/>
          <w:sz w:val="32"/>
          <w:szCs w:val="32"/>
          <w:lang w:val="en-US" w:eastAsia="zh-CN"/>
        </w:rPr>
        <w:t>重庆市丰都县交通建设工程有限公司辩称</w:t>
      </w:r>
    </w:p>
    <w:p>
      <w:pPr>
        <w:numPr>
          <w:numId w:val="0"/>
        </w:numPr>
        <w:spacing w:line="360" w:lineRule="auto"/>
        <w:ind w:firstLine="640" w:firstLineChars="200"/>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其公司是按照丰都县人民政府</w:t>
      </w:r>
      <w:r>
        <w:rPr>
          <w:rFonts w:hint="eastAsia" w:ascii="黑体" w:hAnsi="黑体" w:eastAsia="黑体" w:cs="黑体"/>
          <w:color w:val="000000"/>
          <w:sz w:val="32"/>
          <w:szCs w:val="32"/>
          <w:lang w:val="en-US" w:eastAsia="zh-CN"/>
        </w:rPr>
        <w:t>丰都县人民政府三合街道办事处</w:t>
      </w:r>
      <w:r>
        <w:rPr>
          <w:rFonts w:hint="default" w:ascii="黑体" w:hAnsi="黑体" w:eastAsia="黑体" w:cs="黑体"/>
          <w:color w:val="000000"/>
          <w:sz w:val="32"/>
          <w:szCs w:val="32"/>
          <w:lang w:val="en-US" w:eastAsia="zh-CN"/>
        </w:rPr>
        <w:t>委托的内容进行施工的，只是将案涉公路硬化成水泥路，不包括其他内容，不会改变公路本身的坡度，不存在任何过错，不应当承担任何责任。一审判决认定的事实清楚，证据充分，适用法律正确。</w:t>
      </w:r>
    </w:p>
    <w:p>
      <w:pPr>
        <w:numPr>
          <w:numId w:val="0"/>
        </w:numPr>
        <w:spacing w:line="360" w:lineRule="auto"/>
        <w:ind w:firstLine="640" w:firstLineChars="200"/>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被上诉人</w:t>
      </w:r>
      <w:r>
        <w:rPr>
          <w:rFonts w:hint="eastAsia" w:ascii="黑体" w:hAnsi="黑体" w:eastAsia="黑体" w:cs="黑体"/>
          <w:color w:val="000000"/>
          <w:sz w:val="32"/>
          <w:szCs w:val="32"/>
          <w:lang w:val="en-US" w:eastAsia="zh-CN"/>
        </w:rPr>
        <w:t>（原审被告）</w:t>
      </w:r>
      <w:r>
        <w:rPr>
          <w:rFonts w:hint="default" w:ascii="黑体" w:hAnsi="黑体" w:eastAsia="黑体" w:cs="黑体"/>
          <w:color w:val="000000"/>
          <w:sz w:val="32"/>
          <w:szCs w:val="32"/>
          <w:lang w:val="en-US" w:eastAsia="zh-CN"/>
        </w:rPr>
        <w:t>胡青勇辩称</w:t>
      </w:r>
    </w:p>
    <w:p>
      <w:pPr>
        <w:numPr>
          <w:numId w:val="0"/>
        </w:numPr>
        <w:spacing w:line="360" w:lineRule="auto"/>
        <w:ind w:firstLine="640" w:firstLineChars="200"/>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我同意一审法院的判决，廖克祥、张福芳、冉永奎、冉玉美、冉玉珠、冉兴等六人的上诉理由不成立，我在本案中不存在任何过错，不应当承担任何责任。</w:t>
      </w:r>
    </w:p>
    <w:p>
      <w:pPr>
        <w:numPr>
          <w:numId w:val="0"/>
        </w:numPr>
        <w:spacing w:line="360" w:lineRule="auto"/>
        <w:ind w:firstLine="640" w:firstLineChars="200"/>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被上诉人</w:t>
      </w:r>
      <w:r>
        <w:rPr>
          <w:rFonts w:hint="eastAsia" w:ascii="黑体" w:hAnsi="黑体" w:eastAsia="黑体" w:cs="黑体"/>
          <w:color w:val="000000"/>
          <w:sz w:val="32"/>
          <w:szCs w:val="32"/>
          <w:lang w:val="en-US" w:eastAsia="zh-CN"/>
        </w:rPr>
        <w:t>（原审被告）重庆市丰都县交通建设工程有限公司</w:t>
      </w:r>
      <w:r>
        <w:rPr>
          <w:rFonts w:hint="default" w:ascii="黑体" w:hAnsi="黑体" w:eastAsia="黑体" w:cs="黑体"/>
          <w:color w:val="000000"/>
          <w:sz w:val="32"/>
          <w:szCs w:val="32"/>
          <w:lang w:val="en-US" w:eastAsia="zh-CN"/>
        </w:rPr>
        <w:t>辩称</w:t>
      </w:r>
    </w:p>
    <w:p>
      <w:pPr>
        <w:numPr>
          <w:numId w:val="0"/>
        </w:numPr>
        <w:spacing w:line="360" w:lineRule="auto"/>
        <w:ind w:firstLine="640" w:firstLineChars="200"/>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该案中，我方属于原审被告，案涉公路只是硬化成水泥路，不包括其他内容，我们是正常施工，工程经过了验收，并通车投入了使用，其公司不存在任何过错，不应当承担任何责任。丰都县人民政府</w:t>
      </w:r>
      <w:r>
        <w:rPr>
          <w:rFonts w:hint="eastAsia" w:ascii="黑体" w:hAnsi="黑体" w:eastAsia="黑体" w:cs="黑体"/>
          <w:color w:val="000000"/>
          <w:sz w:val="32"/>
          <w:szCs w:val="32"/>
          <w:lang w:val="en-US" w:eastAsia="zh-CN"/>
        </w:rPr>
        <w:t>丰都县人民政府三合街道办事处</w:t>
      </w:r>
      <w:r>
        <w:rPr>
          <w:rFonts w:hint="default" w:ascii="黑体" w:hAnsi="黑体" w:eastAsia="黑体" w:cs="黑体"/>
          <w:color w:val="000000"/>
          <w:sz w:val="32"/>
          <w:szCs w:val="32"/>
          <w:lang w:val="en-US" w:eastAsia="zh-CN"/>
        </w:rPr>
        <w:t>的上诉理由是否成立，由法院确定。</w:t>
      </w:r>
    </w:p>
    <w:p>
      <w:pPr>
        <w:numPr>
          <w:numId w:val="0"/>
        </w:numPr>
        <w:spacing w:line="360" w:lineRule="auto"/>
        <w:ind w:firstLine="640" w:firstLineChars="200"/>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被上诉人</w:t>
      </w:r>
      <w:r>
        <w:rPr>
          <w:rFonts w:hint="eastAsia" w:ascii="黑体" w:hAnsi="黑体" w:eastAsia="黑体" w:cs="黑体"/>
          <w:color w:val="000000"/>
          <w:sz w:val="32"/>
          <w:szCs w:val="32"/>
          <w:lang w:val="en-US" w:eastAsia="zh-CN"/>
        </w:rPr>
        <w:t>（原审被告）</w:t>
      </w:r>
      <w:r>
        <w:rPr>
          <w:rFonts w:hint="default" w:ascii="黑体" w:hAnsi="黑体" w:eastAsia="黑体" w:cs="黑体"/>
          <w:color w:val="000000"/>
          <w:sz w:val="32"/>
          <w:szCs w:val="32"/>
          <w:lang w:val="en-US" w:eastAsia="zh-CN"/>
        </w:rPr>
        <w:t>丰都县三合街道农业服务中心</w:t>
      </w:r>
      <w:r>
        <w:rPr>
          <w:rFonts w:hint="eastAsia" w:ascii="黑体" w:hAnsi="黑体" w:eastAsia="黑体" w:cs="黑体"/>
          <w:color w:val="000000"/>
          <w:sz w:val="32"/>
          <w:szCs w:val="32"/>
          <w:lang w:val="en-US" w:eastAsia="zh-CN"/>
        </w:rPr>
        <w:t>未作答辩。</w:t>
      </w:r>
    </w:p>
    <w:p>
      <w:pPr>
        <w:numPr>
          <w:numId w:val="0"/>
        </w:numPr>
        <w:spacing w:line="360" w:lineRule="auto"/>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被上诉人（原审被告）</w:t>
      </w:r>
      <w:r>
        <w:rPr>
          <w:rFonts w:hint="default" w:ascii="黑体" w:hAnsi="黑体" w:eastAsia="黑体" w:cs="黑体"/>
          <w:color w:val="000000"/>
          <w:sz w:val="32"/>
          <w:szCs w:val="32"/>
          <w:lang w:val="en-US" w:eastAsia="zh-CN"/>
        </w:rPr>
        <w:t>丰都县三合街道鹿鸣岩村村民委员会</w:t>
      </w:r>
      <w:r>
        <w:rPr>
          <w:rFonts w:hint="eastAsia" w:ascii="黑体" w:hAnsi="黑体" w:eastAsia="黑体" w:cs="黑体"/>
          <w:color w:val="000000"/>
          <w:sz w:val="32"/>
          <w:szCs w:val="32"/>
          <w:lang w:val="en-US" w:eastAsia="zh-CN"/>
        </w:rPr>
        <w:t>未作答辩。</w:t>
      </w:r>
    </w:p>
    <w:p>
      <w:pPr>
        <w:numPr>
          <w:numId w:val="0"/>
        </w:numPr>
        <w:spacing w:line="360" w:lineRule="auto"/>
        <w:ind w:firstLine="640" w:firstLineChars="200"/>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第三人</w:t>
      </w:r>
      <w:r>
        <w:rPr>
          <w:rFonts w:hint="eastAsia" w:ascii="黑体" w:hAnsi="黑体" w:eastAsia="黑体" w:cs="黑体"/>
          <w:color w:val="000000"/>
          <w:sz w:val="32"/>
          <w:szCs w:val="32"/>
          <w:lang w:val="en-US" w:eastAsia="zh-CN"/>
        </w:rPr>
        <w:t>（原审第三人）</w:t>
      </w:r>
      <w:r>
        <w:rPr>
          <w:rFonts w:hint="default" w:ascii="黑体" w:hAnsi="黑体" w:eastAsia="黑体" w:cs="黑体"/>
          <w:color w:val="000000"/>
          <w:sz w:val="32"/>
          <w:szCs w:val="32"/>
          <w:lang w:val="en-US" w:eastAsia="zh-CN"/>
        </w:rPr>
        <w:t>王飞、王德荣、皮有妹未</w:t>
      </w:r>
      <w:r>
        <w:rPr>
          <w:rFonts w:hint="eastAsia" w:ascii="黑体" w:hAnsi="黑体" w:eastAsia="黑体" w:cs="黑体"/>
          <w:color w:val="000000"/>
          <w:sz w:val="32"/>
          <w:szCs w:val="32"/>
          <w:lang w:val="en-US" w:eastAsia="zh-CN"/>
        </w:rPr>
        <w:t>作</w:t>
      </w:r>
      <w:r>
        <w:rPr>
          <w:rFonts w:hint="default" w:ascii="黑体" w:hAnsi="黑体" w:eastAsia="黑体" w:cs="黑体"/>
          <w:color w:val="000000"/>
          <w:sz w:val="32"/>
          <w:szCs w:val="32"/>
          <w:lang w:val="en-US" w:eastAsia="zh-CN"/>
        </w:rPr>
        <w:t>答辩。</w:t>
      </w:r>
    </w:p>
    <w:p>
      <w:pPr>
        <w:numPr>
          <w:ilvl w:val="0"/>
          <w:numId w:val="2"/>
        </w:numPr>
        <w:spacing w:line="360" w:lineRule="auto"/>
        <w:ind w:left="0" w:leftChars="0"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二审事实和证据</w:t>
      </w:r>
    </w:p>
    <w:p>
      <w:pPr>
        <w:numPr>
          <w:numId w:val="0"/>
        </w:numPr>
        <w:spacing w:line="360" w:lineRule="auto"/>
        <w:ind w:leftChars="20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  重庆市第三中级人民法院经审理，确认一审法院认定的事实和证据。</w:t>
      </w:r>
    </w:p>
    <w:p>
      <w:pPr>
        <w:numPr>
          <w:ilvl w:val="0"/>
          <w:numId w:val="2"/>
        </w:numPr>
        <w:spacing w:line="360" w:lineRule="auto"/>
        <w:ind w:left="0" w:leftChars="0"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二审判案理由</w:t>
      </w:r>
    </w:p>
    <w:p>
      <w:pPr>
        <w:numPr>
          <w:ilvl w:val="0"/>
          <w:numId w:val="0"/>
        </w:numPr>
        <w:spacing w:line="360" w:lineRule="auto"/>
        <w:ind w:left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  重庆市第三中级人民法院经审理认为，双方当事人在二审中争议的主要焦点是：1、丰都县三合街道农业服务中心、丰都县三合街道鹿鸣岩村村民委员会、重庆市丰都县交通建设工程有限公司、胡青勇该不该承担本案民事赔偿责任；2、一审判决丰都县人民政府丰都县人民政府三合街道办事处承担该案5%的民事赔偿责任是否正确、恰当。</w:t>
      </w:r>
    </w:p>
    <w:p>
      <w:pPr>
        <w:numPr>
          <w:ilvl w:val="0"/>
          <w:numId w:val="0"/>
        </w:numPr>
        <w:spacing w:line="360" w:lineRule="auto"/>
        <w:ind w:left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王德荣原妻子杨义兰在2020年10月21日7点53分驾驶其所有的渝A6HW20号轻型仓栅式货车从重庆市丰都县三合街道汇南场镇出发往丰都县包鸾镇红花坡村方向行驶，当车行驶至丰都县三合街道鹿鸣岩村土门子山坪塘堤坝时，车辆后溜滑入山坪塘，造成杨义兰本人与车上乘客冉永雄、王德碧、黄卓程、王阳、周兴梅、周兰碧、廖昌莲等人死亡事故的事实存在，后经重庆市丰都县公安局交通巡逻警察大队事故认定：杨义兰驾驶车辆在行驶过程中操作措施明显不当，导致车辆后溜滑入水库（实为山坪塘），而车辆存在明显超员，其行为是造成事故发生的直接原因,杨义兰在此事故中为全部过错，负此次事故的全部责任，王阳等7人在此事故中无过错，不负此次事故责任。双方当事人对此无异议，依法应予确认。</w:t>
      </w:r>
    </w:p>
    <w:p>
      <w:pPr>
        <w:numPr>
          <w:ilvl w:val="0"/>
          <w:numId w:val="0"/>
        </w:numPr>
        <w:spacing w:line="360" w:lineRule="auto"/>
        <w:ind w:left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从本案的现有证据看，案涉事发公路系由丰都县人民政府丰都县人民政府三合街道办事处于2016年9月委托丰都县公路局设计室勘测设计后发包给重庆市丰都县交通建设工程有限公司承建（将土路硬化成水泥路）的，丰都县人民政府丰都县人民政府三合街道办事处作为案涉公路将土路硬化成水泥路的发包者，对该公路负有不可推卸的管理、维护之责。鉴于案涉公路在硬化成水泥路之前的原有土公路挨山坪塘一边装有防护墩（其防护墩有30CM高)，表明此处原来就已经存在事故危险，而丰都县人民政府丰都县人民政府三合街道办事处在2017年将原有土公路硬化成水泥路时事实上把路基升高了，将防护墩的高度降为只有15CM左右，又未设置相应的防护栏，给本案事故的发生客观上留下的安全隐患，系本案事故发生的间接因素之一，一审法院针对该案的具体情况，酌定由丰都县人民政府丰都县人民政府三合街道办事处承担该案5%的民事赔偿责任合情、合理、合法，是正确的，并无不当。</w:t>
      </w:r>
    </w:p>
    <w:p>
      <w:pPr>
        <w:numPr>
          <w:ilvl w:val="0"/>
          <w:numId w:val="0"/>
        </w:numPr>
        <w:spacing w:line="360" w:lineRule="auto"/>
        <w:ind w:left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重庆市丰都县交通建设工程有限公司虽然是案涉公路将土路硬化成水泥路的承建方，但该公司完成承建案涉工程后已经相关职能部门验收合格，且距案涉事故发生的时间较长，现经审查对案涉事故的发生不存在法律上过错。丰都县三合街道农业服务中心的主管单位尽管是丰都县人民政府丰都县人民政府三合街道办事处，但现有的证据并不能证明该单位与案涉事故的发生存在直接的因果关系和法律上的过错；案涉事故虽然发生在丰都县三合街道鹿鸣岩村村民委员会的地界内，但现有的证据也不能证明该村委会与案涉事故的发生存在直接的因果关系和法律上的过错；胡青勇即使因山坪塘排水的需要修建了引水拱属实，但现有的证据仍然不能证明该引水拱影响了案涉事故车辆在公路（塘坝）的正常通行，也不能证明胡青勇与案涉事故的发生存在直接的因果关系和法律上的过错。因此，一审判决认定“丰都县三合街道农业服务中心、丰都县三合街道鹿鸣岩村村民委员会、重庆市丰都县交通建设工程有限公司、胡青勇不承担本案民事赔偿责任”合法有据，亦无不当。</w:t>
      </w:r>
    </w:p>
    <w:p>
      <w:pPr>
        <w:numPr>
          <w:ilvl w:val="0"/>
          <w:numId w:val="0"/>
        </w:numPr>
        <w:spacing w:line="360" w:lineRule="auto"/>
        <w:ind w:left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上诉人廖克祥、张福芳、冉永奎、冉玉美、冉玉珠、冉兴等人与丰都县人民政府丰都县人民政府三合街道办事处提出的上诉理由，因其未向本院提供足够、充分的证据予以证明，根据《最高人民法院关于适用&lt;中华人民共和国民事诉讼法&gt;的解释》（法释〔2020〕20号）第九十条“当事人对自己提出的诉讼请求所依据的事实或者反驳对方诉讼请求所依据的事实，应当提供证据加以证明，但法律另有规定的除外。在作出判决前，当事人未能提供证据或者证据不足以证明其事实主张的，由负有举证证明责任的当事人承担不利的后果”的规定，上诉人廖克祥、张福芳、冉永奎、冉玉美、冉玉珠、冉兴等人与丰都县人民政府丰都县人民政府三合街道办事处依法应当承担举证不足的法律后果，其上诉主张本院均依法不予支持。一审判决认定该案无争议的其他事实，本院二审依法予以确认。综上所述，上诉人廖克祥、张福芳、冉永奎、冉玉美、冉玉珠、冉兴等人与丰都县人民政府丰都县人民政府三合街道办事处的上诉请求均不能成立，均应予驳回。一审判决认定的主要事实清楚，适用法律正确，应予维持。</w:t>
      </w:r>
    </w:p>
    <w:p>
      <w:pPr>
        <w:numPr>
          <w:numId w:val="0"/>
        </w:numPr>
        <w:spacing w:line="360" w:lineRule="auto"/>
        <w:ind w:leftChars="200"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（六）二审定案结论</w:t>
      </w:r>
    </w:p>
    <w:p>
      <w:pPr>
        <w:numPr>
          <w:ilvl w:val="0"/>
          <w:numId w:val="0"/>
        </w:numPr>
        <w:spacing w:line="360" w:lineRule="auto"/>
        <w:ind w:left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    依照《中华人民共和国民事诉讼法》第一百七十七条第一款第一项规定，判决如下：驳回上诉，维持原判。</w:t>
      </w:r>
    </w:p>
    <w:p>
      <w:pPr>
        <w:numPr>
          <w:ilvl w:val="0"/>
          <w:numId w:val="0"/>
        </w:numPr>
        <w:spacing w:line="360" w:lineRule="auto"/>
        <w:ind w:leftChars="200" w:firstLine="640" w:firstLineChars="20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本案二审案件受理费3389.55元（2989.55元+400元），由上诉人廖克祥、张福芳、冉永奎、冉玉美、冉玉珠、冉兴等人共同负担2989.55元（上诉人廖克祥、张福芳、冉永奎、冉玉美、冉玉珠、冉兴等人已预交3162.22元，本院应该退回172.67元）；由上诉人丰都县人民政府丰都县人民政府三合街道办事处负担400元（上诉人丰都县人民政府丰都县人民政府三合街道办事处已预交400元）。本判决为终审判决。 </w:t>
      </w:r>
    </w:p>
    <w:p>
      <w:pPr>
        <w:spacing w:line="360" w:lineRule="auto"/>
        <w:ind w:firstLine="960" w:firstLineChars="300"/>
        <w:rPr>
          <w:rFonts w:hint="eastAsia"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t>（七）解说</w:t>
      </w:r>
    </w:p>
    <w:p>
      <w:pPr>
        <w:numPr>
          <w:ilvl w:val="0"/>
          <w:numId w:val="0"/>
        </w:numPr>
        <w:spacing w:line="360" w:lineRule="auto"/>
        <w:ind w:left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本案争议的焦点是，主体的性质及适用程序；因果关系事实的分析判断及实体责任划分问题。</w:t>
      </w:r>
    </w:p>
    <w:p>
      <w:pPr>
        <w:numPr>
          <w:ilvl w:val="0"/>
          <w:numId w:val="0"/>
        </w:numPr>
        <w:spacing w:line="360" w:lineRule="auto"/>
        <w:ind w:left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一、主体的性质及适用程序问题。原告在诉讼中罗列了三合办事处、鸣岩村委、三合农服中心、交建公司、胡青勇 、王飞等三人为民事责任主体（被告），从程序法视角看，除三合办事处最具争议外，其余基本没有程序上的争议，因为这些当事人均为民事主体，当然实体法上是否真正属于责任主体，应从侵权责任法视角进行事实与法律的论证。首先从程序法上进行讨论分析。之所以说三合办事处最有争议，是因为三合办事处具有双重身份，一是在履行行政职责时，属于行政机关，其行为属于行政行为，产生的诉讼属于行政诉讼，当事人不能为此提起民事诉讼，如发生侵权，只能按行政诉讼程序提起行政赔偿；二是以平等的身份与自然人、法人、其他组织缔结民事法律关系或非因行政行为侵权而是因民事侵权行为产生的损害赔偿诉讼，只能提起民事诉讼。由此必须界定三合办事处在本案中的主体位置。从本案查明的事实看，系三合办事处作为业主在改造乡村公路时，公路改造设计存在瑕疵，由于“瑕疵事实” 与他人违法行驶结合导致损害。那么三合办事处改造公路的行为是行政行为或是民事行为呢？这里不妨从法律相关规定进行分析，我国《公路法》第八条第一、二款规定国务院及地方交通主管部门是国道、省道的管理监督部门，该条第三款规定，乡、民族乡、镇人民政府负责本行政区域内的乡（村）道建设和养护工作。从条文的文字表述上看，交通行政主管部门管理监督属行政行为无异议，但第三款的乡（镇）政府“建设与养护”是否也属行政行为呢？理论存疑，值得讨论。“建设”仅解决的是建设公路的业主资格及建设义务主体问题，“养护”解决的是公路保护维修的义务主体问题，该款并没有明确“建设”、“养护”行为的行民性质界分，如何进行界分？还必须从行政行为的概念入手进行分析。行政行为这个概念最早是德国著名行政法学家奥图.梅叶尔运用概念法学方法提炼出来的称谓，后跨越国界和法系成为行政法学的一个核心范畴和概念</w:t>
      </w:r>
      <w:r>
        <w:rPr>
          <w:rFonts w:hint="eastAsia" w:ascii="黑体" w:hAnsi="黑体" w:eastAsia="黑体" w:cs="黑体"/>
          <w:color w:val="000000"/>
          <w:sz w:val="32"/>
          <w:szCs w:val="32"/>
          <w:lang w:val="en-US" w:eastAsia="zh-CN"/>
        </w:rPr>
        <w:footnoteReference w:id="0"/>
      </w:r>
      <w:r>
        <w:rPr>
          <w:rFonts w:hint="eastAsia" w:ascii="黑体" w:hAnsi="黑体" w:eastAsia="黑体" w:cs="黑体"/>
          <w:color w:val="000000"/>
          <w:sz w:val="32"/>
          <w:szCs w:val="32"/>
          <w:lang w:val="en-US" w:eastAsia="zh-CN"/>
        </w:rPr>
        <w:t>，对于“行政行为”概念在发展过程中存在多种学说，有行为主体说、行政权说、合法行为说。行为主体说认为，凡是行政机关所作的行为均属行政行为，包括运用行政权所作的事实行为和非运用行政权所作的私法行为；行政权说认为，运用行政权所作的行为就是行政行为，包括行政法律行为、行政事实行为和准法律行为三类，但不包括行政机关非运用行政权所作出的私法行为；公法行为说认为，行政行为是具有行政法（公法）意义或效果的行为，该学说将私法行为及事实行为排除在行政行为之外。姜明安教授认为行政行为是享有行政权能的组织运用行政权对行政相对人所作的法律行为，不具有行政权能的组织的行为，或非运用行政权的行为，以及不具有法律意义的事实行为均不属于行政行为。由此可以看出姜明安教授采用了折中的方法定义了行政行为。我国2014年修正的《行政诉讼法》没有对行政行为的概念进行定义，对如何把握可诉行政行为是通过第十二条第一款共十二项列举的形式加兜底第二款“……人民法院受理法律、法规规定可以提起诉讼的其他行政案件”概括的形式进行处理。笔者认为，虽然我国《行政诉讼法》没有规定行政行为的概念，并非行政行为概念不重要，恰恰相反，在一些疑难复杂案件中绕不开对概念的理解才能界定行政行为与民事行为，后才能确定程序法的选择及法律适用，为此，应当对行政行为概念进行界定。对于行政行为概念定义，笔者赞同姜明安教授的定义方法，将非运用行政权的私法行为排除在行政行为之外。界定为行政行为并非都能启动行政诉讼程序，因我国并非将所有的行政行为引发的问题都纳入行政诉讼，部分行政行为产生的问题由行政法规定的行政程序进行解决，如外交问题通过外交渠道解决，其他还有行政裁决，行政复议（不能提起行政诉讼的复议部分）等。进入行政诉讼的案件是指部分行政行为引发的，符合《行政诉讼法》第十二条规定受理范围的案件。结合行政行为概念内涵不难判断三合办事处在案件中的行为属性。从案件事实看，三合办事处决定改造乡村公路虽然是运用行政权的行为，但本案并非改造决定本身引发，而是在决定作出之后，利用自己的业主地位，通过制定招标方案，委托专业机构设计，选择施工方，对道路工程进行竣工验收，这之后的系列行为均不是运用行政权对行政相对人所作的行政行为，而是通过平等协商的形式，确定民事法律关系，这些行为属民事行为，正是这些民事行为致公路改造出现瑕疵，再因瑕疵事实与其他侵权行为结合导致了他人损害（这里姑且允许笔者从程序上进行的当事人拟制，实体法上是否有责任这里不论，下文再分析当事人实体法上的责任问题），由此可以得出结论，三合办事处现实改造乡村公路的行为属于民事行为，其主体性质属于民事主体性质，与本案的其他当事人处于同一民事主体地位。诉讼程序不存在行政诉讼问题，只能是民事诉讼。</w:t>
      </w:r>
    </w:p>
    <w:p>
      <w:pPr>
        <w:numPr>
          <w:ilvl w:val="0"/>
          <w:numId w:val="0"/>
        </w:numPr>
        <w:spacing w:line="360" w:lineRule="auto"/>
        <w:ind w:left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因果关系的分析判断及实体上责任划分问题。从交警队《交通事故责任认定书》认定的事实及责任划分看，已经认定驾驶员杨义兰为全部过错，搭载的人员无责任，是否由此就排除本案其他被告及第三人的责任呢？答案是否定的。因为，对于交警队而言是从行政管理或者是否进行刑事追究方面进行的事实判定，在民事案件审理中仅仅是证据，和司法鉴定意见没有本质区别，也并非是发生法律效力的法律文书。这个问题全国人大法工委作过解释，本文不作深层次研究。对于侵权损害赔偿案件，法院应进行全面的事实审理及法律审理才能作出裁判。下面就原告所列被告及第三人是否真正存在实体法赔偿责任进行分析。驾驶员杨义兰因操作不当，超载导致特大交通事故发生，造成原告的近亲属及自己死亡，其过错行为是损害发生的直接原因，应为责任主体，但鉴于其已死亡，其责任应由继承人王飞等三人在继承财产范围内承担责任，从本案事实看，无证据证明其继承人继承了杨义兰的遗产，同时原告明确表示放弃对王飞等三人的赔偿请求权，为此王飞等三人不属于责任主体。被告胡青勇虽然掩埋了排水管，违背相关道路管理规定，但其行为与本次交通事故发生没有因果关系，缺乏赔偿责任的构成要件要素，也不应承担责任，不属责任主体。交建公司是道路的施工方，道路已施工完成并按合同约定标准验收合格，交付使用，退出道路的临时管理人地位，无过错，不符合侵权责任的要件构成，也非责任主体。三合农服中心并非山坪塘的所有人或管理人，不属适格被告，管理责任与主体责任无从谈起。鹿鸣岩村委属山坪塘的管理人或所有人，仅就过往山坪塘的行人安全有一定的保障、警示告知义务，对山坪塘相邻的后建改造公路通行车辆无保障和警示义务，为此对发生的交通事故损害无赔偿责任，鹿鸣岩村委不属责任主体。三合办事处的责任问题。从发生交通事故的路段看，属于乡村公路，系三合办事处建设和养护路段，从“公路”这个建筑物的所有人或者管理人视角考量，有瑕疵担保责任，即发生脱落、垮塌造成他人损害的赔偿责任，归责原则采用的是过错推定责任、无过错责任，即发生脱落致人损害的，适用过错推定责任，垮塌致人损害的适用无过错责任。案中交通事故致害的原因并非公路这个建筑物或构筑物本身（包括附属设施）的脱落、垮塌造成，所以不属于以上情形。这里的“公路管理”是指公路所有人性质的“管理”，而非“公路行政管理”。“公路行政管理”，是指对公路有行政管理职能职责的行政机关，对违反《公路法》、《道路交通安全法》等法律法规，在公路上设置路障、毁损公路等行政违法行为的管理，管理的方式是对行政管理相对人处以罚款、拘留、责令限期修复或移交司法机关追究刑事责任等。显然本案也非行政管理范畴。本案对于三合办事处而言，核心是发生交通事故路段，是否存在事故发生较高可能性，如存在，相应产生的问题是预防措施是否预设到位，是否达到标准，如实际发生了交通事故，需要追问的是预防措施与事故发生的原因关联问题，如预防措施不到位，甚至没有预措施，与发生的交通事故又有“因果关系”，民事责任就可能因此产生。现就问题核心的第一层面进行分析，事发路段邻山坪塘，水深加塘崖存在事故发生后，再生次生灾难危险性，这样的路段按照相应法律法规要求，应在修建公路时设置防护栏等，由此作为公路建设单位的三合办事处有在该路段设置安全护栏等防护措施的义务，但实际情形为，三合办事处在改造公路时，因硬化路面，提高路基，致原设置的防护桩高度由30㎡降低到15㎡，显然降低了防护等级，对原旧公路未设置防护桩的邻塘段仍未设置防护桩或护栏，由此可确定三合办事处存在防护措施不到位，次生灾难事故发生危险可能性问题，从民事侵权视角考量可以确定三合办事处存在改造公路不符合安全设计规范的过失或过错；核心第二层面问题，法律上的因果关系问题。有过错并不必然产生侵权责任，要承担民事侵权责任，还必须是民事侵权行为与损害结果之间存在因果关系。所谓的因果关系是指一个事实是引起另一个事实的原因。我国原《侵权责任法》与现在适用的《民法典》侵权责任编所采用的是相当因果关系说，该说认为，只要原因事实与损害结果之间在通常情形存在可能性即认为有因果关系。判断事实因果关系的标准是“but-for-test”,中文表述是：如果没有被告的侵权行为，损害就不会发生。在现实的案件中，并非所有案件用一个公式就能准确判断因果关系，对于原告举证来说，在能够证明概率在51％以上即可，少部分案件由于技术条件的限制原告无法通过举证来完成举证责任，可以适用举证责任倒置进行因果关系事实推定。Wilberforce勋爵说“一个人违反了注意义务，制造了风险，并且在这一风险范围内伤害发生了，损害由此人承担，除非他能够证明还存在别的原因，这是一项合理政策”</w:t>
      </w:r>
      <w:r>
        <w:rPr>
          <w:rFonts w:hint="eastAsia" w:ascii="黑体" w:hAnsi="黑体" w:eastAsia="黑体" w:cs="黑体"/>
          <w:color w:val="000000"/>
          <w:sz w:val="32"/>
          <w:szCs w:val="32"/>
          <w:lang w:val="en-US" w:eastAsia="zh-CN"/>
        </w:rPr>
        <w:footnoteReference w:id="1"/>
      </w:r>
      <w:r>
        <w:rPr>
          <w:rFonts w:hint="eastAsia" w:ascii="黑体" w:hAnsi="黑体" w:eastAsia="黑体" w:cs="黑体"/>
          <w:color w:val="000000"/>
          <w:sz w:val="32"/>
          <w:szCs w:val="32"/>
          <w:lang w:val="en-US" w:eastAsia="zh-CN"/>
        </w:rPr>
        <w:t>。因果关系中属于一因一果的单一因果关系判断相对较为容易，但很多因果关系是多因一果的复数因果关系，判断起来比较复杂，对于复数因果关系，可以进行类型化处理后，进行因果关系判断。按程啸教授所著《侵权责任法》可以将复数因果关系分为共同的因果关系、竞合的因果关系、累积的因果关系、修补因果关系，择一的因果关系和假设的因果关系。对以上因果关系，这里不一一陈述，只就可能与本案有关的类型，结合案件分析。修补的因果关系是指对同一受害人造成损害结果的多个原因依次发生，在先原因造成的损害后果被在后的原因加以改变。这种因果关系造成的损害结果不是一种原因导致，是不同原因结合导致，属于按份责任。假设的因果关系是指，损害已因某个加害人的行为而发生了，即便该加害行为不存在，损害的全部或一部分也会因为另外一个与加害人无关的原因发生。</w:t>
      </w:r>
      <w:r>
        <w:rPr>
          <w:rFonts w:hint="eastAsia" w:ascii="黑体" w:hAnsi="黑体" w:eastAsia="黑体" w:cs="黑体"/>
          <w:color w:val="000000"/>
          <w:sz w:val="32"/>
          <w:szCs w:val="32"/>
          <w:lang w:val="en-US" w:eastAsia="zh-CN"/>
        </w:rPr>
        <w:footnoteReference w:id="2"/>
      </w:r>
      <w:r>
        <w:rPr>
          <w:rFonts w:hint="eastAsia" w:ascii="黑体" w:hAnsi="黑体" w:eastAsia="黑体" w:cs="黑体"/>
          <w:color w:val="000000"/>
          <w:sz w:val="32"/>
          <w:szCs w:val="32"/>
          <w:lang w:val="en-US" w:eastAsia="zh-CN"/>
        </w:rPr>
        <w:t>结合案情的判断。杨义兰驾驶车辆在上陡坡时由于操作不当导致车辆熄火、失控倒退，加速向山坪塘坠去，当车辆坠到道路上防护栏时，因防护效果不佳，或未起到防护作用，最后车辆掉入山坪塘水中。从该事实可以看出，杨义兰驾驶车辆时由于操作不当导致车辆倒退，车辆坠入山坪塘的风险已经发生，但最后是否实际发生可取决于车辆倒退时的速度与强度，如果强度过大，即使有符合防护要求的防护栏，也是无法阻却的，但如果车辆撞击力不是过大，有效的防护栏是可能阻却车辆坠入水中的，但这种情况下损害后果仍然要发生，只是可能减轻，如发生车辆翻倒等。现实是防护栏高度因三合办事处公路改造而减低，车辆坠水的风险已不可逆转，发生溺水死亡事故成为必然。据此运用相当因果关系说与复数因果关系中修补的因果关系构成论确定，本案的因果关系属修补的因果关系。加害人杨义兰及三合办事处的侵权责任因符合修补的因果关系构成论而成立，责任也因此属按份责任。杨义兰搭载廖昌莲（死者）未收取费用，属于好意搭载，且廖昌莲应知车辆超载而搭乘，存在次要过错，依法应减轻侵权人的民事责任，其减轻的责任部分及放弃杨义兰承担责任的请求部分应由原告自己承担。</w:t>
      </w:r>
    </w:p>
    <w:p>
      <w:pPr>
        <w:numPr>
          <w:ilvl w:val="0"/>
          <w:numId w:val="0"/>
        </w:numPr>
        <w:spacing w:line="360" w:lineRule="auto"/>
        <w:ind w:left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综上所述，本案一二审法院裁判时充分考虑了，损害发生的重要原因是杨义兰超载，不当操作行为直接导致，具有重大过错，也系损害发生的重大原因。三合办事处道路改造时降低防护措施等级或部分未设计防护栏的不作为行为存在较小的未尽注意义务过错，对损害发生具有间接性较小原因，责任比例按95:5（杨义兰85%+好意搭乘人10%共占95%责任，三合办事处占5%责任）划分具有合法适理性，也考量了公平公正性。</w:t>
      </w:r>
    </w:p>
    <w:p>
      <w:pPr>
        <w:numPr>
          <w:ilvl w:val="0"/>
          <w:numId w:val="0"/>
        </w:numPr>
        <w:spacing w:line="360" w:lineRule="auto"/>
        <w:ind w:left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                 </w:t>
      </w:r>
    </w:p>
    <w:p>
      <w:pPr>
        <w:numPr>
          <w:ilvl w:val="0"/>
          <w:numId w:val="0"/>
        </w:numPr>
        <w:spacing w:line="360" w:lineRule="auto"/>
        <w:ind w:leftChars="20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　</w:t>
      </w:r>
      <w:r>
        <w:rPr>
          <w:rFonts w:hint="eastAsia" w:ascii="黑体" w:hAnsi="黑体" w:eastAsia="黑体" w:cs="黑体"/>
          <w:color w:val="000000"/>
          <w:sz w:val="32"/>
          <w:szCs w:val="32"/>
        </w:rPr>
        <w:t>案例撰写人  重庆市丰都县人民法院</w:t>
      </w:r>
      <w:r>
        <w:rPr>
          <w:rFonts w:hint="eastAsia" w:ascii="黑体" w:hAnsi="黑体" w:eastAsia="黑体" w:cs="黑体"/>
          <w:color w:val="000000"/>
          <w:sz w:val="32"/>
          <w:szCs w:val="32"/>
          <w:lang w:eastAsia="zh-CN"/>
        </w:rPr>
        <w:t>高级</w:t>
      </w:r>
      <w:r>
        <w:rPr>
          <w:rFonts w:hint="eastAsia" w:ascii="黑体" w:hAnsi="黑体" w:eastAsia="黑体" w:cs="黑体"/>
          <w:color w:val="000000"/>
          <w:sz w:val="32"/>
          <w:szCs w:val="32"/>
        </w:rPr>
        <w:t>法官 余孝安</w:t>
      </w: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sz w:val="32"/>
          <w:szCs w:val="32"/>
        </w:rPr>
      </w:pPr>
    </w:p>
    <w:p>
      <w:pPr>
        <w:rPr>
          <w:sz w:val="32"/>
          <w:szCs w:val="32"/>
        </w:rPr>
      </w:pPr>
    </w:p>
    <w:p>
      <w:pPr>
        <w:rPr>
          <w:sz w:val="32"/>
          <w:szCs w:val="32"/>
        </w:rPr>
      </w:pPr>
    </w:p>
    <w:sectPr>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
    <w:altName w:val="宋体"/>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Calibri Light">
    <w:altName w:val="Courier New"/>
    <w:panose1 w:val="00000000000000000000"/>
    <w:charset w:val="00"/>
    <w:family w:val="auto"/>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Courier New">
    <w:panose1 w:val="02070309020205020404"/>
    <w:charset w:val="00"/>
    <w:family w:val="auto"/>
    <w:pitch w:val="default"/>
    <w:sig w:usb0="00007A87" w:usb1="80000000" w:usb2="00000008" w:usb3="00000000" w:csb0="400001FF" w:csb1="FFFF0000"/>
  </w:font>
  <w:font w:name="新宋体">
    <w:panose1 w:val="02010609030101010101"/>
    <w:charset w:val="86"/>
    <w:family w:val="auto"/>
    <w:pitch w:val="default"/>
    <w:sig w:usb0="00000003" w:usb1="080E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pPr>
      <w:r>
        <w:rPr>
          <w:rStyle w:val="5"/>
        </w:rPr>
        <w:footnoteRef/>
      </w:r>
      <w:r>
        <w:t xml:space="preserve"> </w:t>
      </w:r>
      <w:r>
        <w:rPr>
          <w:rFonts w:hint="eastAsia"/>
          <w:lang w:eastAsia="zh-CN"/>
        </w:rPr>
        <w:t>姜明安：《行政法与行政诉讼法》，北京大学出版社，</w:t>
      </w:r>
      <w:r>
        <w:rPr>
          <w:rFonts w:hint="eastAsia"/>
          <w:lang w:val="en-US" w:eastAsia="zh-CN"/>
        </w:rPr>
        <w:t>2009年（第三版）第139页。</w:t>
      </w:r>
    </w:p>
  </w:footnote>
  <w:footnote w:id="1">
    <w:p>
      <w:pPr>
        <w:pStyle w:val="2"/>
        <w:snapToGrid w:val="0"/>
        <w:rPr>
          <w:rFonts w:hint="default" w:asciiTheme="minorHAnsi" w:hAnsiTheme="minorHAnsi" w:eastAsiaTheme="minorEastAsia" w:cstheme="minorHAnsi"/>
          <w:lang w:val="en-US" w:eastAsia="zh-CN"/>
        </w:rPr>
      </w:pPr>
      <w:r>
        <w:rPr>
          <w:rStyle w:val="5"/>
        </w:rPr>
        <w:footnoteRef/>
      </w:r>
      <w:r>
        <w:t xml:space="preserve"> </w:t>
      </w:r>
      <w:r>
        <w:rPr>
          <w:rFonts w:hint="eastAsia"/>
          <w:lang w:val="en-US" w:eastAsia="zh-CN"/>
        </w:rPr>
        <w:t>B.S.Makesinis</w:t>
      </w:r>
      <w:r>
        <w:rPr>
          <w:rFonts w:hint="eastAsia" w:ascii="宋体" w:hAnsi="宋体" w:eastAsia="宋体" w:cs="宋体"/>
          <w:lang w:val="en-US" w:eastAsia="zh-CN"/>
        </w:rPr>
        <w:t>&amp;</w:t>
      </w:r>
      <w:r>
        <w:rPr>
          <w:rFonts w:hint="eastAsia" w:cstheme="minorHAnsi"/>
          <w:lang w:val="en-US" w:eastAsia="zh-CN"/>
        </w:rPr>
        <w:t>S.F.Deakin,Tort Lat,</w:t>
      </w:r>
      <w:r>
        <w:rPr>
          <w:rFonts w:hint="eastAsia" w:cstheme="minorHAnsi"/>
          <w:position w:val="-12"/>
          <w:lang w:val="en-US" w:eastAsia="zh-CN"/>
        </w:rPr>
        <w:object>
          <v:shape id="_x0000_i1025" o:spt="75" type="#_x0000_t75" style="height:19.85pt;width:17pt;" o:ole="t" filled="f" o:preferrelative="t" stroked="f" coordsize="21600,21600">
            <v:path/>
            <v:fill on="f" focussize="0,0"/>
            <v:stroke on="f"/>
            <v:imagedata r:id="rId2" o:title=""/>
            <o:lock v:ext="edit" aspectratio="t"/>
            <w10:wrap type="none"/>
            <w10:anchorlock/>
          </v:shape>
          <o:OLEObject Type="Embed" ProgID="Equation.KSEE3" ShapeID="_x0000_i1025" DrawAspect="Content" ObjectID="_1468075725" r:id="rId1">
            <o:LockedField>false</o:LockedField>
          </o:OLEObject>
        </w:object>
      </w:r>
      <w:r>
        <w:rPr>
          <w:rFonts w:hint="eastAsia" w:cstheme="minorHAnsi"/>
          <w:lang w:val="en-US" w:eastAsia="zh-CN"/>
        </w:rPr>
        <w:t>ed,at178-9.</w:t>
      </w:r>
    </w:p>
  </w:footnote>
  <w:footnote w:id="2">
    <w:p>
      <w:pPr>
        <w:pStyle w:val="2"/>
        <w:snapToGrid w:val="0"/>
        <w:rPr>
          <w:rFonts w:hint="default" w:eastAsiaTheme="minorEastAsia"/>
          <w:lang w:val="en-US" w:eastAsia="zh-CN"/>
        </w:rPr>
      </w:pPr>
      <w:r>
        <w:rPr>
          <w:rStyle w:val="5"/>
        </w:rPr>
        <w:footnoteRef/>
      </w:r>
      <w:r>
        <w:t xml:space="preserve"> </w:t>
      </w:r>
      <w:r>
        <w:rPr>
          <w:rFonts w:hint="eastAsia"/>
          <w:lang w:eastAsia="zh-CN"/>
        </w:rPr>
        <w:t>程啸著《侵权责任法》，法律出版社，</w:t>
      </w:r>
      <w:r>
        <w:rPr>
          <w:rFonts w:hint="eastAsia"/>
          <w:lang w:val="en-US" w:eastAsia="zh-CN"/>
        </w:rPr>
        <w:t>2015年9月第2版第238-264页。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6A86A2"/>
    <w:multiLevelType w:val="singleLevel"/>
    <w:tmpl w:val="B36A86A2"/>
    <w:lvl w:ilvl="0" w:tentative="0">
      <w:start w:val="1"/>
      <w:numFmt w:val="chineseCounting"/>
      <w:suff w:val="nothing"/>
      <w:lvlText w:val="%1、"/>
      <w:lvlJc w:val="left"/>
      <w:rPr>
        <w:rFonts w:hint="eastAsia"/>
      </w:rPr>
    </w:lvl>
  </w:abstractNum>
  <w:abstractNum w:abstractNumId="1">
    <w:nsid w:val="D93150FF"/>
    <w:multiLevelType w:val="singleLevel"/>
    <w:tmpl w:val="D93150F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7513C"/>
    <w:rsid w:val="5161734F"/>
    <w:rsid w:val="7E975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5">
    <w:name w:val="footnote reference"/>
    <w:basedOn w:val="4"/>
    <w:qFormat/>
    <w:uiPriority w:val="0"/>
    <w:rPr>
      <w:vertAlign w:val="superscript"/>
    </w:rPr>
  </w:style>
  <w:style w:type="paragraph" w:customStyle="1" w:styleId="6">
    <w:name w:val="lawyeeWritContent0"/>
    <w:basedOn w:val="7"/>
    <w:qFormat/>
    <w:uiPriority w:val="0"/>
    <w:pPr>
      <w:ind w:firstLine="200" w:firstLineChars="200"/>
    </w:pPr>
    <w:rPr>
      <w:rFonts w:ascii="仿宋_GB2312" w:eastAsia="仿宋_GB2312" w:cs="Times New Roman"/>
      <w:sz w:val="32"/>
    </w:rPr>
  </w:style>
  <w:style w:type="paragraph" w:customStyle="1" w:styleId="7">
    <w:name w:val="lawyeeCourtName1"/>
    <w:basedOn w:val="1"/>
    <w:qFormat/>
    <w:uiPriority w:val="0"/>
    <w:pPr>
      <w:spacing w:line="520" w:lineRule="exact"/>
      <w:jc w:val="center"/>
    </w:pPr>
    <w:rPr>
      <w:rFonts w:ascii="方正小标宋简体" w:eastAsia="方正小标宋简体"/>
      <w:sz w:val="44"/>
    </w:rPr>
  </w:style>
  <w:style w:type="paragraph" w:customStyle="1" w:styleId="8">
    <w:name w:val="司法正文"/>
    <w:qFormat/>
    <w:uiPriority w:val="0"/>
    <w:pPr>
      <w:widowControl w:val="0"/>
      <w:ind w:firstLine="200" w:firstLineChars="200"/>
    </w:pPr>
    <w:rPr>
      <w:rFonts w:ascii="仿宋" w:hAnsi="仿宋" w:eastAsia="仿宋" w:cs="Times New Roman"/>
      <w:kern w:val="3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2022-05-25T12:21:00Z</dcterms:created>
  <dc:creator>Administrator</dc:creator>
  <cp:lastModifiedBy>Administrator</cp:lastModifiedBy>
  <dcterms:modified xsi:type="dcterms:W3CDTF">2022-05-25T14:52:42Z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