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rPr>
          <w:sz w:val="44"/>
          <w:szCs w:val="44"/>
        </w:rPr>
      </w:pPr>
      <w:r>
        <w:rPr>
          <w:rFonts w:hint="eastAsia"/>
          <w:sz w:val="44"/>
          <w:szCs w:val="44"/>
        </w:rPr>
        <w:t>重庆市第三中级人民法院</w:t>
      </w:r>
    </w:p>
    <w:p>
      <w:pPr>
        <w:pStyle w:val="4"/>
        <w:bidi w:val="0"/>
        <w:rPr>
          <w:sz w:val="44"/>
          <w:szCs w:val="44"/>
        </w:rPr>
      </w:pPr>
      <w:r>
        <w:rPr>
          <w:rFonts w:hint="eastAsia"/>
          <w:sz w:val="44"/>
          <w:szCs w:val="44"/>
        </w:rPr>
        <w:t>民事</w:t>
      </w:r>
      <w:r>
        <w:rPr>
          <w:sz w:val="44"/>
          <w:szCs w:val="44"/>
        </w:rPr>
        <w:t>判决</w:t>
      </w:r>
      <w:r>
        <w:rPr>
          <w:rFonts w:hint="eastAsia"/>
          <w:sz w:val="44"/>
          <w:szCs w:val="44"/>
        </w:rPr>
        <w:t>书</w:t>
      </w:r>
    </w:p>
    <w:p>
      <w:pPr>
        <w:jc w:val="left"/>
        <w:rPr>
          <w:rFonts w:ascii="仿宋" w:hAnsi="仿宋" w:eastAsia="仿宋"/>
          <w:sz w:val="32"/>
          <w:szCs w:val="32"/>
        </w:rPr>
      </w:pPr>
    </w:p>
    <w:p>
      <w:pPr>
        <w:pStyle w:val="6"/>
        <w:wordWrap w:val="0"/>
        <w:bidi w:val="0"/>
        <w:rPr>
          <w:rFonts w:hint="eastAsia" w:eastAsia="仿宋"/>
          <w:lang w:eastAsia="zh-CN"/>
        </w:rPr>
      </w:pPr>
      <w:r>
        <w:rPr>
          <w:rFonts w:hint="eastAsia"/>
        </w:rPr>
        <w:t>(2020)渝03民终1136号</w:t>
      </w:r>
      <w:r>
        <w:rPr>
          <w:rFonts w:hint="eastAsia"/>
          <w:lang w:eastAsia="zh-CN"/>
        </w:rPr>
        <w:t>　　</w:t>
      </w:r>
    </w:p>
    <w:p>
      <w:pPr>
        <w:jc w:val="right"/>
        <w:rPr>
          <w:rFonts w:ascii="仿宋" w:hAnsi="仿宋" w:eastAsia="仿宋"/>
          <w:sz w:val="32"/>
          <w:szCs w:val="32"/>
        </w:rPr>
      </w:pPr>
    </w:p>
    <w:p>
      <w:pPr>
        <w:pStyle w:val="7"/>
        <w:bidi w:val="0"/>
        <w:spacing w:line="560" w:lineRule="exact"/>
        <w:jc w:val="both"/>
        <w:rPr>
          <w:rFonts w:hint="eastAsia"/>
        </w:rPr>
      </w:pPr>
      <w:r>
        <w:rPr>
          <w:rFonts w:hint="eastAsia"/>
        </w:rPr>
        <w:t>上诉人（原审被告）：高成刚，男，1965年6月6日，汉族，农民，住重庆市丰都县湛普镇白水村1组226号，公民身份证号码512324196506066637。</w:t>
      </w:r>
    </w:p>
    <w:p>
      <w:pPr>
        <w:pStyle w:val="7"/>
        <w:bidi w:val="0"/>
        <w:spacing w:line="560" w:lineRule="exact"/>
        <w:jc w:val="both"/>
        <w:rPr>
          <w:rFonts w:hint="eastAsia"/>
        </w:rPr>
      </w:pPr>
      <w:r>
        <w:rPr>
          <w:rFonts w:hint="eastAsia"/>
        </w:rPr>
        <w:t>委托诉讼代理人:李茂娟（高成刚之妻），女，1972年5月20日出生，汉族，农民，住重庆市丰都县湛普镇白水村1组226号，公民身份证号码512324197205206223。</w:t>
      </w:r>
    </w:p>
    <w:p>
      <w:pPr>
        <w:pStyle w:val="7"/>
        <w:bidi w:val="0"/>
        <w:spacing w:line="560" w:lineRule="exact"/>
        <w:jc w:val="both"/>
        <w:rPr>
          <w:rFonts w:hint="eastAsia"/>
        </w:rPr>
      </w:pPr>
      <w:r>
        <w:rPr>
          <w:rFonts w:hint="eastAsia"/>
        </w:rPr>
        <w:t>委托诉讼代理人:杜雄飞，重庆森吉律师事务所</w:t>
      </w:r>
      <w:r>
        <w:rPr>
          <w:rFonts w:hint="eastAsia"/>
          <w:lang w:val="en-US" w:eastAsia="zh-CN"/>
        </w:rPr>
        <w:t>律师</w:t>
      </w:r>
      <w:r>
        <w:rPr>
          <w:rFonts w:hint="eastAsia"/>
        </w:rPr>
        <w:t>。</w:t>
      </w:r>
    </w:p>
    <w:p>
      <w:pPr>
        <w:pStyle w:val="7"/>
        <w:bidi w:val="0"/>
        <w:spacing w:line="560" w:lineRule="exact"/>
        <w:jc w:val="both"/>
        <w:rPr>
          <w:rFonts w:hint="eastAsia"/>
        </w:rPr>
      </w:pPr>
      <w:r>
        <w:rPr>
          <w:rFonts w:hint="eastAsia"/>
        </w:rPr>
        <w:t>被上诉人（原审原告）：湛得荣，男，1968年10月14日出生，汉族，农民，住重庆市丰都县湛普镇春安村3组，公民身份证号码51232419681014621X。</w:t>
      </w:r>
    </w:p>
    <w:p>
      <w:pPr>
        <w:pStyle w:val="7"/>
        <w:bidi w:val="0"/>
        <w:spacing w:line="560" w:lineRule="exact"/>
        <w:jc w:val="both"/>
        <w:rPr>
          <w:rFonts w:hint="eastAsia"/>
        </w:rPr>
      </w:pPr>
      <w:r>
        <w:rPr>
          <w:rFonts w:hint="eastAsia"/>
        </w:rPr>
        <w:t>委托诉讼代理人:</w:t>
      </w:r>
      <w:r>
        <w:rPr>
          <w:rFonts w:hint="eastAsia"/>
          <w:lang w:val="en-US" w:eastAsia="zh-CN"/>
        </w:rPr>
        <w:t>刘川</w:t>
      </w:r>
      <w:r>
        <w:rPr>
          <w:rFonts w:hint="eastAsia"/>
        </w:rPr>
        <w:t>，重庆晨曲律师事务所律师。</w:t>
      </w:r>
    </w:p>
    <w:p>
      <w:pPr>
        <w:pStyle w:val="7"/>
        <w:bidi w:val="0"/>
        <w:spacing w:line="560" w:lineRule="exact"/>
        <w:jc w:val="both"/>
        <w:rPr>
          <w:rFonts w:hint="eastAsia"/>
        </w:rPr>
      </w:pPr>
      <w:r>
        <w:rPr>
          <w:rFonts w:hint="eastAsia"/>
        </w:rPr>
        <w:t>原审被告：杨春祥，男，1977年1月21日出生，汉族，居民，住重庆市丰都县三合街道南天湖西路27号2单元7-2，公民身份证号码512324197701216092。</w:t>
      </w:r>
    </w:p>
    <w:p>
      <w:pPr>
        <w:pStyle w:val="7"/>
        <w:bidi w:val="0"/>
        <w:spacing w:line="560" w:lineRule="exact"/>
        <w:jc w:val="both"/>
        <w:rPr>
          <w:rFonts w:hint="eastAsia"/>
        </w:rPr>
      </w:pPr>
      <w:r>
        <w:rPr>
          <w:rFonts w:hint="eastAsia"/>
        </w:rPr>
        <w:t>原审被告：向忠，男，1972年5月22日出生，汉族，农民，住重庆市忠县任家镇中河村6组94号，公民身份证号码512223197205220891。</w:t>
      </w:r>
    </w:p>
    <w:p>
      <w:pPr>
        <w:pStyle w:val="7"/>
        <w:bidi w:val="0"/>
        <w:spacing w:line="560" w:lineRule="exact"/>
        <w:jc w:val="both"/>
        <w:rPr>
          <w:rFonts w:hint="eastAsia"/>
        </w:rPr>
      </w:pPr>
      <w:r>
        <w:rPr>
          <w:rFonts w:hint="eastAsia"/>
        </w:rPr>
        <w:t>上诉人高成刚</w:t>
      </w:r>
      <w:r>
        <w:rPr>
          <w:rFonts w:hint="eastAsia"/>
          <w:lang w:val="en-US" w:eastAsia="zh-CN"/>
        </w:rPr>
        <w:t>因</w:t>
      </w:r>
      <w:r>
        <w:rPr>
          <w:rFonts w:hint="eastAsia"/>
        </w:rPr>
        <w:t>与被上诉人湛得荣</w:t>
      </w:r>
      <w:r>
        <w:rPr>
          <w:rFonts w:hint="eastAsia"/>
          <w:lang w:eastAsia="zh-CN"/>
        </w:rPr>
        <w:t>、</w:t>
      </w:r>
      <w:r>
        <w:rPr>
          <w:rFonts w:hint="eastAsia"/>
        </w:rPr>
        <w:t>原审被告向忠、杨春祥提供劳务者受害责任纠纷一案，不服重庆市丰都县人民法院(2020)渝0230民初1977号民事判决，向本院提起上诉。本院于2020年8月13日立案后，依法组成合议庭进行了审理，本案现已审理终结。</w:t>
      </w:r>
    </w:p>
    <w:p>
      <w:pPr>
        <w:pStyle w:val="7"/>
        <w:bidi w:val="0"/>
        <w:spacing w:line="560" w:lineRule="exact"/>
        <w:jc w:val="both"/>
        <w:rPr>
          <w:rFonts w:hint="eastAsia"/>
        </w:rPr>
      </w:pPr>
      <w:r>
        <w:rPr>
          <w:rFonts w:hint="eastAsia"/>
        </w:rPr>
        <w:t>高成刚上诉请求：1、请求撤销重庆市丰都县人民法院(2020)渝0230民初1977号民事判决的第一项，即高成刚在本判决发生法律效力后十日内赔偿湛得荣的经济损失23</w:t>
      </w:r>
      <w:r>
        <w:rPr>
          <w:rFonts w:hint="eastAsia"/>
          <w:lang w:val="en-US" w:eastAsia="zh-CN"/>
        </w:rPr>
        <w:t>,</w:t>
      </w:r>
      <w:r>
        <w:rPr>
          <w:rFonts w:hint="eastAsia"/>
        </w:rPr>
        <w:t>543.35元；2、驳回被上诉人请求上诉人和杨春祥承担赔偿的诉讼请求；3、一、二审诉讼费由被上诉人承担。</w:t>
      </w:r>
    </w:p>
    <w:p>
      <w:pPr>
        <w:pStyle w:val="7"/>
        <w:bidi w:val="0"/>
        <w:spacing w:line="560" w:lineRule="exact"/>
        <w:jc w:val="both"/>
      </w:pPr>
      <w:r>
        <w:rPr>
          <w:rFonts w:hint="eastAsia"/>
        </w:rPr>
        <w:t>事实和理由：</w:t>
      </w:r>
      <w:r>
        <w:rPr>
          <w:rFonts w:hint="eastAsia"/>
          <w:lang w:val="en-US" w:eastAsia="zh-CN"/>
        </w:rPr>
        <w:t>1、一审法院认定“</w:t>
      </w:r>
      <w:r>
        <w:rPr>
          <w:rFonts w:hint="eastAsia"/>
        </w:rPr>
        <w:t>杨春祥</w:t>
      </w:r>
      <w:r>
        <w:rPr>
          <w:rFonts w:hint="eastAsia"/>
          <w:lang w:eastAsia="zh-CN"/>
        </w:rPr>
        <w:t>按照</w:t>
      </w:r>
      <w:r>
        <w:rPr>
          <w:rFonts w:hint="eastAsia"/>
        </w:rPr>
        <w:t>高成刚</w:t>
      </w:r>
      <w:r>
        <w:rPr>
          <w:rFonts w:hint="eastAsia"/>
          <w:lang w:eastAsia="zh-CN"/>
        </w:rPr>
        <w:t>的指示，将水泥及卸载水泥的</w:t>
      </w:r>
      <w:r>
        <w:rPr>
          <w:rFonts w:hint="eastAsia"/>
        </w:rPr>
        <w:t>湛得荣</w:t>
      </w:r>
      <w:r>
        <w:rPr>
          <w:rFonts w:hint="eastAsia"/>
          <w:lang w:eastAsia="zh-CN"/>
        </w:rPr>
        <w:t>运送到</w:t>
      </w:r>
      <w:r>
        <w:rPr>
          <w:rFonts w:hint="eastAsia"/>
        </w:rPr>
        <w:t>向忠</w:t>
      </w:r>
      <w:r>
        <w:rPr>
          <w:rFonts w:hint="eastAsia"/>
          <w:lang w:eastAsia="zh-CN"/>
        </w:rPr>
        <w:t>指定的地点（忠县）</w:t>
      </w:r>
      <w:r>
        <w:rPr>
          <w:rFonts w:hint="eastAsia"/>
          <w:lang w:val="en-US" w:eastAsia="zh-CN"/>
        </w:rPr>
        <w:t>”是错误的。高成刚没有指示杨春祥将湛得荣运到指定地点，杨春祥也没有叫湛得荣乘车，湛得荣乘坐杨春祥的车到指定地点是受向忠指示的，理由有二：其一，高成刚与湛得荣没有形成接受劳务与提供劳务的关系，高成刚不可能指示杨春祥运送湛得荣到指定地点；其二，湛得荣无证据证明是高成刚雇请的，一审法院推定湛得荣同时为高成刚、向忠二人服务，实属错误。2、一审法院认定“另查明，</w:t>
      </w:r>
      <w:r>
        <w:rPr>
          <w:rFonts w:hint="eastAsia"/>
        </w:rPr>
        <w:t>向忠</w:t>
      </w:r>
      <w:r>
        <w:rPr>
          <w:rFonts w:hint="eastAsia"/>
          <w:lang w:eastAsia="zh-CN"/>
        </w:rPr>
        <w:t>陈述，现场有监控视频，因时间太长现不能还原当时的现场情况，但事故发生时，查看过视频，</w:t>
      </w:r>
      <w:r>
        <w:rPr>
          <w:rFonts w:hint="eastAsia"/>
          <w:lang w:val="en-US" w:eastAsia="zh-CN"/>
        </w:rPr>
        <w:t>湛得荣</w:t>
      </w:r>
      <w:r>
        <w:rPr>
          <w:rFonts w:hint="eastAsia"/>
          <w:lang w:eastAsia="zh-CN"/>
        </w:rPr>
        <w:t>是在卸载工程中车辆启动时摔倒受伤。”</w:t>
      </w:r>
      <w:r>
        <w:rPr>
          <w:rFonts w:hint="eastAsia"/>
          <w:lang w:val="en-US" w:eastAsia="zh-CN"/>
        </w:rPr>
        <w:t>是错误的，向忠是本案当事人，并不是证人，其在法庭上的陈述既没有监控视频和其他证据佐证，也没有得到上诉人和杨春祥的认可，事实上，湛得荣陈述的受伤经过与事实不相符，湛得荣的受伤与杨春祥没有关系。3、一审法院认定湛得荣居住在城镇并按城镇标准计算赔偿是错误的，湛得荣在一审中举示的证据，不能证明其连续居住在城镇一年以上及全部收入来源于非农业的事实。4、本案是提供劳务者受害责任纠纷，属于一般侵权责任纠纷，根据“谁主张、谁举证”的规定，湛得荣应该向法庭举示高成刚雇请他的证据，及系杨春祥开车的原因导致他受伤的证据。但是，一审法院违反法律规定，将此举证责任分摊给高成刚、杨春祥</w:t>
      </w:r>
      <w:r>
        <w:rPr>
          <w:rFonts w:hint="eastAsia"/>
        </w:rPr>
        <w:t>。</w:t>
      </w:r>
    </w:p>
    <w:p>
      <w:pPr>
        <w:pStyle w:val="7"/>
        <w:bidi w:val="0"/>
        <w:spacing w:line="560" w:lineRule="exact"/>
        <w:jc w:val="both"/>
        <w:rPr>
          <w:rFonts w:hint="default"/>
          <w:lang w:val="en-US"/>
        </w:rPr>
      </w:pPr>
      <w:r>
        <w:rPr>
          <w:rFonts w:hint="eastAsia"/>
        </w:rPr>
        <w:t>湛得荣辩称</w:t>
      </w:r>
      <w:r>
        <w:rPr>
          <w:rFonts w:hint="eastAsia"/>
          <w:lang w:eastAsia="zh-CN"/>
        </w:rPr>
        <w:t>：</w:t>
      </w:r>
      <w:r>
        <w:rPr>
          <w:rFonts w:hint="eastAsia"/>
          <w:lang w:val="en-US" w:eastAsia="zh-CN"/>
        </w:rPr>
        <w:t>首先，</w:t>
      </w:r>
      <w:r>
        <w:rPr>
          <w:rFonts w:hint="eastAsia"/>
        </w:rPr>
        <w:t>湛得荣</w:t>
      </w:r>
      <w:r>
        <w:rPr>
          <w:rFonts w:hint="eastAsia"/>
          <w:lang w:val="en-US" w:eastAsia="zh-CN"/>
        </w:rPr>
        <w:t>是站在货车车斗内，抱着水泥向地面卸下；其次，作为获得驾驶执照的货车驾驶员，按照惯例和驾驶常识，会在车辆启动前绕车一圈，观察周围环境，避免视线盲区造成安全事故，驾驶员杨春祥在没有提醒</w:t>
      </w:r>
      <w:r>
        <w:rPr>
          <w:rFonts w:hint="eastAsia"/>
        </w:rPr>
        <w:t>湛得荣</w:t>
      </w:r>
      <w:r>
        <w:rPr>
          <w:rFonts w:hint="eastAsia"/>
          <w:lang w:eastAsia="zh-CN"/>
        </w:rPr>
        <w:t>，</w:t>
      </w:r>
      <w:r>
        <w:rPr>
          <w:rFonts w:hint="eastAsia"/>
          <w:lang w:val="en-US" w:eastAsia="zh-CN"/>
        </w:rPr>
        <w:t>也没有在启动车辆之前绕车观察周围环境，径直启动车辆，造成</w:t>
      </w:r>
      <w:r>
        <w:rPr>
          <w:rFonts w:hint="eastAsia"/>
        </w:rPr>
        <w:t>湛得荣</w:t>
      </w:r>
      <w:r>
        <w:rPr>
          <w:rFonts w:hint="eastAsia"/>
          <w:lang w:val="en-US" w:eastAsia="zh-CN"/>
        </w:rPr>
        <w:t>受伤，应当承担未尽到安全保障义务的全部责任；最后，我方保留申请再审的权利。</w:t>
      </w:r>
    </w:p>
    <w:p>
      <w:pPr>
        <w:pStyle w:val="7"/>
        <w:bidi w:val="0"/>
        <w:spacing w:line="560" w:lineRule="exact"/>
        <w:jc w:val="both"/>
      </w:pPr>
      <w:r>
        <w:rPr>
          <w:rFonts w:hint="eastAsia"/>
        </w:rPr>
        <w:t>向忠述称</w:t>
      </w:r>
      <w:r>
        <w:rPr>
          <w:rFonts w:hint="eastAsia"/>
          <w:lang w:eastAsia="zh-CN"/>
        </w:rPr>
        <w:t>：</w:t>
      </w:r>
      <w:r>
        <w:rPr>
          <w:rFonts w:hint="eastAsia"/>
          <w:lang w:val="en-US" w:eastAsia="zh-CN"/>
        </w:rPr>
        <w:t>杨春祥未尽到安全保障义务，应当承担事故全部责任</w:t>
      </w:r>
      <w:r>
        <w:rPr>
          <w:rFonts w:hint="eastAsia"/>
        </w:rPr>
        <w:t>。</w:t>
      </w:r>
    </w:p>
    <w:p>
      <w:pPr>
        <w:pStyle w:val="7"/>
        <w:bidi w:val="0"/>
        <w:spacing w:line="560" w:lineRule="exact"/>
        <w:jc w:val="both"/>
      </w:pPr>
      <w:r>
        <w:rPr>
          <w:rFonts w:hint="eastAsia"/>
        </w:rPr>
        <w:t>湛得荣向一审法院起诉请求：判令三被告连带赔偿湛得荣残疾赔偿金、护理费、住院伙食补助费、误工费、医药费等共计133</w:t>
      </w:r>
      <w:r>
        <w:rPr>
          <w:rFonts w:hint="eastAsia"/>
          <w:lang w:val="en-US" w:eastAsia="zh-CN"/>
        </w:rPr>
        <w:t>,</w:t>
      </w:r>
      <w:r>
        <w:rPr>
          <w:rFonts w:hint="eastAsia"/>
        </w:rPr>
        <w:t>273.39元，案件受理费由三被告负担。</w:t>
      </w:r>
    </w:p>
    <w:p>
      <w:pPr>
        <w:pStyle w:val="7"/>
        <w:bidi w:val="0"/>
        <w:spacing w:line="560" w:lineRule="exact"/>
        <w:jc w:val="both"/>
        <w:rPr>
          <w:rFonts w:hint="eastAsia"/>
        </w:rPr>
      </w:pPr>
      <w:r>
        <w:rPr>
          <w:rFonts w:hint="eastAsia"/>
        </w:rPr>
        <w:t>一审法院经审理查明，高成刚从事货物运输服务，并雇请杨春祥为驾驶员。2019年6月19日，因向忠需要水泥，杨春祥按照高成刚的指示，将水泥及卸载水泥的湛得荣运送到向忠指定的地点（忠县），开始卸载水泥，在卸载过程中，湛得荣摔倒受伤，次日高成刚及杨春祥将湛得荣送到丰都县人民医院住院治疗，经诊断为右侧股骨粗隆间骨折，住院20天后出院。2019年10月23日湛得荣委托重庆市石柱县司法鉴定所鉴定，该所2019年10月28日作出鉴定意见，意见为，1.湛得荣的右髋关节功能性障碍属十级伤残；2.湛得荣住院期间需1人护理，出院后需1人护理100-160天；3.湛得荣出院后休息160-240天才能从事部分体力劳动。住院过程中，共计花去医疗费8195.39元，高成刚支付医疗费4500元，向忠支付医疗费2000元，湛得荣支付医疗费1695.39元。另查明，向忠陈述，现场有监控视频，因时间太长现不能还原当时的现场情况，但事故发生时，查看过视频，湛得荣是在卸载工程中车辆启动时摔倒受伤。</w:t>
      </w:r>
    </w:p>
    <w:p>
      <w:pPr>
        <w:pStyle w:val="7"/>
        <w:bidi w:val="0"/>
        <w:spacing w:line="560" w:lineRule="exact"/>
        <w:jc w:val="both"/>
      </w:pPr>
      <w:r>
        <w:rPr>
          <w:rFonts w:hint="eastAsia"/>
        </w:rPr>
        <w:t>一审法院认为，本案争议的焦点是：一、责任主体及责任比例问题；二、赔偿金额的确定等问题。一、责任主体及比例问题。从查明的事实看，高成刚与向忠之间存在运输合同关系，对于运输合同的内容双方均未举证，并未予以证明卸载水泥是谁的义务，为此推定双方均有义务，湛得荣卸载水泥提供劳务是为高成刚及向忠服务，为此高成刚及向忠对作为劳务服务的湛得荣有一定的保障义务，如保障不力造成损害应当承担赔偿责任。从湛得荣在卸载水泥过程中摔倒受伤的原因看，一是湛得荣自己未尽注意义务，二是高成刚及向忠未提供安全保障措施，三是杨春祥未尽配合协助义务所致。综上，高成刚、向忠、杨春祥存在过错，应当承担赔偿责任，但基于杨春祥系高成刚雇佣，其责任依法应由其雇主高成刚承担。为此高成刚、向忠均为责任主体，湛得荣未尽注意义务自己也有过错应承担相应民事责任。高成刚、向忠的过错责任不属于具有共同故意或者共同过失，因此不应承担连带责任，而应承担按份责任。责任比例结合原因力及过错程度认定，以湛得荣负担50%，高成刚、向忠各负担25%为公平。二、赔偿金额的确定等问题。湛得荣的经济损失依法计算为，1.医疗费据实计算为8195.39元；2.残疾赔偿金计算为37</w:t>
      </w:r>
      <w:r>
        <w:rPr>
          <w:rFonts w:hint="eastAsia"/>
          <w:lang w:val="en-US" w:eastAsia="zh-CN"/>
        </w:rPr>
        <w:t>,</w:t>
      </w:r>
      <w:r>
        <w:rPr>
          <w:rFonts w:hint="eastAsia"/>
        </w:rPr>
        <w:t>939元/年×20年×10%=75</w:t>
      </w:r>
      <w:r>
        <w:rPr>
          <w:rFonts w:hint="eastAsia"/>
          <w:lang w:val="en-US" w:eastAsia="zh-CN"/>
        </w:rPr>
        <w:t>,</w:t>
      </w:r>
      <w:r>
        <w:rPr>
          <w:rFonts w:hint="eastAsia"/>
        </w:rPr>
        <w:t>878元（城镇居住生活以城镇人口计算）；3.住院伙食补助费计算为60元/天×20天=1200元；4.护理费计算为，住院期间护理费＋出院期间护理费=120元/天×20天+120元/天×120天×50%=9600元；5.误工费计算为100元/天×131天=13100元（确定为定残之前一日）；6.营养费，因无医嘱无鉴定意见不予计算；7.鉴定费据实计算为1900元；8.交通费酌定为300元；9.精神损害赔偿金酌定为2000元，以上合计为112</w:t>
      </w:r>
      <w:r>
        <w:rPr>
          <w:rFonts w:hint="eastAsia"/>
          <w:lang w:val="en-US" w:eastAsia="zh-CN"/>
        </w:rPr>
        <w:t>,</w:t>
      </w:r>
      <w:r>
        <w:rPr>
          <w:rFonts w:hint="eastAsia"/>
        </w:rPr>
        <w:t>173.39元。高成刚承担的赔偿金额为，应赔偿的金额-已赔偿的金额=112</w:t>
      </w:r>
      <w:r>
        <w:rPr>
          <w:rFonts w:hint="eastAsia"/>
          <w:lang w:val="en-US" w:eastAsia="zh-CN"/>
        </w:rPr>
        <w:t>,</w:t>
      </w:r>
      <w:r>
        <w:rPr>
          <w:rFonts w:hint="eastAsia"/>
        </w:rPr>
        <w:t>173.39元×25%-4500元=28</w:t>
      </w:r>
      <w:r>
        <w:rPr>
          <w:rFonts w:hint="eastAsia"/>
          <w:lang w:val="en-US" w:eastAsia="zh-CN"/>
        </w:rPr>
        <w:t>,</w:t>
      </w:r>
      <w:r>
        <w:rPr>
          <w:rFonts w:hint="eastAsia"/>
        </w:rPr>
        <w:t>043.35元-4500元=23</w:t>
      </w:r>
      <w:r>
        <w:rPr>
          <w:rFonts w:hint="eastAsia"/>
          <w:lang w:val="en-US" w:eastAsia="zh-CN"/>
        </w:rPr>
        <w:t>,</w:t>
      </w:r>
      <w:r>
        <w:rPr>
          <w:rFonts w:hint="eastAsia"/>
        </w:rPr>
        <w:t>543.35元；向忠应承担的赔偿金额为，112</w:t>
      </w:r>
      <w:r>
        <w:rPr>
          <w:rFonts w:hint="eastAsia"/>
          <w:lang w:val="en-US" w:eastAsia="zh-CN"/>
        </w:rPr>
        <w:t>,</w:t>
      </w:r>
      <w:r>
        <w:rPr>
          <w:rFonts w:hint="eastAsia"/>
        </w:rPr>
        <w:t>173.39元×25%-2000元=28</w:t>
      </w:r>
      <w:r>
        <w:rPr>
          <w:rFonts w:hint="eastAsia"/>
          <w:lang w:val="en-US" w:eastAsia="zh-CN"/>
        </w:rPr>
        <w:t>,</w:t>
      </w:r>
      <w:r>
        <w:rPr>
          <w:rFonts w:hint="eastAsia"/>
        </w:rPr>
        <w:t>043.35元-2000元=26</w:t>
      </w:r>
      <w:r>
        <w:rPr>
          <w:rFonts w:hint="eastAsia"/>
          <w:lang w:val="en-US" w:eastAsia="zh-CN"/>
        </w:rPr>
        <w:t>,</w:t>
      </w:r>
      <w:r>
        <w:rPr>
          <w:rFonts w:hint="eastAsia"/>
        </w:rPr>
        <w:t>043.35元；其余经济损失由湛得荣自己负担。综上所述，依照《中华人民共和国侵权责任法》第六条第一款、第十二条、第十五条第一款第六项、第十六条、第二十六条、第三十五条、《最高人民法院关于审理人身损害赔偿案件适用法律若干问题的解释》第十七条第一、二款、第十九条、第二十条、第二十一条、第二十二条、第二十三条、第二十四条、第二十五条第一款、《最高人民法院关于确定民事侵权精神损害赔偿责任若干问题的解释》第十条第一款之规定，判决：一、高成刚在本判决发生法律效力后十日内赔偿湛得荣的经济损失23</w:t>
      </w:r>
      <w:r>
        <w:rPr>
          <w:rFonts w:hint="eastAsia"/>
          <w:lang w:val="en-US" w:eastAsia="zh-CN"/>
        </w:rPr>
        <w:t>,</w:t>
      </w:r>
      <w:r>
        <w:rPr>
          <w:rFonts w:hint="eastAsia"/>
        </w:rPr>
        <w:t>543.35元；二、向忠在本判决发生法律效力后十日内赔偿湛得荣的经济损失26</w:t>
      </w:r>
      <w:r>
        <w:rPr>
          <w:rFonts w:hint="eastAsia"/>
          <w:lang w:val="en-US" w:eastAsia="zh-CN"/>
        </w:rPr>
        <w:t>,</w:t>
      </w:r>
      <w:r>
        <w:rPr>
          <w:rFonts w:hint="eastAsia"/>
        </w:rPr>
        <w:t>043.35元；三、驳回湛得荣的其余诉讼请求。如果未按本判决指定的期间履行给付金钱义务，应当依照《中华人民共和国民事诉讼法》第二百五十三条规定，加倍支付迟延履行期间的债务利息。案件受理费2965.73元，减半收取1483元，由湛得荣负担889元，高成刚、</w:t>
      </w:r>
      <w:r>
        <w:rPr>
          <w:rFonts w:hint="eastAsia"/>
          <w:lang w:val="en-US" w:eastAsia="zh-CN"/>
        </w:rPr>
        <w:t>向忠</w:t>
      </w:r>
      <w:r>
        <w:rPr>
          <w:rFonts w:hint="eastAsia"/>
        </w:rPr>
        <w:t>各负担297元。</w:t>
      </w:r>
    </w:p>
    <w:p>
      <w:pPr>
        <w:pStyle w:val="7"/>
        <w:bidi w:val="0"/>
        <w:spacing w:line="560" w:lineRule="exact"/>
        <w:jc w:val="both"/>
        <w:rPr>
          <w:rFonts w:hint="default"/>
          <w:lang w:val="en-US" w:eastAsia="zh-CN"/>
        </w:rPr>
      </w:pPr>
      <w:r>
        <w:rPr>
          <w:rFonts w:hint="eastAsia"/>
        </w:rPr>
        <w:t>本院二审期间，</w:t>
      </w:r>
      <w:r>
        <w:rPr>
          <w:rFonts w:hint="eastAsia"/>
          <w:lang w:val="en-US" w:eastAsia="zh-CN"/>
        </w:rPr>
        <w:t>向忠申请证人罗秀琼出庭作证</w:t>
      </w:r>
      <w:r>
        <w:rPr>
          <w:rFonts w:hint="eastAsia"/>
          <w:lang w:eastAsia="zh-CN"/>
        </w:rPr>
        <w:t>，</w:t>
      </w:r>
      <w:r>
        <w:rPr>
          <w:rFonts w:hint="eastAsia"/>
          <w:lang w:val="en-US" w:eastAsia="zh-CN"/>
        </w:rPr>
        <w:t>拟证明杨春祥未尽到安全保障义务，应当承担事故全部责任</w:t>
      </w:r>
      <w:r>
        <w:rPr>
          <w:rFonts w:hint="eastAsia"/>
        </w:rPr>
        <w:t>。高成刚</w:t>
      </w:r>
      <w:r>
        <w:rPr>
          <w:rFonts w:hint="eastAsia"/>
          <w:lang w:val="en-US" w:eastAsia="zh-CN"/>
        </w:rPr>
        <w:t>质证认为：首先，证人在一审中已经旁听过庭审，二审中再次出庭作证不具有合法性；其次，证人与向忠之间有利害关系，其证人证言不具有真实性。</w:t>
      </w:r>
      <w:r>
        <w:rPr>
          <w:rFonts w:hint="eastAsia"/>
        </w:rPr>
        <w:t>湛得荣</w:t>
      </w:r>
      <w:r>
        <w:rPr>
          <w:rFonts w:hint="eastAsia"/>
          <w:lang w:val="en-US" w:eastAsia="zh-CN"/>
        </w:rPr>
        <w:t>质证认为：对其证人证言的真实性、合法性、关联性均予以认可。对于上述证人证言，本院经审查，证人虽在一审中旁听过庭审，但综合各方当事人的陈述，依据优势证据规则，对其证人证言予以采信。</w:t>
      </w:r>
      <w:r>
        <w:rPr>
          <w:rFonts w:hint="eastAsia"/>
          <w:lang w:eastAsia="zh-CN"/>
        </w:rPr>
        <w:t>二</w:t>
      </w:r>
      <w:r>
        <w:rPr>
          <w:rFonts w:hint="eastAsia"/>
        </w:rPr>
        <w:t>审查明的</w:t>
      </w:r>
      <w:r>
        <w:rPr>
          <w:rFonts w:hint="eastAsia"/>
          <w:lang w:val="en-US" w:eastAsia="zh-CN"/>
        </w:rPr>
        <w:t>其他</w:t>
      </w:r>
      <w:r>
        <w:rPr>
          <w:rFonts w:hint="eastAsia"/>
        </w:rPr>
        <w:t>事实与</w:t>
      </w:r>
      <w:r>
        <w:rPr>
          <w:rFonts w:hint="eastAsia"/>
          <w:lang w:eastAsia="zh-CN"/>
        </w:rPr>
        <w:t>一</w:t>
      </w:r>
      <w:r>
        <w:rPr>
          <w:rFonts w:hint="eastAsia"/>
        </w:rPr>
        <w:t>审查明的事实相同。</w:t>
      </w:r>
    </w:p>
    <w:p>
      <w:pPr>
        <w:pStyle w:val="7"/>
        <w:bidi w:val="0"/>
        <w:spacing w:line="560" w:lineRule="exact"/>
        <w:jc w:val="both"/>
        <w:rPr>
          <w:rFonts w:hint="eastAsia"/>
        </w:rPr>
      </w:pPr>
      <w:r>
        <w:rPr>
          <w:rFonts w:hint="eastAsia"/>
        </w:rPr>
        <w:t>本院认为，根据最高人民法院《关于适用〈中华人民共和国民事诉讼法〉的解释》第三百二十三条关于“第二审人民法院应当围绕当事人的上诉请求进行审理。当事人没有提出请求的，不予审理，但一审判决违反法律禁止性规定，或者损害国家利益、社会公共利益、他人合法权益的除外”的规定，本案的争议焦点可归纳为：1、高成刚、向忠、湛得荣之间的</w:t>
      </w:r>
      <w:r>
        <w:rPr>
          <w:rFonts w:hint="eastAsia"/>
          <w:lang w:val="en-US" w:eastAsia="zh-CN"/>
        </w:rPr>
        <w:t>法律</w:t>
      </w:r>
      <w:r>
        <w:rPr>
          <w:rFonts w:hint="eastAsia"/>
        </w:rPr>
        <w:t>关系认定；2、湛得荣受伤事实的认定</w:t>
      </w:r>
      <w:r>
        <w:rPr>
          <w:rFonts w:hint="eastAsia"/>
          <w:lang w:val="en-US" w:eastAsia="zh-CN"/>
        </w:rPr>
        <w:t>及责任划分</w:t>
      </w:r>
      <w:r>
        <w:rPr>
          <w:rFonts w:hint="eastAsia"/>
        </w:rPr>
        <w:t>；3、以城镇标准计算湛得荣的</w:t>
      </w:r>
      <w:r>
        <w:rPr>
          <w:rFonts w:hint="eastAsia"/>
          <w:lang w:val="en-US" w:eastAsia="zh-CN"/>
        </w:rPr>
        <w:t>残疾赔偿金</w:t>
      </w:r>
      <w:r>
        <w:rPr>
          <w:rFonts w:hint="eastAsia"/>
        </w:rPr>
        <w:t>是否妥当；</w:t>
      </w:r>
    </w:p>
    <w:p>
      <w:pPr>
        <w:pStyle w:val="7"/>
        <w:bidi w:val="0"/>
        <w:spacing w:line="560" w:lineRule="exact"/>
        <w:jc w:val="both"/>
        <w:rPr>
          <w:rFonts w:hint="eastAsia"/>
          <w:lang w:val="en-US" w:eastAsia="zh-CN"/>
        </w:rPr>
      </w:pPr>
      <w:r>
        <w:rPr>
          <w:rFonts w:hint="eastAsia"/>
          <w:lang w:val="en-US" w:eastAsia="zh-CN"/>
        </w:rPr>
        <w:t>关于焦点一，本案中，杨春祥是高成刚雇请的驾驶员，二人之间形成劳务关系。高成刚与向忠之间形成运输合同关系。</w:t>
      </w:r>
      <w:r>
        <w:rPr>
          <w:rFonts w:hint="eastAsia"/>
        </w:rPr>
        <w:t>湛得荣</w:t>
      </w:r>
      <w:r>
        <w:rPr>
          <w:rFonts w:hint="eastAsia"/>
          <w:lang w:val="en-US" w:eastAsia="zh-CN"/>
        </w:rPr>
        <w:t>在二审中陈述其是为向忠提供卸载水泥的劳务，结合卸载水泥的劳务费用430元是向忠一方给付的事实，认定</w:t>
      </w:r>
      <w:r>
        <w:rPr>
          <w:rFonts w:hint="eastAsia"/>
        </w:rPr>
        <w:t>湛得荣</w:t>
      </w:r>
      <w:r>
        <w:rPr>
          <w:rFonts w:hint="eastAsia"/>
          <w:lang w:val="en-US" w:eastAsia="zh-CN"/>
        </w:rPr>
        <w:t>与向忠之间形成劳务关系。</w:t>
      </w:r>
    </w:p>
    <w:p>
      <w:pPr>
        <w:pStyle w:val="7"/>
        <w:bidi w:val="0"/>
        <w:spacing w:line="240" w:lineRule="auto"/>
        <w:jc w:val="both"/>
        <w:rPr>
          <w:rFonts w:hint="eastAsia"/>
          <w:lang w:val="en-US" w:eastAsia="zh-CN"/>
        </w:rPr>
      </w:pPr>
      <w:r>
        <w:rPr>
          <w:rFonts w:hint="eastAsia"/>
          <w:lang w:val="en-US" w:eastAsia="zh-CN"/>
        </w:rPr>
        <w:t>关于焦点二，本案中，事故的发生，是湛得荣站在货车车斗内，抱着水泥向地面卸下时，车辆启动，湛得荣摔倒在地受伤。本次事故中，杨春祥在启动车辆时未尽到必要的安全警示义务，应当承担与其过错相应的责任；</w:t>
      </w:r>
      <w:r>
        <w:rPr>
          <w:rFonts w:hint="eastAsia"/>
        </w:rPr>
        <w:t>向忠</w:t>
      </w:r>
      <w:r>
        <w:rPr>
          <w:rFonts w:hint="eastAsia"/>
          <w:lang w:val="en-US" w:eastAsia="zh-CN"/>
        </w:rPr>
        <w:t>作为接受劳务一方，未对湛得荣提供必要的安全提醒和安全工作环境，对于存在的安全隐患，并未采取必要的安全防护措施，比如，湛得荣下水泥的库房没有充足的照明；同时，</w:t>
      </w:r>
      <w:r>
        <w:rPr>
          <w:rFonts w:hint="eastAsia"/>
        </w:rPr>
        <w:t>湛得荣</w:t>
      </w:r>
      <w:r>
        <w:rPr>
          <w:rFonts w:hint="eastAsia"/>
          <w:lang w:val="en-US" w:eastAsia="zh-CN"/>
        </w:rPr>
        <w:t>自身</w:t>
      </w:r>
      <w:r>
        <w:rPr>
          <w:rFonts w:hint="eastAsia"/>
        </w:rPr>
        <w:t>未尽</w:t>
      </w:r>
      <w:r>
        <w:rPr>
          <w:rFonts w:hint="eastAsia"/>
          <w:lang w:val="en-US" w:eastAsia="zh-CN"/>
        </w:rPr>
        <w:t>到必要的安全</w:t>
      </w:r>
      <w:r>
        <w:rPr>
          <w:rFonts w:hint="eastAsia"/>
        </w:rPr>
        <w:t>注意义务</w:t>
      </w:r>
      <w:r>
        <w:rPr>
          <w:rFonts w:hint="eastAsia"/>
          <w:lang w:eastAsia="zh-CN"/>
        </w:rPr>
        <w:t>。</w:t>
      </w:r>
      <w:r>
        <w:rPr>
          <w:rFonts w:hint="eastAsia"/>
          <w:lang w:val="en-US" w:eastAsia="zh-CN"/>
        </w:rPr>
        <w:t>因而，杨春祥因过错致他人损害，</w:t>
      </w:r>
      <w:r>
        <w:rPr>
          <w:rFonts w:hint="eastAsia"/>
        </w:rPr>
        <w:t>高成刚</w:t>
      </w:r>
      <w:r>
        <w:rPr>
          <w:rFonts w:hint="eastAsia"/>
          <w:lang w:val="en-US" w:eastAsia="zh-CN"/>
        </w:rPr>
        <w:t>作为接受杨春祥劳务的一方应当承担责任，</w:t>
      </w:r>
      <w:r>
        <w:rPr>
          <w:rFonts w:hint="eastAsia"/>
        </w:rPr>
        <w:t>向忠</w:t>
      </w:r>
      <w:r>
        <w:rPr>
          <w:rFonts w:hint="eastAsia"/>
          <w:lang w:val="en-US" w:eastAsia="zh-CN"/>
        </w:rPr>
        <w:t>对湛得荣未尽到必要的</w:t>
      </w:r>
      <w:r>
        <w:rPr>
          <w:rFonts w:hint="eastAsia"/>
        </w:rPr>
        <w:t>安全保障</w:t>
      </w:r>
      <w:r>
        <w:rPr>
          <w:rFonts w:hint="eastAsia"/>
          <w:lang w:val="en-US" w:eastAsia="zh-CN"/>
        </w:rPr>
        <w:t>义务，应当承担与其过错相应的责任，</w:t>
      </w:r>
      <w:r>
        <w:rPr>
          <w:rFonts w:hint="eastAsia"/>
        </w:rPr>
        <w:t>湛得荣</w:t>
      </w:r>
      <w:r>
        <w:rPr>
          <w:rFonts w:hint="eastAsia"/>
          <w:lang w:val="en-US" w:eastAsia="zh-CN"/>
        </w:rPr>
        <w:t>自担与其自身过错相应的责任。</w:t>
      </w:r>
      <w:r>
        <w:rPr>
          <w:rFonts w:hint="eastAsia"/>
          <w:lang w:val="zh-CN"/>
        </w:rPr>
        <w:t>《中华人民共和国侵权责任法》第三十五条：</w:t>
      </w:r>
      <w:r>
        <w:rPr>
          <w:rFonts w:hint="eastAsia"/>
          <w:lang w:val="en-US" w:eastAsia="zh-CN"/>
        </w:rPr>
        <w:t>“</w:t>
      </w:r>
      <w:r>
        <w:rPr>
          <w:rFonts w:hint="eastAsia"/>
          <w:lang w:val="zh-CN"/>
        </w:rPr>
        <w:t>个人之间形成劳务关系，提供劳务一方因劳务造成他人损害的，由接受劳务一方承担侵权责任。提供劳务一方因劳务自己受到损害的，根据双方各自的过错承担相应的责任。”</w:t>
      </w:r>
      <w:r>
        <w:rPr>
          <w:rFonts w:hint="eastAsia"/>
          <w:lang w:val="en-US" w:eastAsia="zh-CN"/>
        </w:rPr>
        <w:t>一审法院判定，</w:t>
      </w:r>
      <w:r>
        <w:rPr>
          <w:rFonts w:hint="eastAsia"/>
        </w:rPr>
        <w:t>湛得荣负担50%，高成刚、向忠各负担25%</w:t>
      </w:r>
      <w:r>
        <w:rPr>
          <w:rFonts w:hint="eastAsia"/>
          <w:lang w:eastAsia="zh-CN"/>
        </w:rPr>
        <w:t>，</w:t>
      </w:r>
      <w:r>
        <w:rPr>
          <w:rFonts w:hint="eastAsia"/>
          <w:lang w:val="en-US" w:eastAsia="zh-CN"/>
        </w:rPr>
        <w:t>是综合考虑了</w:t>
      </w:r>
      <w:r>
        <w:rPr>
          <w:rFonts w:hint="eastAsia"/>
        </w:rPr>
        <w:t>责任比例</w:t>
      </w:r>
      <w:r>
        <w:rPr>
          <w:rFonts w:hint="eastAsia"/>
          <w:lang w:eastAsia="zh-CN"/>
        </w:rPr>
        <w:t>、</w:t>
      </w:r>
      <w:r>
        <w:rPr>
          <w:rFonts w:hint="eastAsia"/>
        </w:rPr>
        <w:t>原因力及过错程度</w:t>
      </w:r>
      <w:r>
        <w:rPr>
          <w:rFonts w:hint="eastAsia"/>
          <w:lang w:val="en-US" w:eastAsia="zh-CN"/>
        </w:rPr>
        <w:t>的</w:t>
      </w:r>
      <w:r>
        <w:rPr>
          <w:rFonts w:hint="eastAsia"/>
        </w:rPr>
        <w:t>认定</w:t>
      </w:r>
      <w:r>
        <w:rPr>
          <w:rFonts w:hint="eastAsia"/>
          <w:lang w:eastAsia="zh-CN"/>
        </w:rPr>
        <w:t>，</w:t>
      </w:r>
      <w:r>
        <w:rPr>
          <w:rFonts w:hint="eastAsia"/>
          <w:lang w:val="en-US" w:eastAsia="zh-CN"/>
        </w:rPr>
        <w:t>并无不妥。</w:t>
      </w:r>
    </w:p>
    <w:p>
      <w:pPr>
        <w:pStyle w:val="7"/>
        <w:bidi w:val="0"/>
        <w:spacing w:line="560" w:lineRule="exact"/>
        <w:jc w:val="both"/>
        <w:rPr>
          <w:rFonts w:hint="default"/>
          <w:lang w:val="en-US" w:eastAsia="zh-CN"/>
        </w:rPr>
      </w:pPr>
      <w:r>
        <w:rPr>
          <w:rFonts w:hint="eastAsia"/>
          <w:lang w:val="en-US" w:eastAsia="zh-CN"/>
        </w:rPr>
        <w:t>关于焦点三，一审中，丰都县湛普镇白云社区居民委员会证明、重庆市泰源燃气有限公司证明、水务收费收据等，可以证明湛得荣在城镇居住一年以上，且在城镇务工，其生活居住地和收入来源地均在城镇，一审法院按城镇标准计算其残疾赔偿金，并无不妥。</w:t>
      </w:r>
    </w:p>
    <w:p>
      <w:pPr>
        <w:pStyle w:val="7"/>
        <w:bidi w:val="0"/>
        <w:spacing w:line="560" w:lineRule="exact"/>
        <w:jc w:val="both"/>
      </w:pPr>
      <w:r>
        <w:rPr>
          <w:rFonts w:hint="eastAsia"/>
        </w:rPr>
        <w:t>综上所述，高成刚的上诉请求不能成立，其上诉请求不予支持</w:t>
      </w:r>
      <w:r>
        <w:rPr>
          <w:rFonts w:hint="eastAsia"/>
          <w:lang w:eastAsia="zh-CN"/>
        </w:rPr>
        <w:t>。</w:t>
      </w:r>
      <w:r>
        <w:rPr>
          <w:rFonts w:hint="eastAsia"/>
        </w:rPr>
        <w:t>一审判决认定事实清楚，适用法律正确，应予维持。依照《中华人民共和国民事诉讼法》第一百七十条第一款第一项规定，判决如下：</w:t>
      </w:r>
    </w:p>
    <w:p>
      <w:pPr>
        <w:pStyle w:val="7"/>
        <w:bidi w:val="0"/>
        <w:spacing w:line="560" w:lineRule="exact"/>
        <w:jc w:val="both"/>
      </w:pPr>
      <w:r>
        <w:rPr>
          <w:rFonts w:hint="eastAsia"/>
        </w:rPr>
        <w:t>驳回上诉，维持原判。</w:t>
      </w:r>
    </w:p>
    <w:p>
      <w:pPr>
        <w:pStyle w:val="7"/>
        <w:bidi w:val="0"/>
        <w:spacing w:line="560" w:lineRule="exact"/>
        <w:jc w:val="both"/>
        <w:rPr>
          <w:rFonts w:hint="default"/>
          <w:lang w:val="en-US" w:eastAsia="zh-CN"/>
        </w:rPr>
      </w:pPr>
      <w:r>
        <w:rPr>
          <w:rFonts w:hint="eastAsia"/>
        </w:rPr>
        <w:t>二审</w:t>
      </w:r>
      <w:r>
        <w:rPr>
          <w:rFonts w:hint="eastAsia"/>
          <w:lang w:val="en-US" w:eastAsia="zh-CN"/>
        </w:rPr>
        <w:t>案件受理费388.58元，由</w:t>
      </w:r>
      <w:r>
        <w:rPr>
          <w:rFonts w:hint="eastAsia"/>
        </w:rPr>
        <w:t>高成刚</w:t>
      </w:r>
      <w:r>
        <w:rPr>
          <w:rFonts w:hint="eastAsia"/>
          <w:lang w:val="en-US" w:eastAsia="zh-CN"/>
        </w:rPr>
        <w:t>负担。</w:t>
      </w:r>
    </w:p>
    <w:p>
      <w:pPr>
        <w:pStyle w:val="7"/>
        <w:bidi w:val="0"/>
        <w:spacing w:line="560" w:lineRule="exact"/>
        <w:jc w:val="both"/>
      </w:pPr>
      <w:r>
        <w:rPr>
          <w:rFonts w:hint="eastAsia"/>
        </w:rPr>
        <w:t>本判决为终审判决。</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hint="eastAsia" w:ascii="仿宋" w:hAnsi="仿宋" w:eastAsia="仿宋" w:cs="H-SS9-PK74820000a48-Identity-H"/>
          <w:kern w:val="0"/>
          <w:sz w:val="32"/>
          <w:szCs w:val="32"/>
        </w:rPr>
      </w:pPr>
    </w:p>
    <w:p>
      <w:pPr>
        <w:pStyle w:val="8"/>
        <w:bidi w:val="0"/>
        <w:rPr>
          <w:rFonts w:hint="eastAsia"/>
        </w:rPr>
      </w:pPr>
      <w:r>
        <w:rPr>
          <w:rFonts w:hint="eastAsia"/>
        </w:rPr>
        <w:t>审</w:t>
      </w:r>
      <w:r>
        <w:rPr>
          <w:rFonts w:hint="eastAsia"/>
          <w:lang w:eastAsia="zh-CN"/>
        </w:rPr>
        <w:t>　　</w:t>
      </w:r>
      <w:r>
        <w:rPr>
          <w:rFonts w:hint="eastAsia"/>
        </w:rPr>
        <w:t>判</w:t>
      </w:r>
      <w:r>
        <w:rPr>
          <w:rFonts w:hint="eastAsia"/>
          <w:lang w:eastAsia="zh-CN"/>
        </w:rPr>
        <w:t>　　</w:t>
      </w:r>
      <w:r>
        <w:rPr>
          <w:rFonts w:hint="eastAsia"/>
          <w:lang w:val="en-US" w:eastAsia="zh-CN"/>
        </w:rPr>
        <w:t>长</w:t>
      </w:r>
      <w:r>
        <w:rPr>
          <w:rFonts w:hint="eastAsia"/>
          <w:lang w:eastAsia="zh-CN"/>
        </w:rPr>
        <w:t>　　　</w:t>
      </w:r>
      <w:r>
        <w:rPr>
          <w:rFonts w:hint="eastAsia"/>
        </w:rPr>
        <w:t>陶米玲</w:t>
      </w:r>
      <w:r>
        <w:rPr>
          <w:rFonts w:hint="eastAsia"/>
        </w:rPr>
        <w:cr/>
      </w:r>
      <w:r>
        <w:rPr>
          <w:rFonts w:hint="eastAsia"/>
        </w:rPr>
        <w:t xml:space="preserve">    审 </w:t>
      </w:r>
      <w:r>
        <w:rPr>
          <w:rFonts w:hint="eastAsia"/>
          <w:lang w:eastAsia="zh-CN"/>
        </w:rPr>
        <w:t>　</w:t>
      </w:r>
      <w:r>
        <w:rPr>
          <w:rFonts w:hint="eastAsia"/>
        </w:rPr>
        <w:t xml:space="preserve"> 判 </w:t>
      </w:r>
      <w:r>
        <w:rPr>
          <w:rFonts w:hint="eastAsia"/>
          <w:lang w:eastAsia="zh-CN"/>
        </w:rPr>
        <w:t>　</w:t>
      </w:r>
      <w:r>
        <w:rPr>
          <w:rFonts w:hint="eastAsia"/>
        </w:rPr>
        <w:t xml:space="preserve"> 员</w:t>
      </w:r>
      <w:r>
        <w:rPr>
          <w:rFonts w:hint="eastAsia"/>
          <w:lang w:eastAsia="zh-CN"/>
        </w:rPr>
        <w:t>　　　</w:t>
      </w:r>
      <w:r>
        <w:rPr>
          <w:rFonts w:hint="eastAsia"/>
        </w:rPr>
        <w:t>陈胜友</w:t>
      </w:r>
      <w:r>
        <w:rPr>
          <w:rFonts w:hint="eastAsia"/>
        </w:rPr>
        <w:cr/>
      </w:r>
      <w:r>
        <w:rPr>
          <w:rFonts w:hint="eastAsia"/>
        </w:rPr>
        <w:t xml:space="preserve">    审  </w:t>
      </w:r>
      <w:r>
        <w:rPr>
          <w:rFonts w:hint="eastAsia"/>
          <w:lang w:eastAsia="zh-CN"/>
        </w:rPr>
        <w:t>　</w:t>
      </w:r>
      <w:r>
        <w:rPr>
          <w:rFonts w:hint="eastAsia"/>
        </w:rPr>
        <w:t xml:space="preserve">判 </w:t>
      </w:r>
      <w:r>
        <w:rPr>
          <w:rFonts w:hint="eastAsia"/>
          <w:lang w:eastAsia="zh-CN"/>
        </w:rPr>
        <w:t>　</w:t>
      </w:r>
      <w:r>
        <w:rPr>
          <w:rFonts w:hint="eastAsia"/>
        </w:rPr>
        <w:t xml:space="preserve"> 员</w:t>
      </w:r>
      <w:r>
        <w:rPr>
          <w:rFonts w:hint="eastAsia"/>
          <w:lang w:val="en-US" w:eastAsia="zh-CN"/>
        </w:rPr>
        <w:t>　　　</w:t>
      </w:r>
      <w:r>
        <w:rPr>
          <w:rFonts w:hint="eastAsia"/>
        </w:rPr>
        <w:t>张  斌</w:t>
      </w:r>
    </w:p>
    <w:p>
      <w:pPr>
        <w:pStyle w:val="8"/>
        <w:bidi w:val="0"/>
        <w:rPr>
          <w:rFonts w:hint="eastAsia"/>
        </w:rPr>
      </w:pPr>
    </w:p>
    <w:p>
      <w:pPr>
        <w:pStyle w:val="8"/>
        <w:bidi w:val="0"/>
        <w:rPr>
          <w:rFonts w:hint="eastAsia"/>
        </w:rPr>
      </w:pPr>
    </w:p>
    <w:p>
      <w:pPr>
        <w:pStyle w:val="8"/>
        <w:wordWrap/>
        <w:bidi w:val="0"/>
        <w:rPr>
          <w:rFonts w:hint="eastAsia"/>
        </w:rPr>
      </w:pPr>
    </w:p>
    <w:p>
      <w:pPr>
        <w:pStyle w:val="8"/>
        <w:bidi w:val="0"/>
        <w:rPr>
          <w:rFonts w:hint="eastAsia"/>
        </w:rPr>
      </w:pPr>
      <w:r>
        <w:rPr>
          <w:rFonts w:hint="eastAsia"/>
        </w:rPr>
        <w:t>二〇二〇年九月</w:t>
      </w:r>
      <w:r>
        <w:rPr>
          <w:rFonts w:hint="eastAsia"/>
          <w:lang w:val="en-US" w:eastAsia="zh-CN"/>
        </w:rPr>
        <w:t>二</w:t>
      </w:r>
      <w:r>
        <w:rPr>
          <w:rFonts w:hint="eastAsia"/>
        </w:rPr>
        <w:t>十</w:t>
      </w:r>
      <w:r>
        <w:rPr>
          <w:rFonts w:hint="eastAsia"/>
          <w:lang w:val="en-US" w:eastAsia="zh-CN"/>
        </w:rPr>
        <w:t>五</w:t>
      </w:r>
      <w:r>
        <w:rPr>
          <w:rFonts w:hint="eastAsia"/>
        </w:rPr>
        <w:t>日</w:t>
      </w:r>
    </w:p>
    <w:p>
      <w:pPr>
        <w:pStyle w:val="8"/>
        <w:bidi w:val="0"/>
        <w:rPr>
          <w:rFonts w:hint="eastAsia"/>
          <w:lang w:val="en-US" w:eastAsia="zh-CN"/>
        </w:rPr>
      </w:pPr>
    </w:p>
    <w:p>
      <w:pPr>
        <w:pStyle w:val="8"/>
        <w:bidi w:val="0"/>
        <w:rPr>
          <w:rFonts w:hint="eastAsia"/>
          <w:lang w:val="en-US" w:eastAsia="zh-CN"/>
        </w:rPr>
      </w:pPr>
    </w:p>
    <w:p>
      <w:pPr>
        <w:pStyle w:val="8"/>
        <w:bidi w:val="0"/>
        <w:rPr>
          <w:rFonts w:hint="default"/>
          <w:lang w:val="en-US" w:eastAsia="zh-CN"/>
        </w:rPr>
      </w:pPr>
      <w:r>
        <w:rPr>
          <w:rFonts w:hint="eastAsia"/>
          <w:lang w:val="en-US" w:eastAsia="zh-CN"/>
        </w:rPr>
        <w:t>法　官　助　理　　　王悦倩</w:t>
      </w:r>
    </w:p>
    <w:p>
      <w:pPr>
        <w:pStyle w:val="8"/>
        <w:bidi w:val="0"/>
      </w:pPr>
      <w:r>
        <w:rPr>
          <w:rFonts w:hint="eastAsia"/>
        </w:rPr>
        <w:t>书</w:t>
      </w:r>
      <w:r>
        <w:rPr>
          <w:rFonts w:hint="eastAsia"/>
          <w:lang w:eastAsia="zh-CN"/>
        </w:rPr>
        <w:t>　　</w:t>
      </w:r>
      <w:r>
        <w:rPr>
          <w:rFonts w:hint="eastAsia"/>
        </w:rPr>
        <w:t>记</w:t>
      </w:r>
      <w:r>
        <w:rPr>
          <w:rFonts w:hint="eastAsia"/>
          <w:lang w:eastAsia="zh-CN"/>
        </w:rPr>
        <w:t>　　</w:t>
      </w:r>
      <w:r>
        <w:rPr>
          <w:rFonts w:hint="eastAsia"/>
        </w:rPr>
        <w:t>员</w:t>
      </w:r>
      <w:r>
        <w:rPr>
          <w:rFonts w:hint="eastAsia"/>
          <w:lang w:eastAsia="zh-CN"/>
        </w:rPr>
        <w:t>　　　</w:t>
      </w:r>
      <w:r>
        <w:rPr>
          <w:rFonts w:hint="eastAsia"/>
        </w:rPr>
        <w:t>徐玲巧</w:t>
      </w:r>
    </w:p>
    <w:p>
      <w:pPr>
        <w:ind w:right="840" w:rightChars="400"/>
        <w:jc w:val="right"/>
        <w:rPr>
          <w:rFonts w:ascii="仿宋" w:hAnsi="仿宋" w:eastAsia="仿宋"/>
          <w:sz w:val="32"/>
          <w:szCs w:val="32"/>
        </w:rPr>
      </w:pPr>
    </w:p>
    <w:p/>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2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法院名称"/>
    <w:next w:val="5"/>
    <w:qFormat/>
    <w:uiPriority w:val="0"/>
    <w:pPr>
      <w:jc w:val="center"/>
    </w:pPr>
    <w:rPr>
      <w:rFonts w:ascii="方正小标宋简体" w:hAnsi="华文中宋" w:eastAsia="方正小标宋简体" w:cs="Times New Roman"/>
      <w:b/>
      <w:spacing w:val="80"/>
      <w:kern w:val="2"/>
      <w:sz w:val="52"/>
      <w:szCs w:val="52"/>
      <w:lang w:val="en-US" w:eastAsia="zh-CN" w:bidi="ar-SA"/>
    </w:rPr>
  </w:style>
  <w:style w:type="paragraph" w:customStyle="1" w:styleId="5">
    <w:name w:val="文书名称"/>
    <w:next w:val="6"/>
    <w:qFormat/>
    <w:uiPriority w:val="0"/>
    <w:pPr>
      <w:jc w:val="center"/>
    </w:pPr>
    <w:rPr>
      <w:rFonts w:ascii="华文中宋" w:hAnsi="华文中宋" w:eastAsia="华文中宋" w:cs="Times New Roman"/>
      <w:b/>
      <w:spacing w:val="140"/>
      <w:kern w:val="2"/>
      <w:sz w:val="66"/>
      <w:szCs w:val="66"/>
      <w:lang w:val="en-US" w:eastAsia="zh-CN" w:bidi="ar-SA"/>
    </w:rPr>
  </w:style>
  <w:style w:type="paragraph" w:customStyle="1" w:styleId="6">
    <w:name w:val="案件字号"/>
    <w:next w:val="7"/>
    <w:qFormat/>
    <w:uiPriority w:val="0"/>
    <w:pPr>
      <w:jc w:val="right"/>
    </w:pPr>
    <w:rPr>
      <w:rFonts w:ascii="仿宋" w:hAnsi="仿宋" w:eastAsia="仿宋" w:cs="Times New Roman"/>
      <w:kern w:val="2"/>
      <w:sz w:val="32"/>
      <w:szCs w:val="32"/>
      <w:lang w:val="en-US" w:eastAsia="zh-CN" w:bidi="ar-SA"/>
    </w:rPr>
  </w:style>
  <w:style w:type="paragraph" w:customStyle="1" w:styleId="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8">
    <w:name w:val="合议庭组成人员"/>
    <w:qFormat/>
    <w:uiPriority w:val="0"/>
    <w:pPr>
      <w:wordWrap w:val="0"/>
      <w:ind w:right="1263" w:rightChars="400"/>
      <w:jc w:val="right"/>
    </w:pPr>
    <w:rPr>
      <w:rFonts w:ascii="仿宋" w:hAnsi="仿宋" w:eastAsia="仿宋"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NTKO</cp:lastModifiedBy>
  <dcterms:modified xsi:type="dcterms:W3CDTF">2021-01-18T07:49:14Z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