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36"/>
          <w:szCs w:val="36"/>
          <w:lang w:eastAsia="zh-CN"/>
        </w:rPr>
      </w:pPr>
      <w:r>
        <w:rPr>
          <w:rFonts w:hint="eastAsia" w:ascii="黑体" w:hAnsi="黑体" w:eastAsia="黑体" w:cs="黑体"/>
          <w:sz w:val="36"/>
          <w:szCs w:val="36"/>
          <w:lang w:eastAsia="zh-CN"/>
        </w:rPr>
        <w:t>司法审查：行政规范性文件三读三审法初探</w:t>
      </w:r>
    </w:p>
    <w:p>
      <w:pPr>
        <w:rPr>
          <w:rFonts w:hint="eastAsia" w:ascii="黑体" w:hAnsi="黑体" w:eastAsia="黑体" w:cs="黑体"/>
          <w:sz w:val="36"/>
          <w:szCs w:val="36"/>
          <w:lang w:eastAsia="zh-CN"/>
        </w:rPr>
      </w:pPr>
      <w:r>
        <w:rPr>
          <w:rFonts w:hint="eastAsia" w:ascii="黑体" w:hAnsi="黑体" w:eastAsia="黑体" w:cs="黑体"/>
          <w:sz w:val="36"/>
          <w:szCs w:val="36"/>
          <w:lang w:val="en-US" w:eastAsia="zh-CN"/>
        </w:rPr>
        <w:t xml:space="preserve">      </w:t>
      </w:r>
      <w:r>
        <w:rPr>
          <w:rFonts w:hint="eastAsia" w:ascii="黑体" w:hAnsi="黑体" w:eastAsia="黑体" w:cs="黑体"/>
          <w:sz w:val="36"/>
          <w:szCs w:val="36"/>
          <w:lang w:eastAsia="zh-CN"/>
        </w:rPr>
        <w:t>——以规范为中心的展开</w:t>
      </w:r>
    </w:p>
    <w:p>
      <w:pPr>
        <w:rPr>
          <w:rFonts w:hint="eastAsia" w:ascii="黑体" w:hAnsi="黑体" w:eastAsia="黑体" w:cs="黑体"/>
          <w:sz w:val="36"/>
          <w:szCs w:val="36"/>
          <w:lang w:eastAsia="zh-CN"/>
        </w:rPr>
      </w:pPr>
    </w:p>
    <w:p>
      <w:pPr>
        <w:rPr>
          <w:rFonts w:hint="eastAsia" w:eastAsiaTheme="minorEastAsia"/>
          <w:lang w:val="en-US" w:eastAsia="zh-CN"/>
        </w:rPr>
      </w:pPr>
      <w:r>
        <w:rPr>
          <w:rFonts w:hint="eastAsia"/>
          <w:lang w:val="en-US" w:eastAsia="zh-CN"/>
        </w:rPr>
        <w:t xml:space="preserve">                                              </w:t>
      </w:r>
      <w:r>
        <w:rPr>
          <w:rFonts w:hint="eastAsia"/>
          <w:sz w:val="32"/>
          <w:szCs w:val="32"/>
          <w:lang w:val="en-US" w:eastAsia="zh-CN"/>
        </w:rPr>
        <w:t>余孝安</w:t>
      </w:r>
    </w:p>
    <w:p>
      <w:pPr>
        <w:ind w:firstLine="0" w:firstLineChars="200"/>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内容提要：法院如何用行使好司法审查权成了当下的司法难题。司法审查有不有规律可寻呢？答案应当是肯定的，因为任何事物的构成与运动都有其固有的特性与规律。对于行政规范性文件来说也有其内部构成，行政规范性文件由技术性、形式性、核心性条款构成，核心条款里面承载着行政规范的内容，行政规范性文件的内容是行政机关由于行政管理事务的需要，依照相关法律法规规章等制定而来，或者本身就是一个法律法规规章的实施细则。为此认真读取行政规范性法律文件才能获得两个重要的识别元素，一是文件承载的具有普遍拘束力规范本身；二是产生文件的法源，此为司法审查的第一步，这第一步有三小步，拟为“三读”。第二步为识别文件的法律标准体系构建。通过第一步的读取获得了文件的规范，这一个个规范就是司法审查的核心内容，同时还获得了“相关法律”，这些相关法律，通过效力由低到高的形式构成一个完整的法律体系，这些“法”称为“准据法”，并通过“准据法”确定出具体的法律规范，然后将文件中的规范一是纳入规章的相关规范；二是纳入法规中相关规范；三是纳入法律中相关规范分别进行审查，通过审查判断规范之间的契合度，后根据不同情况作出对行政规范性文件的是否合法的判断，因为第二步有三次审查，为此称为“三审”，整个过程称为“三读三审法”。</w:t>
      </w:r>
    </w:p>
    <w:p>
      <w:pPr>
        <w:ind w:firstLine="0" w:firstLineChars="200"/>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关键词 司法审查 三读 三审 准据法</w:t>
      </w:r>
    </w:p>
    <w:p>
      <w:pPr>
        <w:ind w:firstLine="0" w:firstLineChars="200"/>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 xml:space="preserve">                          引 言</w:t>
      </w:r>
    </w:p>
    <w:p>
      <w:pPr>
        <w:ind w:firstLine="0" w:firstLineChars="200"/>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 xml:space="preserve">                                                                                         </w:t>
      </w:r>
    </w:p>
    <w:p>
      <w:pPr>
        <w:ind w:firstLine="0" w:firstLineChars="200"/>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val="en-US" w:eastAsia="zh-CN"/>
        </w:rPr>
        <w:t>2014年立法部门对行政诉讼法进行了全面修改，其中一个重要的修改就是将行政诉讼受案范围进行了有效的扩张，把行政规范性文件纳入了司法审查内容。可随之而来的是，如何审查成了当下的司法难题。笔者通过对全国各地大量的行政规范性文件样本进行了类型化整理，结构性分析，上位法与下位法的关系解构，后总结成：</w:t>
      </w:r>
      <w:r>
        <w:rPr>
          <w:rFonts w:hint="eastAsia" w:asciiTheme="majorEastAsia" w:hAnsiTheme="majorEastAsia" w:eastAsiaTheme="majorEastAsia" w:cstheme="majorEastAsia"/>
          <w:sz w:val="28"/>
          <w:szCs w:val="28"/>
          <w:lang w:eastAsia="zh-CN"/>
        </w:rPr>
        <w:t>三读三审法。以期这种司法方法在理论上助推审判实践。</w:t>
      </w:r>
    </w:p>
    <w:p>
      <w:pPr>
        <w:numPr>
          <w:ilvl w:val="0"/>
          <w:numId w:val="1"/>
        </w:numPr>
        <w:ind w:firstLine="0" w:firstLineChars="200"/>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t>从现象到本质：以三读法为逻辑的展开</w:t>
      </w:r>
    </w:p>
    <w:p>
      <w:pPr>
        <w:numPr>
          <w:ilvl w:val="0"/>
          <w:numId w:val="0"/>
        </w:numPr>
        <w:ind w:firstLine="0" w:firstLineChars="200"/>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eastAsia="zh-CN"/>
        </w:rPr>
        <w:t>研究行政规范性文件，必须从形式开始，深入其内容，从现象展开，切入其本质，才能甄别其与法律的契合度，从而总结出有普遍适用性的司法审查方法。从域外看，对于违宪审查制度的理论构成研究比较多，而专门研究司法审查方法的却凤毛麟角，并且过于抽象，如美国的司法审查是根据被审查的法律文件与公民基本权利联系的紧密程度来进行的，适用标准为合理基础标准、严格审查标准、中等程度审查标准。</w:t>
      </w:r>
      <w:r>
        <w:rPr>
          <w:rStyle w:val="4"/>
          <w:rFonts w:hint="eastAsia" w:asciiTheme="majorEastAsia" w:hAnsiTheme="majorEastAsia" w:eastAsiaTheme="majorEastAsia" w:cstheme="majorEastAsia"/>
          <w:sz w:val="28"/>
          <w:szCs w:val="28"/>
          <w:lang w:eastAsia="zh-CN"/>
        </w:rPr>
        <w:t>[</w:t>
      </w:r>
      <w:r>
        <w:rPr>
          <w:rStyle w:val="4"/>
          <w:rFonts w:hint="eastAsia" w:asciiTheme="majorEastAsia" w:hAnsiTheme="majorEastAsia" w:eastAsiaTheme="majorEastAsia" w:cstheme="majorEastAsia"/>
          <w:sz w:val="28"/>
          <w:szCs w:val="28"/>
          <w:lang w:eastAsia="zh-CN"/>
        </w:rPr>
        <w:footnoteReference w:id="0"/>
      </w:r>
      <w:r>
        <w:rPr>
          <w:rStyle w:val="4"/>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lang w:eastAsia="zh-CN"/>
        </w:rPr>
        <w:t>不仅如此，还由于域外的审查是完全违宪审查，与我国目前规定的违法审查有本质区别，实难借鉴，因此必须根据国情重构其司法方法。全国有行政规范性文件</w:t>
      </w:r>
      <w:r>
        <w:rPr>
          <w:rFonts w:hint="eastAsia" w:asciiTheme="majorEastAsia" w:hAnsiTheme="majorEastAsia" w:eastAsiaTheme="majorEastAsia" w:cstheme="majorEastAsia"/>
          <w:sz w:val="28"/>
          <w:szCs w:val="28"/>
          <w:lang w:val="en-US" w:eastAsia="zh-CN"/>
        </w:rPr>
        <w:t>1004730件，5万件以上的有5个省市；2-5万件的有17个省市；其余省市在2万件以下。</w:t>
      </w:r>
      <w:r>
        <w:rPr>
          <w:rStyle w:val="4"/>
          <w:rFonts w:hint="eastAsia" w:asciiTheme="majorEastAsia" w:hAnsiTheme="majorEastAsia" w:eastAsiaTheme="majorEastAsia" w:cstheme="majorEastAsia"/>
          <w:sz w:val="28"/>
          <w:szCs w:val="28"/>
          <w:lang w:val="en-US" w:eastAsia="zh-CN"/>
        </w:rPr>
        <w:t>[</w:t>
      </w:r>
      <w:r>
        <w:rPr>
          <w:rStyle w:val="4"/>
          <w:rFonts w:hint="eastAsia" w:asciiTheme="majorEastAsia" w:hAnsiTheme="majorEastAsia" w:eastAsiaTheme="majorEastAsia" w:cstheme="majorEastAsia"/>
          <w:sz w:val="28"/>
          <w:szCs w:val="28"/>
          <w:lang w:val="en-US" w:eastAsia="zh-CN"/>
        </w:rPr>
        <w:footnoteReference w:id="1"/>
      </w:r>
      <w:r>
        <w:rPr>
          <w:rStyle w:val="4"/>
          <w:rFonts w:hint="eastAsia" w:asciiTheme="majorEastAsia" w:hAnsiTheme="majorEastAsia" w:eastAsiaTheme="majorEastAsia" w:cstheme="majorEastAsia"/>
          <w:sz w:val="28"/>
          <w:szCs w:val="28"/>
          <w:lang w:val="en-US" w:eastAsia="zh-CN"/>
        </w:rPr>
        <w:t>]</w:t>
      </w:r>
      <w:r>
        <w:rPr>
          <w:rFonts w:hint="eastAsia" w:asciiTheme="majorEastAsia" w:hAnsiTheme="majorEastAsia" w:eastAsiaTheme="majorEastAsia" w:cstheme="majorEastAsia"/>
          <w:sz w:val="28"/>
          <w:szCs w:val="28"/>
          <w:lang w:val="en-US" w:eastAsia="zh-CN"/>
        </w:rPr>
        <w:t>如此庞大的行政规范性文件，因案审查，如果缺乏方法，是不很难进行的。并且缺乏科学方法的司法审查，还可能导致类似行政案件，裁判不统一的结果。为此应当构建其审查的司法方法。笔者通过对100多万件抽取的1000多件行政法规性文件进行分析解读，剖开其内部构成。</w:t>
      </w:r>
    </w:p>
    <w:p>
      <w:pPr>
        <w:numPr>
          <w:ilvl w:val="0"/>
          <w:numId w:val="2"/>
        </w:numPr>
        <w:ind w:firstLine="0" w:firstLineChars="200"/>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一读取其外部形式识别其效力强度。行政规范性文件属于正式公文，按照公文的分类，有命令、指示、决定、通知、批复、意见、条例、规定、议案、请示、报告、公告、通告、通报、公报、函、决议、会议纪要十八种。</w:t>
      </w:r>
      <w:r>
        <w:rPr>
          <w:rStyle w:val="4"/>
          <w:rFonts w:hint="eastAsia" w:asciiTheme="majorEastAsia" w:hAnsiTheme="majorEastAsia" w:eastAsiaTheme="majorEastAsia" w:cstheme="majorEastAsia"/>
          <w:sz w:val="28"/>
          <w:szCs w:val="28"/>
          <w:lang w:val="en-US" w:eastAsia="zh-CN"/>
        </w:rPr>
        <w:t>[</w:t>
      </w:r>
      <w:r>
        <w:rPr>
          <w:rStyle w:val="4"/>
          <w:rFonts w:hint="eastAsia" w:asciiTheme="majorEastAsia" w:hAnsiTheme="majorEastAsia" w:eastAsiaTheme="majorEastAsia" w:cstheme="majorEastAsia"/>
          <w:sz w:val="28"/>
          <w:szCs w:val="28"/>
          <w:lang w:val="en-US" w:eastAsia="zh-CN"/>
        </w:rPr>
        <w:footnoteReference w:id="2"/>
      </w:r>
      <w:r>
        <w:rPr>
          <w:rStyle w:val="4"/>
          <w:rFonts w:hint="eastAsia" w:asciiTheme="majorEastAsia" w:hAnsiTheme="majorEastAsia" w:eastAsiaTheme="majorEastAsia" w:cstheme="majorEastAsia"/>
          <w:sz w:val="28"/>
          <w:szCs w:val="28"/>
          <w:lang w:val="en-US" w:eastAsia="zh-CN"/>
        </w:rPr>
        <w:t>]</w:t>
      </w:r>
      <w:r>
        <w:rPr>
          <w:rFonts w:hint="eastAsia" w:asciiTheme="majorEastAsia" w:hAnsiTheme="majorEastAsia" w:eastAsiaTheme="majorEastAsia" w:cstheme="majorEastAsia"/>
          <w:sz w:val="28"/>
          <w:szCs w:val="28"/>
          <w:lang w:val="en-US" w:eastAsia="zh-CN"/>
        </w:rPr>
        <w:t>这十八种规范性文件根据其作用与性质可以划分六种类型，1、指导性公文，包括命令、指示、决定、通知、批复、意见；2、规范性公文，包括条例、规定；3、报请性公文，包括议案、请示、报告；4、知照性公文，包括公告、通告、通报、公报；5、商洽性公文函；6、会议公文，包括决议、会议纪要。规范性文件的形式是承载行政机关行政行为的载体，拟定主体的级别与形式的结合决定其效力强度，笔者认为应当从形式上将其划分为高、中、低三个强度等级，国务院+1或者2……6为高级；省市自治区及国务院直属机构+1或者2……6为中级；地市县+1或者2……6为低级。之所以进行这样的划分，是为了确定司法审查的强度。级别越高司法审查的慎重程度越高，细密程度越高。</w:t>
      </w:r>
    </w:p>
    <w:p>
      <w:pPr>
        <w:numPr>
          <w:ilvl w:val="0"/>
          <w:numId w:val="2"/>
        </w:numPr>
        <w:ind w:firstLine="0" w:firstLineChars="200"/>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二读其核心条文确定其规范内容。行政规范性文件由技术性、形式性、核心性条款构成，核心条款里面承载着行政规范的内容。如何从具体的文件中，抽取获得规范呢？</w:t>
      </w:r>
    </w:p>
    <w:p>
      <w:pPr>
        <w:numPr>
          <w:ilvl w:val="0"/>
          <w:numId w:val="0"/>
        </w:numPr>
        <w:ind w:firstLine="0" w:firstLineChars="200"/>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第一通过标题初步判断规范属性。行政规范性文件的标题有其固有格式要求，标题能够概括文件的种类性质及实质，因此应当充分注意文件标题。如，《重庆市人民政府关于破除一批行政性垄断和行业性垄断的决定》，从标题就可以确定规范的属性为，禁止行政垄断与行业垄断行为的义务性规范，并且还可以初步判断，这些规范是对反垄断法和反不正当竞争法的细化。由此可以看出文件标题是具体寻找规范的向导。</w:t>
      </w:r>
    </w:p>
    <w:p>
      <w:pPr>
        <w:numPr>
          <w:ilvl w:val="0"/>
          <w:numId w:val="0"/>
        </w:numPr>
        <w:ind w:firstLine="0" w:firstLineChars="200"/>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第二按照规范的构成要件确定具体规范。对于行政规范性文件的条款是否构成一个完整的规范，应当按照规范的构成进行识别。规范由假定、处理、制裁三部分构成，满足这三个部分，就构成一个完整的规范。在具体的条款中之所以不好识别是否是规范，是因为规范都隐藏在条文中，并且往往是多个条款构成一个规范，或者一个条款里面有多个规范，并且还有一些属于立法技术的内容，同时一个规范性文件的篇章结构，并非是按一个个规范进行逻辑排列的，而是按照总分结构，或者混合结构制成文件，因此一个规范的假定、处理、制裁的内容可能散落在不同的条款中，必须仔细清理，才能将每一个完整的规范抽取出来。具体的步骤是：通读文件将文件内容分为承载规范的条款和不承载规范的条款→对承载规范性的条款进行性质分析→确定构成核心规范的条款→确定初步审查方向。这样做的目的就是为具体进行合法性审查进行基础性的准备。这里以1个具体的行政规范文件为例，见图表一。</w:t>
      </w:r>
    </w:p>
    <w:p>
      <w:pPr>
        <w:numPr>
          <w:ilvl w:val="0"/>
          <w:numId w:val="0"/>
        </w:numPr>
        <w:ind w:firstLine="0" w:firstLineChars="200"/>
        <w:rPr>
          <w:rFonts w:hint="eastAsia" w:asciiTheme="majorEastAsia" w:hAnsiTheme="majorEastAsia" w:eastAsiaTheme="majorEastAsia" w:cstheme="majorEastAsia"/>
          <w:sz w:val="28"/>
          <w:szCs w:val="28"/>
          <w:lang w:val="en-US" w:eastAsia="zh-CN"/>
        </w:rPr>
      </w:pPr>
    </w:p>
    <w:p>
      <w:pPr>
        <w:numPr>
          <w:ilvl w:val="0"/>
          <w:numId w:val="0"/>
        </w:numPr>
        <w:ind w:firstLine="0" w:firstLineChars="200"/>
        <w:rPr>
          <w:rFonts w:hint="eastAsia" w:asciiTheme="majorEastAsia" w:hAnsiTheme="majorEastAsia" w:eastAsiaTheme="majorEastAsia" w:cstheme="majorEastAsia"/>
          <w:sz w:val="28"/>
          <w:szCs w:val="28"/>
          <w:lang w:val="en-US" w:eastAsia="zh-CN"/>
        </w:rPr>
      </w:pPr>
    </w:p>
    <w:p>
      <w:pPr>
        <w:numPr>
          <w:ilvl w:val="0"/>
          <w:numId w:val="0"/>
        </w:numPr>
        <w:ind w:firstLine="0" w:firstLineChars="200"/>
        <w:rPr>
          <w:rFonts w:hint="eastAsia" w:asciiTheme="majorEastAsia" w:hAnsiTheme="majorEastAsia" w:eastAsiaTheme="majorEastAsia" w:cstheme="majorEastAsia"/>
          <w:sz w:val="28"/>
          <w:szCs w:val="28"/>
          <w:lang w:val="en-US" w:eastAsia="zh-CN"/>
        </w:rPr>
      </w:pP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2"/>
        <w:gridCol w:w="2006"/>
        <w:gridCol w:w="1800"/>
        <w:gridCol w:w="1557"/>
        <w:gridCol w:w="17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02" w:type="dxa"/>
          </w:tcPr>
          <w:p>
            <w:pPr>
              <w:numPr>
                <w:ilvl w:val="0"/>
                <w:numId w:val="0"/>
              </w:numPr>
              <w:rPr>
                <w:rFonts w:hint="eastAsia" w:asciiTheme="majorEastAsia" w:hAnsiTheme="majorEastAsia" w:eastAsiaTheme="majorEastAsia" w:cstheme="majorEastAsia"/>
                <w:sz w:val="28"/>
                <w:szCs w:val="28"/>
                <w:vertAlign w:val="baseline"/>
                <w:lang w:val="en-US" w:eastAsia="zh-CN"/>
              </w:rPr>
            </w:pPr>
            <w:r>
              <w:rPr>
                <w:rFonts w:hint="eastAsia" w:asciiTheme="majorEastAsia" w:hAnsiTheme="majorEastAsia" w:eastAsiaTheme="majorEastAsia" w:cstheme="majorEastAsia"/>
                <w:sz w:val="28"/>
                <w:szCs w:val="28"/>
                <w:vertAlign w:val="baseline"/>
                <w:lang w:val="en-US" w:eastAsia="zh-CN"/>
              </w:rPr>
              <w:t>文件名称</w:t>
            </w:r>
          </w:p>
        </w:tc>
        <w:tc>
          <w:tcPr>
            <w:tcW w:w="2006" w:type="dxa"/>
          </w:tcPr>
          <w:p>
            <w:pPr>
              <w:numPr>
                <w:ilvl w:val="0"/>
                <w:numId w:val="0"/>
              </w:numPr>
              <w:rPr>
                <w:rFonts w:hint="eastAsia" w:asciiTheme="majorEastAsia" w:hAnsiTheme="majorEastAsia" w:eastAsiaTheme="majorEastAsia" w:cstheme="majorEastAsia"/>
                <w:sz w:val="28"/>
                <w:szCs w:val="28"/>
                <w:vertAlign w:val="baseline"/>
                <w:lang w:val="en-US" w:eastAsia="zh-CN"/>
              </w:rPr>
            </w:pPr>
            <w:r>
              <w:rPr>
                <w:rFonts w:hint="eastAsia" w:asciiTheme="majorEastAsia" w:hAnsiTheme="majorEastAsia" w:eastAsiaTheme="majorEastAsia" w:cstheme="majorEastAsia"/>
                <w:sz w:val="28"/>
                <w:szCs w:val="28"/>
                <w:vertAlign w:val="baseline"/>
                <w:lang w:val="en-US" w:eastAsia="zh-CN"/>
              </w:rPr>
              <w:t>文件概况</w:t>
            </w:r>
          </w:p>
        </w:tc>
        <w:tc>
          <w:tcPr>
            <w:tcW w:w="1800" w:type="dxa"/>
          </w:tcPr>
          <w:p>
            <w:pPr>
              <w:numPr>
                <w:ilvl w:val="0"/>
                <w:numId w:val="0"/>
              </w:numPr>
              <w:rPr>
                <w:rFonts w:hint="eastAsia" w:asciiTheme="majorEastAsia" w:hAnsiTheme="majorEastAsia" w:eastAsiaTheme="majorEastAsia" w:cstheme="majorEastAsia"/>
                <w:sz w:val="28"/>
                <w:szCs w:val="28"/>
                <w:vertAlign w:val="baseline"/>
                <w:lang w:val="en-US" w:eastAsia="zh-CN"/>
              </w:rPr>
            </w:pPr>
            <w:r>
              <w:rPr>
                <w:rFonts w:hint="eastAsia" w:asciiTheme="majorEastAsia" w:hAnsiTheme="majorEastAsia" w:eastAsiaTheme="majorEastAsia" w:cstheme="majorEastAsia"/>
                <w:sz w:val="28"/>
                <w:szCs w:val="28"/>
                <w:vertAlign w:val="baseline"/>
                <w:lang w:val="en-US" w:eastAsia="zh-CN"/>
              </w:rPr>
              <w:t>规范的主要内容</w:t>
            </w:r>
          </w:p>
        </w:tc>
        <w:tc>
          <w:tcPr>
            <w:tcW w:w="1557" w:type="dxa"/>
          </w:tcPr>
          <w:p>
            <w:pPr>
              <w:numPr>
                <w:ilvl w:val="0"/>
                <w:numId w:val="0"/>
              </w:numPr>
              <w:rPr>
                <w:rFonts w:hint="eastAsia" w:asciiTheme="majorEastAsia" w:hAnsiTheme="majorEastAsia" w:eastAsiaTheme="majorEastAsia" w:cstheme="majorEastAsia"/>
                <w:sz w:val="28"/>
                <w:szCs w:val="28"/>
                <w:vertAlign w:val="baseline"/>
                <w:lang w:val="en-US" w:eastAsia="zh-CN"/>
              </w:rPr>
            </w:pPr>
            <w:r>
              <w:rPr>
                <w:rFonts w:hint="eastAsia" w:asciiTheme="majorEastAsia" w:hAnsiTheme="majorEastAsia" w:eastAsiaTheme="majorEastAsia" w:cstheme="majorEastAsia"/>
                <w:sz w:val="28"/>
                <w:szCs w:val="28"/>
                <w:vertAlign w:val="baseline"/>
                <w:lang w:val="en-US" w:eastAsia="zh-CN"/>
              </w:rPr>
              <w:t>承载核心规范的条款</w:t>
            </w:r>
          </w:p>
        </w:tc>
        <w:tc>
          <w:tcPr>
            <w:tcW w:w="1757" w:type="dxa"/>
          </w:tcPr>
          <w:p>
            <w:pPr>
              <w:numPr>
                <w:ilvl w:val="0"/>
                <w:numId w:val="0"/>
              </w:numPr>
              <w:rPr>
                <w:rFonts w:hint="eastAsia" w:asciiTheme="majorEastAsia" w:hAnsiTheme="majorEastAsia" w:eastAsiaTheme="majorEastAsia" w:cstheme="majorEastAsia"/>
                <w:sz w:val="28"/>
                <w:szCs w:val="28"/>
                <w:vertAlign w:val="baseline"/>
                <w:lang w:val="en-US" w:eastAsia="zh-CN"/>
              </w:rPr>
            </w:pPr>
            <w:r>
              <w:rPr>
                <w:rFonts w:hint="eastAsia" w:asciiTheme="majorEastAsia" w:hAnsiTheme="majorEastAsia" w:eastAsiaTheme="majorEastAsia" w:cstheme="majorEastAsia"/>
                <w:sz w:val="28"/>
                <w:szCs w:val="28"/>
                <w:vertAlign w:val="baseline"/>
                <w:lang w:val="en-US" w:eastAsia="zh-CN"/>
              </w:rPr>
              <w:t>小结审查方向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02" w:type="dxa"/>
          </w:tcPr>
          <w:p>
            <w:pPr>
              <w:numPr>
                <w:ilvl w:val="0"/>
                <w:numId w:val="0"/>
              </w:numPr>
              <w:rPr>
                <w:rFonts w:hint="eastAsia" w:ascii="楷体_GB2312" w:hAnsi="楷体_GB2312" w:eastAsia="楷体_GB2312" w:cs="楷体_GB2312"/>
                <w:sz w:val="21"/>
                <w:szCs w:val="21"/>
                <w:vertAlign w:val="baseline"/>
                <w:lang w:val="en-US" w:eastAsia="zh-CN"/>
              </w:rPr>
            </w:pPr>
            <w:r>
              <w:rPr>
                <w:rFonts w:hint="eastAsia" w:ascii="楷体_GB2312" w:hAnsi="楷体_GB2312" w:eastAsia="楷体_GB2312" w:cs="楷体_GB2312"/>
                <w:sz w:val="21"/>
                <w:szCs w:val="21"/>
                <w:vertAlign w:val="baseline"/>
                <w:lang w:val="en-US" w:eastAsia="zh-CN"/>
              </w:rPr>
              <w:t>北京市顺义区人民政府办公室关于印发顺义区促进产业结构调整和中小企业发展资金管理办法的通知</w:t>
            </w:r>
          </w:p>
        </w:tc>
        <w:tc>
          <w:tcPr>
            <w:tcW w:w="2006" w:type="dxa"/>
          </w:tcPr>
          <w:p>
            <w:pPr>
              <w:numPr>
                <w:ilvl w:val="0"/>
                <w:numId w:val="3"/>
              </w:numPr>
              <w:ind w:firstLine="0" w:firstLineChars="200"/>
              <w:rPr>
                <w:rFonts w:hint="eastAsia" w:ascii="楷体_GB2312" w:hAnsi="楷体_GB2312" w:eastAsia="楷体_GB2312" w:cs="楷体_GB2312"/>
                <w:sz w:val="21"/>
                <w:szCs w:val="21"/>
                <w:vertAlign w:val="baseline"/>
                <w:lang w:val="en-US" w:eastAsia="zh-CN"/>
              </w:rPr>
            </w:pPr>
            <w:r>
              <w:rPr>
                <w:rFonts w:hint="eastAsia" w:ascii="楷体_GB2312" w:hAnsi="楷体_GB2312" w:eastAsia="楷体_GB2312" w:cs="楷体_GB2312"/>
                <w:sz w:val="21"/>
                <w:szCs w:val="21"/>
                <w:vertAlign w:val="baseline"/>
                <w:lang w:val="en-US" w:eastAsia="zh-CN"/>
              </w:rPr>
              <w:t>整个文件分为总则、资金的使用、资金支持方式与额度、资金管理、监督检查、附则6章21条。</w:t>
            </w:r>
          </w:p>
          <w:p>
            <w:pPr>
              <w:numPr>
                <w:ilvl w:val="0"/>
                <w:numId w:val="0"/>
              </w:numPr>
              <w:ind w:firstLine="0" w:firstLineChars="200"/>
              <w:rPr>
                <w:rFonts w:hint="eastAsia" w:ascii="楷体_GB2312" w:hAnsi="楷体_GB2312" w:eastAsia="楷体_GB2312" w:cs="楷体_GB2312"/>
                <w:sz w:val="21"/>
                <w:szCs w:val="21"/>
                <w:vertAlign w:val="baseline"/>
                <w:lang w:val="en-US" w:eastAsia="zh-CN"/>
              </w:rPr>
            </w:pPr>
            <w:r>
              <w:rPr>
                <w:rFonts w:hint="eastAsia" w:ascii="楷体_GB2312" w:hAnsi="楷体_GB2312" w:eastAsia="楷体_GB2312" w:cs="楷体_GB2312"/>
                <w:sz w:val="21"/>
                <w:szCs w:val="21"/>
                <w:vertAlign w:val="baseline"/>
                <w:lang w:val="en-US" w:eastAsia="zh-CN"/>
              </w:rPr>
              <w:t>2、说明与技术条文为1、2、21条。</w:t>
            </w:r>
          </w:p>
          <w:p>
            <w:pPr>
              <w:numPr>
                <w:ilvl w:val="0"/>
                <w:numId w:val="0"/>
              </w:numPr>
              <w:ind w:firstLine="0" w:firstLineChars="200"/>
              <w:rPr>
                <w:rFonts w:hint="eastAsia" w:ascii="楷体_GB2312" w:hAnsi="楷体_GB2312" w:eastAsia="楷体_GB2312" w:cs="楷体_GB2312"/>
                <w:sz w:val="21"/>
                <w:szCs w:val="21"/>
                <w:vertAlign w:val="baseline"/>
                <w:lang w:val="en-US" w:eastAsia="zh-CN"/>
              </w:rPr>
            </w:pPr>
            <w:r>
              <w:rPr>
                <w:rFonts w:hint="eastAsia" w:ascii="楷体_GB2312" w:hAnsi="楷体_GB2312" w:eastAsia="楷体_GB2312" w:cs="楷体_GB2312"/>
                <w:sz w:val="21"/>
                <w:szCs w:val="21"/>
                <w:vertAlign w:val="baseline"/>
                <w:lang w:val="en-US" w:eastAsia="zh-CN"/>
              </w:rPr>
              <w:t>3、其他条文为规范性质条文。</w:t>
            </w:r>
          </w:p>
        </w:tc>
        <w:tc>
          <w:tcPr>
            <w:tcW w:w="1800" w:type="dxa"/>
          </w:tcPr>
          <w:p>
            <w:pPr>
              <w:numPr>
                <w:ilvl w:val="0"/>
                <w:numId w:val="4"/>
              </w:numPr>
              <w:ind w:firstLine="0" w:firstLineChars="200"/>
              <w:rPr>
                <w:rFonts w:hint="eastAsia" w:ascii="楷体_GB2312" w:hAnsi="楷体_GB2312" w:eastAsia="楷体_GB2312" w:cs="楷体_GB2312"/>
                <w:sz w:val="21"/>
                <w:szCs w:val="21"/>
                <w:vertAlign w:val="baseline"/>
                <w:lang w:val="en-US" w:eastAsia="zh-CN"/>
              </w:rPr>
            </w:pPr>
            <w:r>
              <w:rPr>
                <w:rFonts w:hint="eastAsia" w:ascii="楷体_GB2312" w:hAnsi="楷体_GB2312" w:eastAsia="楷体_GB2312" w:cs="楷体_GB2312"/>
                <w:sz w:val="21"/>
                <w:szCs w:val="21"/>
                <w:vertAlign w:val="baseline"/>
                <w:lang w:val="en-US" w:eastAsia="zh-CN"/>
              </w:rPr>
              <w:t>用财政资金扶持本辖区登记成立的中小企业</w:t>
            </w:r>
          </w:p>
          <w:p>
            <w:pPr>
              <w:numPr>
                <w:ilvl w:val="0"/>
                <w:numId w:val="0"/>
              </w:numPr>
              <w:ind w:firstLine="0" w:firstLineChars="200"/>
              <w:rPr>
                <w:rFonts w:hint="eastAsia" w:ascii="楷体_GB2312" w:hAnsi="楷体_GB2312" w:eastAsia="楷体_GB2312" w:cs="楷体_GB2312"/>
                <w:sz w:val="21"/>
                <w:szCs w:val="21"/>
                <w:vertAlign w:val="baseline"/>
                <w:lang w:val="en-US" w:eastAsia="zh-CN"/>
              </w:rPr>
            </w:pPr>
            <w:r>
              <w:rPr>
                <w:rFonts w:hint="eastAsia" w:ascii="楷体_GB2312" w:hAnsi="楷体_GB2312" w:eastAsia="楷体_GB2312" w:cs="楷体_GB2312"/>
                <w:sz w:val="21"/>
                <w:szCs w:val="21"/>
                <w:vertAlign w:val="baseline"/>
                <w:lang w:val="en-US" w:eastAsia="zh-CN"/>
              </w:rPr>
              <w:t>2、享受扶持项目、额度</w:t>
            </w:r>
          </w:p>
          <w:p>
            <w:pPr>
              <w:numPr>
                <w:ilvl w:val="0"/>
                <w:numId w:val="0"/>
              </w:numPr>
              <w:ind w:firstLine="0" w:firstLineChars="200"/>
              <w:rPr>
                <w:rFonts w:hint="eastAsia" w:ascii="楷体_GB2312" w:hAnsi="楷体_GB2312" w:eastAsia="楷体_GB2312" w:cs="楷体_GB2312"/>
                <w:sz w:val="21"/>
                <w:szCs w:val="21"/>
                <w:vertAlign w:val="baseline"/>
                <w:lang w:val="en-US" w:eastAsia="zh-CN"/>
              </w:rPr>
            </w:pPr>
            <w:r>
              <w:rPr>
                <w:rFonts w:hint="eastAsia" w:ascii="楷体_GB2312" w:hAnsi="楷体_GB2312" w:eastAsia="楷体_GB2312" w:cs="楷体_GB2312"/>
                <w:sz w:val="21"/>
                <w:szCs w:val="21"/>
                <w:vertAlign w:val="baseline"/>
                <w:lang w:val="en-US" w:eastAsia="zh-CN"/>
              </w:rPr>
              <w:t>3、申请的程序</w:t>
            </w:r>
          </w:p>
          <w:p>
            <w:pPr>
              <w:numPr>
                <w:ilvl w:val="0"/>
                <w:numId w:val="0"/>
              </w:numPr>
              <w:ind w:firstLine="0" w:firstLineChars="200"/>
              <w:rPr>
                <w:rFonts w:hint="eastAsia" w:ascii="楷体_GB2312" w:hAnsi="楷体_GB2312" w:eastAsia="楷体_GB2312" w:cs="楷体_GB2312"/>
                <w:sz w:val="21"/>
                <w:szCs w:val="21"/>
                <w:vertAlign w:val="baseline"/>
                <w:lang w:val="en-US" w:eastAsia="zh-CN"/>
              </w:rPr>
            </w:pPr>
            <w:r>
              <w:rPr>
                <w:rFonts w:hint="eastAsia" w:ascii="楷体_GB2312" w:hAnsi="楷体_GB2312" w:eastAsia="楷体_GB2312" w:cs="楷体_GB2312"/>
                <w:sz w:val="21"/>
                <w:szCs w:val="21"/>
                <w:vertAlign w:val="baseline"/>
                <w:lang w:val="en-US" w:eastAsia="zh-CN"/>
              </w:rPr>
              <w:t>4、监督程序</w:t>
            </w:r>
          </w:p>
        </w:tc>
        <w:tc>
          <w:tcPr>
            <w:tcW w:w="1557" w:type="dxa"/>
          </w:tcPr>
          <w:p>
            <w:pPr>
              <w:numPr>
                <w:ilvl w:val="0"/>
                <w:numId w:val="5"/>
              </w:numPr>
              <w:ind w:firstLine="0" w:firstLineChars="200"/>
              <w:rPr>
                <w:rFonts w:hint="eastAsia" w:ascii="楷体_GB2312" w:hAnsi="楷体_GB2312" w:eastAsia="楷体_GB2312" w:cs="楷体_GB2312"/>
                <w:sz w:val="21"/>
                <w:szCs w:val="21"/>
                <w:vertAlign w:val="baseline"/>
                <w:lang w:val="en-US" w:eastAsia="zh-CN"/>
              </w:rPr>
            </w:pPr>
            <w:r>
              <w:rPr>
                <w:rFonts w:hint="eastAsia" w:ascii="楷体_GB2312" w:hAnsi="楷体_GB2312" w:eastAsia="楷体_GB2312" w:cs="楷体_GB2312"/>
                <w:sz w:val="21"/>
                <w:szCs w:val="21"/>
                <w:vertAlign w:val="baseline"/>
                <w:lang w:val="en-US" w:eastAsia="zh-CN"/>
              </w:rPr>
              <w:t>、规定权利享有的主体。</w:t>
            </w:r>
          </w:p>
          <w:p>
            <w:pPr>
              <w:numPr>
                <w:ilvl w:val="0"/>
                <w:numId w:val="6"/>
              </w:numPr>
              <w:ind w:firstLine="0" w:firstLineChars="200"/>
              <w:rPr>
                <w:rFonts w:hint="eastAsia" w:ascii="楷体_GB2312" w:hAnsi="楷体_GB2312" w:eastAsia="楷体_GB2312" w:cs="楷体_GB2312"/>
                <w:sz w:val="21"/>
                <w:szCs w:val="21"/>
                <w:vertAlign w:val="baseline"/>
                <w:lang w:val="en-US" w:eastAsia="zh-CN"/>
              </w:rPr>
            </w:pPr>
            <w:r>
              <w:rPr>
                <w:rFonts w:hint="eastAsia" w:ascii="楷体_GB2312" w:hAnsi="楷体_GB2312" w:eastAsia="楷体_GB2312" w:cs="楷体_GB2312"/>
                <w:sz w:val="21"/>
                <w:szCs w:val="21"/>
                <w:vertAlign w:val="baseline"/>
                <w:lang w:val="en-US" w:eastAsia="zh-CN"/>
              </w:rPr>
              <w:t>规定权利主体具体在生产中有19个项目可以享有资金支持</w:t>
            </w:r>
          </w:p>
          <w:p>
            <w:pPr>
              <w:numPr>
                <w:ilvl w:val="0"/>
                <w:numId w:val="0"/>
              </w:numPr>
              <w:ind w:firstLine="0" w:firstLineChars="200"/>
              <w:rPr>
                <w:rFonts w:hint="eastAsia" w:ascii="楷体_GB2312" w:hAnsi="楷体_GB2312" w:eastAsia="楷体_GB2312" w:cs="楷体_GB2312"/>
                <w:sz w:val="21"/>
                <w:szCs w:val="21"/>
                <w:vertAlign w:val="baseline"/>
                <w:lang w:val="en-US" w:eastAsia="zh-CN"/>
              </w:rPr>
            </w:pPr>
            <w:r>
              <w:rPr>
                <w:rFonts w:hint="eastAsia" w:ascii="楷体_GB2312" w:hAnsi="楷体_GB2312" w:eastAsia="楷体_GB2312" w:cs="楷体_GB2312"/>
                <w:sz w:val="21"/>
                <w:szCs w:val="21"/>
                <w:vertAlign w:val="baseline"/>
                <w:lang w:val="en-US" w:eastAsia="zh-CN"/>
              </w:rPr>
              <w:t>第13条、第14条规定的是申请程序。</w:t>
            </w:r>
          </w:p>
        </w:tc>
        <w:tc>
          <w:tcPr>
            <w:tcW w:w="1757" w:type="dxa"/>
          </w:tcPr>
          <w:p>
            <w:pPr>
              <w:numPr>
                <w:ilvl w:val="0"/>
                <w:numId w:val="0"/>
              </w:numPr>
              <w:rPr>
                <w:rFonts w:hint="eastAsia" w:ascii="楷体_GB2312" w:hAnsi="楷体_GB2312" w:eastAsia="楷体_GB2312" w:cs="楷体_GB2312"/>
                <w:sz w:val="21"/>
                <w:szCs w:val="21"/>
                <w:vertAlign w:val="baseline"/>
                <w:lang w:val="en-US" w:eastAsia="zh-CN"/>
              </w:rPr>
            </w:pPr>
            <w:r>
              <w:rPr>
                <w:rFonts w:hint="eastAsia" w:ascii="楷体_GB2312" w:hAnsi="楷体_GB2312" w:eastAsia="楷体_GB2312" w:cs="楷体_GB2312"/>
                <w:sz w:val="21"/>
                <w:szCs w:val="21"/>
                <w:vertAlign w:val="baseline"/>
                <w:lang w:val="en-US" w:eastAsia="zh-CN"/>
              </w:rPr>
              <w:t>本规范为授权性规范。涉及市场主体的公平竞争问题，是否影响公平竞争属于审查的重点。</w:t>
            </w:r>
          </w:p>
        </w:tc>
      </w:tr>
    </w:tbl>
    <w:p>
      <w:pPr>
        <w:numPr>
          <w:ilvl w:val="0"/>
          <w:numId w:val="0"/>
        </w:numPr>
        <w:ind w:firstLine="0" w:firstLineChars="200"/>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（图表一，分析读取规范文件流程表）</w:t>
      </w:r>
    </w:p>
    <w:p>
      <w:pPr>
        <w:numPr>
          <w:ilvl w:val="0"/>
          <w:numId w:val="7"/>
        </w:numPr>
        <w:ind w:firstLine="0" w:firstLineChars="200"/>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三读其规范性质确定法律识别体系。任何一个行政规范性文件的出台，都有其产生的背景，因此在行政机关拟定文件时，一般都在文件的开篇部分，写有“本通知（或者规定或者意见……）根据某法律法规（或者某文件精神），并结合本地实际制定……。”字样，这里的“某法律法规”就是司法审查判断的“准据法。”。只是这个准据法并不完整，行政机关在制定规范性文件时，往往还参照了其他很多法律法规以及部门规章和行政规范性文件，如何将其余的法律法规寻找出来，然后组建成为一个完整的法律识别系统就是三读中需要解决的问题。其余判断的准据法可以以下方法进行发现。</w:t>
      </w:r>
    </w:p>
    <w:p>
      <w:pPr>
        <w:numPr>
          <w:ilvl w:val="0"/>
          <w:numId w:val="0"/>
        </w:numPr>
        <w:ind w:firstLine="0" w:firstLineChars="200"/>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 xml:space="preserve"> 第一通过下位主体性质确定上位主体范围，并通过上位主体查看其制定的有效的规范性法律文件。按照宪法规定，政府序列有国务院，其下级为地方各级人民政府，作为每一个下级政府的上级政府，不难确定，其上级政府制定的规范性法律文件也容易搜索。国务院下级除了省级政府外，还有直属部门，以此类推到县级部门，对于各级政府的部门，其上，除了政府外还有上级主管行政部门，因此对于行政部门来说，其上级主体为二个，在搜索确定其上级相应的规范性法律文件时，除了政府还有部门规范，由此应当双向搜索，以求完整。</w:t>
      </w:r>
    </w:p>
    <w:p>
      <w:pPr>
        <w:numPr>
          <w:ilvl w:val="0"/>
          <w:numId w:val="0"/>
        </w:numPr>
        <w:ind w:firstLine="0" w:firstLineChars="200"/>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 xml:space="preserve"> 第二通过对规范性文件中的规范进行性质等划分，准确确定司法审查判断的“准据法”。通过主体上下关系，确定的是司法审查判断的准据法仅仅是一个范围，但不具体，要达到具体准确，还必须对需要审查的行政规范文件中的规范（或者说规则）进行性质等划分。按照规范的内容、确定性程度、对行为限制的强度三种方法，</w:t>
      </w:r>
      <w:r>
        <w:rPr>
          <w:rStyle w:val="4"/>
          <w:rFonts w:hint="eastAsia" w:asciiTheme="majorEastAsia" w:hAnsiTheme="majorEastAsia" w:eastAsiaTheme="majorEastAsia" w:cstheme="majorEastAsia"/>
          <w:sz w:val="28"/>
          <w:szCs w:val="28"/>
          <w:lang w:val="en-US" w:eastAsia="zh-CN"/>
        </w:rPr>
        <w:t>[</w:t>
      </w:r>
      <w:r>
        <w:rPr>
          <w:rStyle w:val="4"/>
          <w:rFonts w:hint="eastAsia" w:asciiTheme="majorEastAsia" w:hAnsiTheme="majorEastAsia" w:eastAsiaTheme="majorEastAsia" w:cstheme="majorEastAsia"/>
          <w:sz w:val="28"/>
          <w:szCs w:val="28"/>
          <w:lang w:val="en-US" w:eastAsia="zh-CN"/>
        </w:rPr>
        <w:footnoteReference w:id="3"/>
      </w:r>
      <w:r>
        <w:rPr>
          <w:rStyle w:val="4"/>
          <w:rFonts w:hint="eastAsia" w:asciiTheme="majorEastAsia" w:hAnsiTheme="majorEastAsia" w:eastAsiaTheme="majorEastAsia" w:cstheme="majorEastAsia"/>
          <w:sz w:val="28"/>
          <w:szCs w:val="28"/>
          <w:lang w:val="en-US" w:eastAsia="zh-CN"/>
        </w:rPr>
        <w:t>]</w:t>
      </w:r>
      <w:r>
        <w:rPr>
          <w:rFonts w:hint="eastAsia" w:asciiTheme="majorEastAsia" w:hAnsiTheme="majorEastAsia" w:eastAsiaTheme="majorEastAsia" w:cstheme="majorEastAsia"/>
          <w:sz w:val="28"/>
          <w:szCs w:val="28"/>
          <w:lang w:val="en-US" w:eastAsia="zh-CN"/>
        </w:rPr>
        <w:t>分别可以划分为：授权性规范与义务性规范；确定性规范、委任性规范和准用性规范；强行性规范和任意性规范，根据规范的不同划分标准，可以确定行政规范文件中的规范，在我国的法律体系中，哪些法律对此问题进行了规范，哪些行政法规和地方性法规对此问题规定了实施细则。这些法律法规等就是需要寻找出的“准据法”。</w:t>
      </w:r>
    </w:p>
    <w:p>
      <w:pPr>
        <w:numPr>
          <w:ilvl w:val="0"/>
          <w:numId w:val="0"/>
        </w:numPr>
        <w:ind w:firstLine="560" w:firstLineChars="200"/>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第三对于搜索寻找出的“准据法”进行归类，构建成一个法律识别系统。对于确定出来的准据法，应当按照效力等级整合成一个体系。为下一步判断行政规范性文件是否合法做基础准备。这里通过图表二表示如下。</w:t>
      </w:r>
    </w:p>
    <w:p>
      <w:pPr>
        <w:numPr>
          <w:ilvl w:val="0"/>
          <w:numId w:val="0"/>
        </w:numPr>
        <w:ind w:firstLine="560" w:firstLineChars="200"/>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object>
          <v:shape id="_x0000_i1025" o:spt="75" type="#_x0000_t75" style="height:201.75pt;width:416.25pt;" o:ole="t" filled="f" o:preferrelative="t" stroked="t" coordsize="21600,21600">
            <v:path/>
            <v:fill on="f" focussize="0,0"/>
            <v:stroke color="#FFFFFF [3212]"/>
            <v:imagedata r:id="rId6" o:title=""/>
            <o:lock v:ext="edit" aspectratio="t"/>
            <w10:wrap type="none"/>
            <w10:anchorlock/>
          </v:shape>
          <o:OLEObject Type="Embed" ProgID="Word.Document.12" ShapeID="_x0000_i1025" DrawAspect="Content" ObjectID="_1468075727" r:id="rId5">
            <o:LockedField>false</o:LockedField>
          </o:OLEObject>
        </w:object>
      </w:r>
    </w:p>
    <w:p>
      <w:pPr>
        <w:numPr>
          <w:ilvl w:val="0"/>
          <w:numId w:val="1"/>
        </w:numPr>
        <w:ind w:firstLine="0" w:firstLineChars="200"/>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冲突与适法：以三审为维度的审查判断。</w:t>
      </w:r>
    </w:p>
    <w:p>
      <w:pPr>
        <w:numPr>
          <w:ilvl w:val="0"/>
          <w:numId w:val="0"/>
        </w:numPr>
        <w:ind w:firstLine="560" w:firstLineChars="200"/>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通过三读对于需要审查的行政规范性文件确定了两大法律元素：一是以文件本身为客体，确定的行政规范的立法原则和核心规范内容；二是相关分析搜索引出的准据法。紧接着需要解决的是准确识别两个法律元素的同质或者异化问题，属于第二回合的规范本体之间的关系判断，笔者类型化为“三审”法。</w:t>
      </w:r>
    </w:p>
    <w:p>
      <w:pPr>
        <w:numPr>
          <w:ilvl w:val="0"/>
          <w:numId w:val="8"/>
        </w:numPr>
        <w:ind w:firstLine="560" w:firstLineChars="200"/>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一审核心规范与上位规章相关规范的契合度。对于行政规范性文件涉及具有普遍约束力的条文，我们可以分为复制性条款与创新性条款，对于直接复制的条款，</w:t>
      </w:r>
      <w:r>
        <w:rPr>
          <w:rStyle w:val="4"/>
          <w:rFonts w:hint="eastAsia" w:asciiTheme="majorEastAsia" w:hAnsiTheme="majorEastAsia" w:eastAsiaTheme="majorEastAsia" w:cstheme="majorEastAsia"/>
          <w:sz w:val="28"/>
          <w:szCs w:val="28"/>
          <w:lang w:val="en-US" w:eastAsia="zh-CN"/>
        </w:rPr>
        <w:t>[</w:t>
      </w:r>
      <w:r>
        <w:rPr>
          <w:rStyle w:val="4"/>
          <w:rFonts w:hint="eastAsia" w:asciiTheme="majorEastAsia" w:hAnsiTheme="majorEastAsia" w:eastAsiaTheme="majorEastAsia" w:cstheme="majorEastAsia"/>
          <w:sz w:val="28"/>
          <w:szCs w:val="28"/>
          <w:lang w:val="en-US" w:eastAsia="zh-CN"/>
        </w:rPr>
        <w:footnoteReference w:id="4"/>
      </w:r>
      <w:r>
        <w:rPr>
          <w:rStyle w:val="4"/>
          <w:rFonts w:hint="eastAsia" w:asciiTheme="majorEastAsia" w:hAnsiTheme="majorEastAsia" w:eastAsiaTheme="majorEastAsia" w:cstheme="majorEastAsia"/>
          <w:sz w:val="28"/>
          <w:szCs w:val="28"/>
          <w:lang w:val="en-US" w:eastAsia="zh-CN"/>
        </w:rPr>
        <w:t>]）</w:t>
      </w:r>
      <w:r>
        <w:rPr>
          <w:rFonts w:hint="eastAsia" w:asciiTheme="majorEastAsia" w:hAnsiTheme="majorEastAsia" w:eastAsiaTheme="majorEastAsia" w:cstheme="majorEastAsia"/>
          <w:sz w:val="28"/>
          <w:szCs w:val="28"/>
          <w:lang w:val="en-US" w:eastAsia="zh-CN"/>
        </w:rPr>
        <w:t>由于系从上位规章继受而来，因此不存在违反直接上位法的问题，只需做文字识别就能够判断。不需要再进行研究。这里需要研究的是创新性条款里面的新规则与上位规章契合程度问题，对于新规则的识别可用两种识别方法。</w:t>
      </w:r>
    </w:p>
    <w:p>
      <w:pPr>
        <w:numPr>
          <w:ilvl w:val="0"/>
          <w:numId w:val="0"/>
        </w:numPr>
        <w:ind w:firstLine="0" w:firstLineChars="200"/>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第一逻辑识别法。假定行政规范性文件用W表示，相对上位规章用G表示，多个规章表达为</w:t>
      </w:r>
      <w:r>
        <w:rPr>
          <w:rFonts w:hint="eastAsia" w:asciiTheme="majorEastAsia" w:hAnsiTheme="majorEastAsia" w:eastAsiaTheme="majorEastAsia" w:cstheme="majorEastAsia"/>
          <w:position w:val="-14"/>
          <w:sz w:val="28"/>
          <w:szCs w:val="28"/>
          <w:lang w:val="en-US" w:eastAsia="zh-CN"/>
        </w:rPr>
        <w:object>
          <v:shape id="_x0000_i1026" o:spt="75" type="#_x0000_t75" style="height:20pt;width:19pt;" o:ole="t" filled="f" o:preferrelative="t" stroked="f" coordsize="21600,21600">
            <v:path/>
            <v:fill on="f" focussize="0,0"/>
            <v:stroke on="f"/>
            <v:imagedata r:id="rId8" o:title=""/>
            <o:lock v:ext="edit" aspectratio="t"/>
            <w10:wrap type="none"/>
            <w10:anchorlock/>
          </v:shape>
          <o:OLEObject Type="Embed" ProgID="Equation.KSEE3" ShapeID="_x0000_i1026" DrawAspect="Content" ObjectID="_1468075728" r:id="rId7">
            <o:LockedField>false</o:LockedField>
          </o:OLEObject>
        </w:object>
      </w:r>
      <w:r>
        <w:rPr>
          <w:rFonts w:hint="eastAsia" w:asciiTheme="majorEastAsia" w:hAnsiTheme="majorEastAsia" w:eastAsiaTheme="majorEastAsia" w:cstheme="majorEastAsia"/>
          <w:sz w:val="28"/>
          <w:szCs w:val="28"/>
          <w:lang w:val="en-US" w:eastAsia="zh-CN"/>
        </w:rPr>
        <w:t>、</w:t>
      </w:r>
      <w:r>
        <w:rPr>
          <w:rFonts w:hint="eastAsia" w:asciiTheme="majorEastAsia" w:hAnsiTheme="majorEastAsia" w:eastAsiaTheme="majorEastAsia" w:cstheme="majorEastAsia"/>
          <w:position w:val="-14"/>
          <w:sz w:val="28"/>
          <w:szCs w:val="28"/>
          <w:lang w:val="en-US" w:eastAsia="zh-CN"/>
        </w:rPr>
        <w:object>
          <v:shape id="_x0000_i1027" o:spt="75" type="#_x0000_t75" style="height:20pt;width:20pt;" o:ole="t" filled="f" o:preferrelative="t" stroked="f" coordsize="21600,21600">
            <v:path/>
            <v:fill on="f" focussize="0,0"/>
            <v:stroke on="f"/>
            <v:imagedata r:id="rId10" o:title=""/>
            <o:lock v:ext="edit" aspectratio="t"/>
            <w10:wrap type="none"/>
            <w10:anchorlock/>
          </v:shape>
          <o:OLEObject Type="Embed" ProgID="Equation.KSEE3" ShapeID="_x0000_i1027" DrawAspect="Content" ObjectID="_1468075729" r:id="rId9">
            <o:LockedField>false</o:LockedField>
          </o:OLEObject>
        </w:object>
      </w:r>
      <w:r>
        <w:rPr>
          <w:rFonts w:hint="eastAsia" w:asciiTheme="majorEastAsia" w:hAnsiTheme="majorEastAsia" w:eastAsiaTheme="majorEastAsia" w:cstheme="majorEastAsia"/>
          <w:sz w:val="28"/>
          <w:szCs w:val="28"/>
          <w:lang w:val="en-US" w:eastAsia="zh-CN"/>
        </w:rPr>
        <w:t>……</w:t>
      </w:r>
      <w:r>
        <w:rPr>
          <w:rFonts w:hint="eastAsia" w:asciiTheme="majorEastAsia" w:hAnsiTheme="majorEastAsia" w:eastAsiaTheme="majorEastAsia" w:cstheme="majorEastAsia"/>
          <w:position w:val="-14"/>
          <w:sz w:val="28"/>
          <w:szCs w:val="28"/>
          <w:lang w:val="en-US" w:eastAsia="zh-CN"/>
        </w:rPr>
        <w:object>
          <v:shape id="_x0000_i1028" o:spt="75" type="#_x0000_t75" style="height:20pt;width:21pt;" o:ole="t" filled="f" o:preferrelative="t" stroked="f" coordsize="21600,21600">
            <v:path/>
            <v:fill on="f" focussize="0,0"/>
            <v:stroke on="f"/>
            <v:imagedata r:id="rId12" o:title=""/>
            <o:lock v:ext="edit" aspectratio="t"/>
            <w10:wrap type="none"/>
            <w10:anchorlock/>
          </v:shape>
          <o:OLEObject Type="Embed" ProgID="Equation.KSEE3" ShapeID="_x0000_i1028" DrawAspect="Content" ObjectID="_1468075730" r:id="rId11">
            <o:LockedField>false</o:LockedField>
          </o:OLEObject>
        </w:object>
      </w:r>
      <w:r>
        <w:rPr>
          <w:rFonts w:hint="eastAsia" w:asciiTheme="majorEastAsia" w:hAnsiTheme="majorEastAsia" w:eastAsiaTheme="majorEastAsia" w:cstheme="majorEastAsia"/>
          <w:sz w:val="28"/>
          <w:szCs w:val="28"/>
          <w:lang w:val="en-US" w:eastAsia="zh-CN"/>
        </w:rPr>
        <w:t>，对于W来说存在某一个规则，即：拟定事实为S,处理结果为R,这个规则假如在</w:t>
      </w:r>
      <w:r>
        <w:rPr>
          <w:rFonts w:hint="eastAsia" w:asciiTheme="majorEastAsia" w:hAnsiTheme="majorEastAsia" w:eastAsiaTheme="majorEastAsia" w:cstheme="majorEastAsia"/>
          <w:position w:val="-14"/>
          <w:sz w:val="28"/>
          <w:szCs w:val="28"/>
          <w:lang w:val="en-US" w:eastAsia="zh-CN"/>
        </w:rPr>
        <w:object>
          <v:shape id="_x0000_i1036" o:spt="75" type="#_x0000_t75" style="height:20pt;width:19pt;" o:ole="t" filled="f" o:preferrelative="t" stroked="f" coordsize="21600,21600">
            <v:path/>
            <v:fill on="f" focussize="0,0"/>
            <v:stroke on="f"/>
            <v:imagedata r:id="rId8" o:title=""/>
            <o:lock v:ext="edit" aspectratio="t"/>
            <w10:wrap type="none"/>
            <w10:anchorlock/>
          </v:shape>
          <o:OLEObject Type="Embed" ProgID="Equation.KSEE3" ShapeID="_x0000_i1036" DrawAspect="Content" ObjectID="_1468075731" r:id="rId13">
            <o:LockedField>false</o:LockedField>
          </o:OLEObject>
        </w:object>
      </w:r>
      <w:r>
        <w:rPr>
          <w:rFonts w:hint="eastAsia" w:asciiTheme="majorEastAsia" w:hAnsiTheme="majorEastAsia" w:eastAsiaTheme="majorEastAsia" w:cstheme="majorEastAsia"/>
          <w:sz w:val="28"/>
          <w:szCs w:val="28"/>
          <w:lang w:val="en-US" w:eastAsia="zh-CN"/>
        </w:rPr>
        <w:t>、</w:t>
      </w:r>
      <w:r>
        <w:rPr>
          <w:rFonts w:hint="eastAsia" w:asciiTheme="majorEastAsia" w:hAnsiTheme="majorEastAsia" w:eastAsiaTheme="majorEastAsia" w:cstheme="majorEastAsia"/>
          <w:position w:val="-14"/>
          <w:sz w:val="28"/>
          <w:szCs w:val="28"/>
          <w:lang w:val="en-US" w:eastAsia="zh-CN"/>
        </w:rPr>
        <w:object>
          <v:shape id="_x0000_i1037" o:spt="75" type="#_x0000_t75" style="height:20pt;width:20pt;" o:ole="t" filled="f" o:preferrelative="t" stroked="f" coordsize="21600,21600">
            <v:path/>
            <v:fill on="f" focussize="0,0"/>
            <v:stroke on="f"/>
            <v:imagedata r:id="rId10" o:title=""/>
            <o:lock v:ext="edit" aspectratio="t"/>
            <w10:wrap type="none"/>
            <w10:anchorlock/>
          </v:shape>
          <o:OLEObject Type="Embed" ProgID="Equation.KSEE3" ShapeID="_x0000_i1037" DrawAspect="Content" ObjectID="_1468075732" r:id="rId14">
            <o:LockedField>false</o:LockedField>
          </o:OLEObject>
        </w:object>
      </w:r>
      <w:r>
        <w:rPr>
          <w:rFonts w:hint="eastAsia" w:asciiTheme="majorEastAsia" w:hAnsiTheme="majorEastAsia" w:eastAsiaTheme="majorEastAsia" w:cstheme="majorEastAsia"/>
          <w:sz w:val="28"/>
          <w:szCs w:val="28"/>
          <w:lang w:val="en-US" w:eastAsia="zh-CN"/>
        </w:rPr>
        <w:t>……</w:t>
      </w:r>
      <w:r>
        <w:rPr>
          <w:rFonts w:hint="eastAsia" w:asciiTheme="majorEastAsia" w:hAnsiTheme="majorEastAsia" w:eastAsiaTheme="majorEastAsia" w:cstheme="majorEastAsia"/>
          <w:position w:val="-14"/>
          <w:sz w:val="28"/>
          <w:szCs w:val="28"/>
          <w:lang w:val="en-US" w:eastAsia="zh-CN"/>
        </w:rPr>
        <w:object>
          <v:shape id="_x0000_i1038" o:spt="75" type="#_x0000_t75" style="height:20pt;width:21pt;" o:ole="t" filled="f" o:preferrelative="t" stroked="f" coordsize="21600,21600">
            <v:path/>
            <v:fill on="f" focussize="0,0"/>
            <v:stroke on="f"/>
            <v:imagedata r:id="rId12" o:title=""/>
            <o:lock v:ext="edit" aspectratio="t"/>
            <w10:wrap type="none"/>
            <w10:anchorlock/>
          </v:shape>
          <o:OLEObject Type="Embed" ProgID="Equation.KSEE3" ShapeID="_x0000_i1038" DrawAspect="Content" ObjectID="_1468075733" r:id="rId15">
            <o:LockedField>false</o:LockedField>
          </o:OLEObject>
        </w:object>
      </w:r>
      <w:r>
        <w:rPr>
          <w:rFonts w:hint="eastAsia" w:asciiTheme="majorEastAsia" w:hAnsiTheme="majorEastAsia" w:eastAsiaTheme="majorEastAsia" w:cstheme="majorEastAsia"/>
          <w:sz w:val="28"/>
          <w:szCs w:val="28"/>
          <w:lang w:val="en-US" w:eastAsia="zh-CN"/>
        </w:rPr>
        <w:t>中同样存在，那么证明行政规范性文件中的某一个规则与上位的规章是一致的，如果行政规范性文件的其他规则都能够在上位规章中寻求到一致的规则，证明某一个行政规范文件是与上位规章具有法律上的同一性。但事实上这样的情况极少，多数情况是在W中拟定事实S,结果为R，而同样的事实S而在</w:t>
      </w:r>
      <w:r>
        <w:rPr>
          <w:rFonts w:hint="eastAsia" w:asciiTheme="majorEastAsia" w:hAnsiTheme="majorEastAsia" w:eastAsiaTheme="majorEastAsia" w:cstheme="majorEastAsia"/>
          <w:position w:val="-14"/>
          <w:sz w:val="28"/>
          <w:szCs w:val="28"/>
          <w:lang w:val="en-US" w:eastAsia="zh-CN"/>
        </w:rPr>
        <w:object>
          <v:shape id="_x0000_i1041" o:spt="75" type="#_x0000_t75" style="height:20pt;width:19pt;" o:ole="t" filled="f" o:preferrelative="t" stroked="f" coordsize="21600,21600">
            <v:path/>
            <v:fill on="f" focussize="0,0"/>
            <v:stroke on="f"/>
            <v:imagedata r:id="rId8" o:title=""/>
            <o:lock v:ext="edit" aspectratio="t"/>
            <w10:wrap type="none"/>
            <w10:anchorlock/>
          </v:shape>
          <o:OLEObject Type="Embed" ProgID="Equation.KSEE3" ShapeID="_x0000_i1041" DrawAspect="Content" ObjectID="_1468075734" r:id="rId16">
            <o:LockedField>false</o:LockedField>
          </o:OLEObject>
        </w:object>
      </w:r>
      <w:r>
        <w:rPr>
          <w:rFonts w:hint="eastAsia" w:asciiTheme="majorEastAsia" w:hAnsiTheme="majorEastAsia" w:eastAsiaTheme="majorEastAsia" w:cstheme="majorEastAsia"/>
          <w:sz w:val="28"/>
          <w:szCs w:val="28"/>
          <w:lang w:val="en-US" w:eastAsia="zh-CN"/>
        </w:rPr>
        <w:t>、</w:t>
      </w:r>
      <w:r>
        <w:rPr>
          <w:rFonts w:hint="eastAsia" w:asciiTheme="majorEastAsia" w:hAnsiTheme="majorEastAsia" w:eastAsiaTheme="majorEastAsia" w:cstheme="majorEastAsia"/>
          <w:position w:val="-14"/>
          <w:sz w:val="28"/>
          <w:szCs w:val="28"/>
          <w:lang w:val="en-US" w:eastAsia="zh-CN"/>
        </w:rPr>
        <w:object>
          <v:shape id="_x0000_i1042" o:spt="75" type="#_x0000_t75" style="height:20pt;width:20pt;" o:ole="t" filled="f" o:preferrelative="t" stroked="f" coordsize="21600,21600">
            <v:path/>
            <v:fill on="f" focussize="0,0"/>
            <v:stroke on="f"/>
            <v:imagedata r:id="rId10" o:title=""/>
            <o:lock v:ext="edit" aspectratio="t"/>
            <w10:wrap type="none"/>
            <w10:anchorlock/>
          </v:shape>
          <o:OLEObject Type="Embed" ProgID="Equation.KSEE3" ShapeID="_x0000_i1042" DrawAspect="Content" ObjectID="_1468075735" r:id="rId17">
            <o:LockedField>false</o:LockedField>
          </o:OLEObject>
        </w:object>
      </w:r>
      <w:r>
        <w:rPr>
          <w:rFonts w:hint="eastAsia" w:asciiTheme="majorEastAsia" w:hAnsiTheme="majorEastAsia" w:eastAsiaTheme="majorEastAsia" w:cstheme="majorEastAsia"/>
          <w:sz w:val="28"/>
          <w:szCs w:val="28"/>
          <w:lang w:val="en-US" w:eastAsia="zh-CN"/>
        </w:rPr>
        <w:t>……</w:t>
      </w:r>
      <w:r>
        <w:rPr>
          <w:rFonts w:hint="eastAsia" w:asciiTheme="majorEastAsia" w:hAnsiTheme="majorEastAsia" w:eastAsiaTheme="majorEastAsia" w:cstheme="majorEastAsia"/>
          <w:position w:val="-14"/>
          <w:sz w:val="28"/>
          <w:szCs w:val="28"/>
          <w:lang w:val="en-US" w:eastAsia="zh-CN"/>
        </w:rPr>
        <w:object>
          <v:shape id="_x0000_i1043" o:spt="75" type="#_x0000_t75" style="height:20pt;width:21pt;" o:ole="t" filled="f" o:preferrelative="t" stroked="f" coordsize="21600,21600">
            <v:path/>
            <v:fill on="f" focussize="0,0"/>
            <v:stroke on="f"/>
            <v:imagedata r:id="rId12" o:title=""/>
            <o:lock v:ext="edit" aspectratio="t"/>
            <w10:wrap type="none"/>
            <w10:anchorlock/>
          </v:shape>
          <o:OLEObject Type="Embed" ProgID="Equation.KSEE3" ShapeID="_x0000_i1043" DrawAspect="Content" ObjectID="_1468075736" r:id="rId18">
            <o:LockedField>false</o:LockedField>
          </o:OLEObject>
        </w:object>
      </w:r>
      <w:r>
        <w:rPr>
          <w:rFonts w:hint="eastAsia" w:asciiTheme="majorEastAsia" w:hAnsiTheme="majorEastAsia" w:eastAsiaTheme="majorEastAsia" w:cstheme="majorEastAsia"/>
          <w:sz w:val="28"/>
          <w:szCs w:val="28"/>
          <w:lang w:val="en-US" w:eastAsia="zh-CN"/>
        </w:rPr>
        <w:t>中出现的结果为</w:t>
      </w:r>
      <w:r>
        <w:rPr>
          <w:rFonts w:hint="eastAsia" w:asciiTheme="majorEastAsia" w:hAnsiTheme="majorEastAsia" w:eastAsiaTheme="majorEastAsia" w:cstheme="majorEastAsia"/>
          <w:position w:val="-12"/>
          <w:sz w:val="28"/>
          <w:szCs w:val="28"/>
          <w:lang w:val="en-US" w:eastAsia="zh-CN"/>
        </w:rPr>
        <w:object>
          <v:shape id="_x0000_i1073" o:spt="75" type="#_x0000_t75" style="height:21pt;width:18pt;" o:ole="t" filled="f" o:preferrelative="t" stroked="f" coordsize="21600,21600">
            <v:fill on="f" focussize="0,0"/>
            <v:stroke on="f"/>
            <v:imagedata r:id="rId20" o:title=""/>
            <o:lock v:ext="edit" aspectratio="t"/>
            <w10:wrap type="none"/>
            <w10:anchorlock/>
          </v:shape>
          <o:OLEObject Type="Embed" ProgID="Equation.KSEE3" ShapeID="_x0000_i1073" DrawAspect="Content" ObjectID="_1468075737" r:id="rId19">
            <o:LockedField>false</o:LockedField>
          </o:OLEObject>
        </w:object>
      </w:r>
      <w:r>
        <w:rPr>
          <w:rFonts w:hint="eastAsia" w:asciiTheme="majorEastAsia" w:hAnsiTheme="majorEastAsia" w:eastAsiaTheme="majorEastAsia" w:cstheme="majorEastAsia"/>
          <w:sz w:val="28"/>
          <w:szCs w:val="28"/>
          <w:lang w:val="en-US" w:eastAsia="zh-CN"/>
        </w:rPr>
        <w:t>，</w:t>
      </w:r>
      <w:r>
        <w:rPr>
          <w:rFonts w:hint="eastAsia" w:asciiTheme="majorEastAsia" w:hAnsiTheme="majorEastAsia" w:eastAsiaTheme="majorEastAsia" w:cstheme="majorEastAsia"/>
          <w:position w:val="-12"/>
          <w:sz w:val="28"/>
          <w:szCs w:val="28"/>
          <w:lang w:val="en-US" w:eastAsia="zh-CN"/>
        </w:rPr>
        <w:object>
          <v:shape id="_x0000_i1074" o:spt="75" type="#_x0000_t75" style="height:21pt;width:19pt;" o:ole="t" filled="f" o:preferrelative="t" stroked="f" coordsize="21600,21600">
            <v:fill on="f" focussize="0,0"/>
            <v:stroke on="f"/>
            <v:imagedata r:id="rId22" o:title=""/>
            <o:lock v:ext="edit" aspectratio="t"/>
            <w10:wrap type="none"/>
            <w10:anchorlock/>
          </v:shape>
          <o:OLEObject Type="Embed" ProgID="Equation.KSEE3" ShapeID="_x0000_i1074" DrawAspect="Content" ObjectID="_1468075738" r:id="rId21">
            <o:LockedField>false</o:LockedField>
          </o:OLEObject>
        </w:object>
      </w:r>
      <w:r>
        <w:rPr>
          <w:rFonts w:hint="eastAsia" w:asciiTheme="majorEastAsia" w:hAnsiTheme="majorEastAsia" w:eastAsiaTheme="majorEastAsia" w:cstheme="majorEastAsia"/>
          <w:sz w:val="28"/>
          <w:szCs w:val="28"/>
          <w:lang w:val="en-US" w:eastAsia="zh-CN"/>
        </w:rPr>
        <w:t>……</w:t>
      </w:r>
      <w:r>
        <w:rPr>
          <w:rFonts w:hint="eastAsia" w:asciiTheme="majorEastAsia" w:hAnsiTheme="majorEastAsia" w:eastAsiaTheme="majorEastAsia" w:cstheme="majorEastAsia"/>
          <w:position w:val="-12"/>
          <w:sz w:val="28"/>
          <w:szCs w:val="28"/>
          <w:lang w:val="en-US" w:eastAsia="zh-CN"/>
        </w:rPr>
        <w:object>
          <v:shape id="_x0000_i1075" o:spt="75" type="#_x0000_t75" style="height:21pt;width:19pt;" o:ole="t" filled="f" o:preferrelative="t" stroked="f" coordsize="21600,21600">
            <v:fill on="f" focussize="0,0"/>
            <v:stroke on="f"/>
            <v:imagedata r:id="rId24" o:title=""/>
            <o:lock v:ext="edit" aspectratio="t"/>
            <w10:wrap type="none"/>
            <w10:anchorlock/>
          </v:shape>
          <o:OLEObject Type="Embed" ProgID="Equation.KSEE3" ShapeID="_x0000_i1075" DrawAspect="Content" ObjectID="_1468075739" r:id="rId23">
            <o:LockedField>false</o:LockedField>
          </o:OLEObject>
        </w:object>
      </w:r>
      <w:r>
        <w:rPr>
          <w:rFonts w:hint="eastAsia" w:asciiTheme="majorEastAsia" w:hAnsiTheme="majorEastAsia" w:eastAsiaTheme="majorEastAsia" w:cstheme="majorEastAsia"/>
          <w:sz w:val="28"/>
          <w:szCs w:val="28"/>
          <w:lang w:val="en-US" w:eastAsia="zh-CN"/>
        </w:rPr>
        <w:t>在这样的情况下，必须用法律解释方法进行解释，对于解释的结果可能有二种，一种为：法律后果虽然表面形式不同，但是本质基本相同，这也同样确定两者具有统一性。另一种情况为法律后果相反，这说明两者是相违反的，还有待用效力更强的法律进行进一步审查。</w:t>
      </w:r>
    </w:p>
    <w:p>
      <w:pPr>
        <w:numPr>
          <w:ilvl w:val="0"/>
          <w:numId w:val="0"/>
        </w:numPr>
        <w:ind w:firstLine="0" w:firstLineChars="200"/>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第二权限识别法。权限识别是对制定规范文件的主体进行审查，根据立法法及相关程序法要求进行审查，看制定行政规范性文件的机关有不有制定文件中某规范的权限，如果存在超越权限的问题，这个规范就属于无效的规范，不需要对规范本身进行实质性审查。“如果没有得到公众所选举和委派的立法机关的批准，任何人的任何命令，无论采取什么形式或者以任何权力做后盾，都不具有法律效力和强制性。”。</w:t>
      </w:r>
      <w:r>
        <w:rPr>
          <w:rStyle w:val="4"/>
          <w:rFonts w:hint="eastAsia" w:asciiTheme="majorEastAsia" w:hAnsiTheme="majorEastAsia" w:eastAsiaTheme="majorEastAsia" w:cstheme="majorEastAsia"/>
          <w:sz w:val="28"/>
          <w:szCs w:val="28"/>
          <w:lang w:val="en-US" w:eastAsia="zh-CN"/>
        </w:rPr>
        <w:t>[</w:t>
      </w:r>
      <w:r>
        <w:rPr>
          <w:rStyle w:val="4"/>
          <w:rFonts w:hint="eastAsia" w:asciiTheme="majorEastAsia" w:hAnsiTheme="majorEastAsia" w:eastAsiaTheme="majorEastAsia" w:cstheme="majorEastAsia"/>
          <w:sz w:val="28"/>
          <w:szCs w:val="28"/>
          <w:lang w:val="en-US" w:eastAsia="zh-CN"/>
        </w:rPr>
        <w:footnoteReference w:id="5"/>
      </w:r>
      <w:r>
        <w:rPr>
          <w:rStyle w:val="4"/>
          <w:rFonts w:hint="eastAsia" w:asciiTheme="majorEastAsia" w:hAnsiTheme="majorEastAsia" w:eastAsiaTheme="majorEastAsia" w:cstheme="majorEastAsia"/>
          <w:sz w:val="28"/>
          <w:szCs w:val="28"/>
          <w:lang w:val="en-US" w:eastAsia="zh-CN"/>
        </w:rPr>
        <w:t>]</w:t>
      </w:r>
      <w:r>
        <w:rPr>
          <w:rFonts w:hint="eastAsia" w:asciiTheme="majorEastAsia" w:hAnsiTheme="majorEastAsia" w:eastAsiaTheme="majorEastAsia" w:cstheme="majorEastAsia"/>
          <w:sz w:val="28"/>
          <w:szCs w:val="28"/>
          <w:lang w:val="en-US" w:eastAsia="zh-CN"/>
        </w:rPr>
        <w:t>只有制定规范性文件主体在法律权限内行使制定权，才存在对规范的审查问题。</w:t>
      </w:r>
    </w:p>
    <w:p>
      <w:pPr>
        <w:numPr>
          <w:ilvl w:val="0"/>
          <w:numId w:val="0"/>
        </w:numPr>
        <w:ind w:firstLine="0" w:firstLineChars="200"/>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二）二审核心规范与法律法规的相关规范的契合度。行政规范性文件中的规范，在一审中用以其相关行政规章进行审查，对于规范性文件来说，得出的不外乎两种情况，合符规章与不合符规章，但这并不能就此下结论说，合法与不合法，原因在于规章的效力等级比较低，还必须进行更上级的法规法律审查。</w:t>
      </w:r>
    </w:p>
    <w:p>
      <w:pPr>
        <w:numPr>
          <w:ilvl w:val="0"/>
          <w:numId w:val="0"/>
        </w:numPr>
        <w:ind w:firstLine="0" w:firstLineChars="200"/>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第一将行政规范性文件中的规范纳入法规进行审查。其审查方法仍然是将规范性文件在其确定的规范，与法规中的相关规范进行进行对比，看其契合的程度，如果得出与</w:t>
      </w:r>
      <w:r>
        <w:rPr>
          <w:rFonts w:hint="eastAsia" w:asciiTheme="majorEastAsia" w:hAnsiTheme="majorEastAsia" w:eastAsiaTheme="majorEastAsia" w:cstheme="majorEastAsia"/>
          <w:position w:val="-16"/>
          <w:sz w:val="28"/>
          <w:szCs w:val="28"/>
          <w:lang w:val="en-US" w:eastAsia="zh-CN"/>
        </w:rPr>
        <w:object>
          <v:shape id="_x0000_i1052" o:spt="75" type="#_x0000_t75" style="height:23pt;width:21pt;" o:ole="t" filled="f" o:preferrelative="t" stroked="f" coordsize="21600,21600">
            <v:path/>
            <v:fill on="f" focussize="0,0"/>
            <v:stroke on="f"/>
            <v:imagedata r:id="rId26" o:title=""/>
            <o:lock v:ext="edit" aspectratio="t"/>
            <w10:wrap type="none"/>
            <w10:anchorlock/>
          </v:shape>
          <o:OLEObject Type="Embed" ProgID="Equation.KSEE3" ShapeID="_x0000_i1052" DrawAspect="Content" ObjectID="_1468075740" r:id="rId25">
            <o:LockedField>false</o:LockedField>
          </o:OLEObject>
        </w:object>
      </w:r>
      <w:r>
        <w:rPr>
          <w:rFonts w:hint="eastAsia" w:asciiTheme="majorEastAsia" w:hAnsiTheme="majorEastAsia" w:eastAsiaTheme="majorEastAsia" w:cstheme="majorEastAsia"/>
          <w:sz w:val="28"/>
          <w:szCs w:val="28"/>
          <w:lang w:val="en-US" w:eastAsia="zh-CN"/>
        </w:rPr>
        <w:t>、</w:t>
      </w:r>
      <w:r>
        <w:rPr>
          <w:rFonts w:hint="eastAsia" w:asciiTheme="majorEastAsia" w:hAnsiTheme="majorEastAsia" w:eastAsiaTheme="majorEastAsia" w:cstheme="majorEastAsia"/>
          <w:position w:val="-16"/>
          <w:sz w:val="28"/>
          <w:szCs w:val="28"/>
          <w:lang w:val="en-US" w:eastAsia="zh-CN"/>
        </w:rPr>
        <w:object>
          <v:shape id="_x0000_i1053" o:spt="75" type="#_x0000_t75" style="height:23pt;width:21pt;" o:ole="t" filled="f" o:preferrelative="t" stroked="f" coordsize="21600,21600">
            <v:path/>
            <v:fill on="f" focussize="0,0"/>
            <v:stroke on="f"/>
            <v:imagedata r:id="rId28" o:title=""/>
            <o:lock v:ext="edit" aspectratio="t"/>
            <w10:wrap type="none"/>
            <w10:anchorlock/>
          </v:shape>
          <o:OLEObject Type="Embed" ProgID="Equation.KSEE3" ShapeID="_x0000_i1053" DrawAspect="Content" ObjectID="_1468075741" r:id="rId27">
            <o:LockedField>false</o:LockedField>
          </o:OLEObject>
        </w:object>
      </w:r>
      <w:r>
        <w:rPr>
          <w:rFonts w:hint="eastAsia" w:asciiTheme="majorEastAsia" w:hAnsiTheme="majorEastAsia" w:eastAsiaTheme="majorEastAsia" w:cstheme="majorEastAsia"/>
          <w:sz w:val="28"/>
          <w:szCs w:val="28"/>
          <w:lang w:val="en-US" w:eastAsia="zh-CN"/>
        </w:rPr>
        <w:t>……</w:t>
      </w:r>
      <w:r>
        <w:rPr>
          <w:rFonts w:hint="eastAsia" w:asciiTheme="majorEastAsia" w:hAnsiTheme="majorEastAsia" w:eastAsiaTheme="majorEastAsia" w:cstheme="majorEastAsia"/>
          <w:position w:val="-16"/>
          <w:sz w:val="28"/>
          <w:szCs w:val="28"/>
          <w:lang w:val="en-US" w:eastAsia="zh-CN"/>
        </w:rPr>
        <w:object>
          <v:shape id="_x0000_i1054" o:spt="75" type="#_x0000_t75" style="height:23pt;width:22pt;" o:ole="t" filled="f" o:preferrelative="t" stroked="f" coordsize="21600,21600">
            <v:path/>
            <v:fill on="f" focussize="0,0"/>
            <v:stroke on="f"/>
            <v:imagedata r:id="rId30" o:title=""/>
            <o:lock v:ext="edit" aspectratio="t"/>
            <w10:wrap type="none"/>
            <w10:anchorlock/>
          </v:shape>
          <o:OLEObject Type="Embed" ProgID="Equation.KSEE3" ShapeID="_x0000_i1054" DrawAspect="Content" ObjectID="_1468075742" r:id="rId29">
            <o:LockedField>false</o:LockedField>
          </o:OLEObject>
        </w:object>
      </w:r>
      <w:r>
        <w:rPr>
          <w:rFonts w:hint="eastAsia" w:asciiTheme="majorEastAsia" w:hAnsiTheme="majorEastAsia" w:eastAsiaTheme="majorEastAsia" w:cstheme="majorEastAsia"/>
          <w:sz w:val="28"/>
          <w:szCs w:val="28"/>
          <w:lang w:val="en-US" w:eastAsia="zh-CN"/>
        </w:rPr>
        <w:t>中的规范在拟定事实相同，</w:t>
      </w:r>
      <w:r>
        <w:rPr>
          <w:rStyle w:val="4"/>
          <w:rFonts w:hint="eastAsia" w:asciiTheme="majorEastAsia" w:hAnsiTheme="majorEastAsia" w:eastAsiaTheme="majorEastAsia" w:cstheme="majorEastAsia"/>
          <w:sz w:val="28"/>
          <w:szCs w:val="28"/>
          <w:lang w:val="en-US" w:eastAsia="zh-CN"/>
        </w:rPr>
        <w:t>[</w:t>
      </w:r>
      <w:r>
        <w:rPr>
          <w:rStyle w:val="4"/>
          <w:rFonts w:hint="eastAsia" w:asciiTheme="majorEastAsia" w:hAnsiTheme="majorEastAsia" w:eastAsiaTheme="majorEastAsia" w:cstheme="majorEastAsia"/>
          <w:sz w:val="28"/>
          <w:szCs w:val="28"/>
          <w:lang w:val="en-US" w:eastAsia="zh-CN"/>
        </w:rPr>
        <w:footnoteReference w:id="6"/>
      </w:r>
      <w:r>
        <w:rPr>
          <w:rStyle w:val="4"/>
          <w:rFonts w:hint="eastAsia" w:asciiTheme="majorEastAsia" w:hAnsiTheme="majorEastAsia" w:eastAsiaTheme="majorEastAsia" w:cstheme="majorEastAsia"/>
          <w:sz w:val="28"/>
          <w:szCs w:val="28"/>
          <w:lang w:val="en-US" w:eastAsia="zh-CN"/>
        </w:rPr>
        <w:t>]</w:t>
      </w:r>
      <w:r>
        <w:rPr>
          <w:rFonts w:hint="eastAsia" w:asciiTheme="majorEastAsia" w:hAnsiTheme="majorEastAsia" w:eastAsiaTheme="majorEastAsia" w:cstheme="majorEastAsia"/>
          <w:sz w:val="28"/>
          <w:szCs w:val="28"/>
          <w:lang w:val="en-US" w:eastAsia="zh-CN"/>
        </w:rPr>
        <w:t>法律后果</w:t>
      </w:r>
      <w:r>
        <w:rPr>
          <w:rFonts w:hint="eastAsia" w:asciiTheme="majorEastAsia" w:hAnsiTheme="majorEastAsia" w:eastAsiaTheme="majorEastAsia" w:cstheme="majorEastAsia"/>
          <w:position w:val="-14"/>
          <w:sz w:val="28"/>
          <w:szCs w:val="28"/>
          <w:lang w:val="en-US" w:eastAsia="zh-CN"/>
        </w:rPr>
        <w:object>
          <v:shape id="_x0000_i1058" o:spt="75" type="#_x0000_t75" style="height:19pt;width:19pt;" o:ole="t" filled="f" o:preferrelative="t" stroked="f" coordsize="21600,21600">
            <v:path/>
            <v:fill on="f" focussize="0,0"/>
            <v:stroke on="f"/>
            <v:imagedata r:id="rId32" o:title=""/>
            <o:lock v:ext="edit" aspectratio="t"/>
            <w10:wrap type="none"/>
            <w10:anchorlock/>
          </v:shape>
          <o:OLEObject Type="Embed" ProgID="Equation.KSEE3" ShapeID="_x0000_i1058" DrawAspect="Content" ObjectID="_1468075743" r:id="rId31">
            <o:LockedField>false</o:LockedField>
          </o:OLEObject>
        </w:object>
      </w:r>
      <w:r>
        <w:rPr>
          <w:rFonts w:hint="eastAsia" w:asciiTheme="majorEastAsia" w:hAnsiTheme="majorEastAsia" w:eastAsiaTheme="majorEastAsia" w:cstheme="majorEastAsia"/>
          <w:sz w:val="28"/>
          <w:szCs w:val="28"/>
          <w:lang w:val="en-US" w:eastAsia="zh-CN"/>
        </w:rPr>
        <w:t>也一致时，证明行政规范性文件中的规范是与法规的规范是相符的，如果不一致，其法律后果为</w:t>
      </w:r>
      <w:r>
        <w:rPr>
          <w:rFonts w:hint="eastAsia" w:asciiTheme="majorEastAsia" w:hAnsiTheme="majorEastAsia" w:eastAsiaTheme="majorEastAsia" w:cstheme="majorEastAsia"/>
          <w:position w:val="-12"/>
          <w:sz w:val="28"/>
          <w:szCs w:val="28"/>
          <w:lang w:val="en-US" w:eastAsia="zh-CN"/>
        </w:rPr>
        <w:object>
          <v:shape id="_x0000_i1076" o:spt="75" type="#_x0000_t75" style="height:21pt;width:17pt;" o:ole="t" filled="f" o:preferrelative="t" stroked="f" coordsize="21600,21600">
            <v:fill on="f" focussize="0,0"/>
            <v:stroke on="f"/>
            <v:imagedata r:id="rId34" o:title=""/>
            <o:lock v:ext="edit" aspectratio="t"/>
            <w10:wrap type="none"/>
            <w10:anchorlock/>
          </v:shape>
          <o:OLEObject Type="Embed" ProgID="Equation.KSEE3" ShapeID="_x0000_i1076" DrawAspect="Content" ObjectID="_1468075744" r:id="rId33">
            <o:LockedField>false</o:LockedField>
          </o:OLEObject>
        </w:object>
      </w:r>
      <w:r>
        <w:rPr>
          <w:rFonts w:hint="eastAsia" w:asciiTheme="majorEastAsia" w:hAnsiTheme="majorEastAsia" w:eastAsiaTheme="majorEastAsia" w:cstheme="majorEastAsia"/>
          <w:sz w:val="28"/>
          <w:szCs w:val="28"/>
          <w:lang w:val="en-US" w:eastAsia="zh-CN"/>
        </w:rPr>
        <w:t>，能够通过法律解释方法得出基本一致的结论时，也视为相符。如果通过解释，其结果相反，应当评价为与法规是冲突的。</w:t>
      </w:r>
    </w:p>
    <w:p>
      <w:pPr>
        <w:numPr>
          <w:ilvl w:val="0"/>
          <w:numId w:val="0"/>
        </w:numPr>
        <w:ind w:firstLine="0" w:firstLineChars="200"/>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第二将行政规范性文件纳入相关的法律进行审查。审查方法仍采用上面方法，即将规范性文件中的规范，与相关法律中的规范进行对比，看与法律的一致程度。在假定条件相同时，如果在相关法律</w:t>
      </w:r>
      <w:r>
        <w:rPr>
          <w:rFonts w:hint="eastAsia" w:asciiTheme="majorEastAsia" w:hAnsiTheme="majorEastAsia" w:eastAsiaTheme="majorEastAsia" w:cstheme="majorEastAsia"/>
          <w:position w:val="-14"/>
          <w:sz w:val="28"/>
          <w:szCs w:val="28"/>
          <w:lang w:val="en-US" w:eastAsia="zh-CN"/>
        </w:rPr>
        <w:object>
          <v:shape id="_x0000_i1063" o:spt="75" type="#_x0000_t75" style="height:19pt;width:19pt;" o:ole="t" filled="f" o:preferrelative="t" stroked="f" coordsize="21600,21600">
            <v:path/>
            <v:fill on="f" focussize="0,0"/>
            <v:stroke on="f"/>
            <v:imagedata r:id="rId36" o:title=""/>
            <o:lock v:ext="edit" aspectratio="t"/>
            <w10:wrap type="none"/>
            <w10:anchorlock/>
          </v:shape>
          <o:OLEObject Type="Embed" ProgID="Equation.KSEE3" ShapeID="_x0000_i1063" DrawAspect="Content" ObjectID="_1468075745" r:id="rId35">
            <o:LockedField>false</o:LockedField>
          </o:OLEObject>
        </w:object>
      </w:r>
      <w:r>
        <w:rPr>
          <w:rFonts w:hint="eastAsia" w:asciiTheme="majorEastAsia" w:hAnsiTheme="majorEastAsia" w:eastAsiaTheme="majorEastAsia" w:cstheme="majorEastAsia"/>
          <w:sz w:val="28"/>
          <w:szCs w:val="28"/>
          <w:lang w:val="en-US" w:eastAsia="zh-CN"/>
        </w:rPr>
        <w:t>、</w:t>
      </w:r>
      <w:r>
        <w:rPr>
          <w:rFonts w:hint="eastAsia" w:asciiTheme="majorEastAsia" w:hAnsiTheme="majorEastAsia" w:eastAsiaTheme="majorEastAsia" w:cstheme="majorEastAsia"/>
          <w:position w:val="-14"/>
          <w:sz w:val="28"/>
          <w:szCs w:val="28"/>
          <w:lang w:val="en-US" w:eastAsia="zh-CN"/>
        </w:rPr>
        <w:object>
          <v:shape id="_x0000_i1064" o:spt="75" type="#_x0000_t75" style="height:19pt;width:21pt;" o:ole="t" filled="f" o:preferrelative="t" stroked="f" coordsize="21600,21600">
            <v:path/>
            <v:fill on="f" focussize="0,0"/>
            <v:stroke on="f"/>
            <v:imagedata r:id="rId38" o:title=""/>
            <o:lock v:ext="edit" aspectratio="t"/>
            <w10:wrap type="none"/>
            <w10:anchorlock/>
          </v:shape>
          <o:OLEObject Type="Embed" ProgID="Equation.KSEE3" ShapeID="_x0000_i1064" DrawAspect="Content" ObjectID="_1468075746" r:id="rId37">
            <o:LockedField>false</o:LockedField>
          </o:OLEObject>
        </w:object>
      </w:r>
      <w:r>
        <w:rPr>
          <w:rFonts w:hint="eastAsia" w:asciiTheme="majorEastAsia" w:hAnsiTheme="majorEastAsia" w:eastAsiaTheme="majorEastAsia" w:cstheme="majorEastAsia"/>
          <w:sz w:val="28"/>
          <w:szCs w:val="28"/>
          <w:lang w:val="en-US" w:eastAsia="zh-CN"/>
        </w:rPr>
        <w:t>……</w:t>
      </w:r>
      <w:r>
        <w:rPr>
          <w:rFonts w:hint="eastAsia" w:asciiTheme="majorEastAsia" w:hAnsiTheme="majorEastAsia" w:eastAsiaTheme="majorEastAsia" w:cstheme="majorEastAsia"/>
          <w:position w:val="-14"/>
          <w:sz w:val="28"/>
          <w:szCs w:val="28"/>
          <w:lang w:val="en-US" w:eastAsia="zh-CN"/>
        </w:rPr>
        <w:object>
          <v:shape id="_x0000_i1065" o:spt="75" type="#_x0000_t75" style="height:19pt;width:21pt;" o:ole="t" filled="f" o:preferrelative="t" stroked="f" coordsize="21600,21600">
            <v:path/>
            <v:fill on="f" focussize="0,0"/>
            <v:stroke on="f"/>
            <v:imagedata r:id="rId40" o:title=""/>
            <o:lock v:ext="edit" aspectratio="t"/>
            <w10:wrap type="none"/>
            <w10:anchorlock/>
          </v:shape>
          <o:OLEObject Type="Embed" ProgID="Equation.KSEE3" ShapeID="_x0000_i1065" DrawAspect="Content" ObjectID="_1468075747" r:id="rId39">
            <o:LockedField>false</o:LockedField>
          </o:OLEObject>
        </w:object>
      </w:r>
      <w:r>
        <w:rPr>
          <w:rFonts w:hint="eastAsia" w:asciiTheme="majorEastAsia" w:hAnsiTheme="majorEastAsia" w:eastAsiaTheme="majorEastAsia" w:cstheme="majorEastAsia"/>
          <w:sz w:val="28"/>
          <w:szCs w:val="28"/>
          <w:lang w:val="en-US" w:eastAsia="zh-CN"/>
        </w:rPr>
        <w:t>的规范中其法律后果</w:t>
      </w:r>
      <w:r>
        <w:rPr>
          <w:rFonts w:hint="eastAsia" w:asciiTheme="majorEastAsia" w:hAnsiTheme="majorEastAsia" w:eastAsiaTheme="majorEastAsia" w:cstheme="majorEastAsia"/>
          <w:position w:val="-14"/>
          <w:sz w:val="28"/>
          <w:szCs w:val="28"/>
          <w:lang w:val="en-US" w:eastAsia="zh-CN"/>
        </w:rPr>
        <w:object>
          <v:shape id="_x0000_i1066" o:spt="75" type="#_x0000_t75" style="height:19pt;width:19pt;" o:ole="t" filled="f" o:preferrelative="t" stroked="f" coordsize="21600,21600">
            <v:path/>
            <v:fill on="f" focussize="0,0"/>
            <v:stroke on="f"/>
            <v:imagedata r:id="rId42" o:title=""/>
            <o:lock v:ext="edit" aspectratio="t"/>
            <w10:wrap type="none"/>
            <w10:anchorlock/>
          </v:shape>
          <o:OLEObject Type="Embed" ProgID="Equation.KSEE3" ShapeID="_x0000_i1066" DrawAspect="Content" ObjectID="_1468075748" r:id="rId41">
            <o:LockedField>false</o:LockedField>
          </o:OLEObject>
        </w:object>
      </w:r>
      <w:r>
        <w:rPr>
          <w:rFonts w:hint="eastAsia" w:asciiTheme="majorEastAsia" w:hAnsiTheme="majorEastAsia" w:eastAsiaTheme="majorEastAsia" w:cstheme="majorEastAsia"/>
          <w:sz w:val="28"/>
          <w:szCs w:val="28"/>
          <w:lang w:val="en-US" w:eastAsia="zh-CN"/>
        </w:rPr>
        <w:t>相同，证明与相关法律是一致的。如果法律后果不同，而是</w:t>
      </w:r>
      <w:r>
        <w:rPr>
          <w:rFonts w:hint="eastAsia" w:asciiTheme="majorEastAsia" w:hAnsiTheme="majorEastAsia" w:eastAsiaTheme="majorEastAsia" w:cstheme="majorEastAsia"/>
          <w:position w:val="-12"/>
          <w:sz w:val="28"/>
          <w:szCs w:val="28"/>
          <w:lang w:val="en-US" w:eastAsia="zh-CN"/>
        </w:rPr>
        <w:object>
          <v:shape id="_x0000_i1077" o:spt="75" type="#_x0000_t75" style="height:21pt;width:17pt;" o:ole="t" filled="f" o:preferrelative="t" stroked="f" coordsize="21600,21600">
            <v:fill on="f" focussize="0,0"/>
            <v:stroke on="f"/>
            <v:imagedata r:id="rId44" o:title=""/>
            <o:lock v:ext="edit" aspectratio="t"/>
            <w10:wrap type="none"/>
            <w10:anchorlock/>
          </v:shape>
          <o:OLEObject Type="Embed" ProgID="Equation.KSEE3" ShapeID="_x0000_i1077" DrawAspect="Content" ObjectID="_1468075749" r:id="rId43">
            <o:LockedField>false</o:LockedField>
          </o:OLEObject>
        </w:object>
      </w:r>
      <w:r>
        <w:rPr>
          <w:rFonts w:hint="eastAsia" w:asciiTheme="majorEastAsia" w:hAnsiTheme="majorEastAsia" w:eastAsiaTheme="majorEastAsia" w:cstheme="majorEastAsia"/>
          <w:sz w:val="28"/>
          <w:szCs w:val="28"/>
          <w:lang w:val="en-US" w:eastAsia="zh-CN"/>
        </w:rPr>
        <w:t>，但是通过法律解释方法，得出一致的结果，证明行政规范性文件中的规范与相关法律是一致的。如果通过解释结果是相反的，证明存在冲突。</w:t>
      </w:r>
    </w:p>
    <w:p>
      <w:pPr>
        <w:numPr>
          <w:ilvl w:val="0"/>
          <w:numId w:val="8"/>
        </w:numPr>
        <w:ind w:firstLine="560" w:firstLineChars="200"/>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三审行政规范性文件中的规范与相关法律原则的契合度。行政规范性文件中的每一个规范，未必都能够从上位的规章、法律法规中寻找到相同或者相近的规范，在这样的条件下如何判断其合法和违法呢？方法只有一个，就是用其上位法律法规的原则进行检验识别，审查该规范与其相应的法律原则是否具有一致性。识别判断的具体程序为，第一将已经按性质划分的规范确定其法律种类，并由此为标签寻找相应的法律法规，从寻找出来的法律法规中确定出法律原则。第二用这些法律原则对该规范进行衡平。如何进行衡平呢？按照著名哲学家康德对此类问题的逻辑证明形式分为两种，一是分析判断，二是综合判断，</w:t>
      </w:r>
      <w:r>
        <w:rPr>
          <w:rStyle w:val="4"/>
          <w:rFonts w:hint="eastAsia" w:asciiTheme="majorEastAsia" w:hAnsiTheme="majorEastAsia" w:eastAsiaTheme="majorEastAsia" w:cstheme="majorEastAsia"/>
          <w:sz w:val="28"/>
          <w:szCs w:val="28"/>
          <w:lang w:val="en-US" w:eastAsia="zh-CN"/>
        </w:rPr>
        <w:t>[</w:t>
      </w:r>
      <w:r>
        <w:rPr>
          <w:rStyle w:val="4"/>
          <w:rFonts w:hint="eastAsia" w:asciiTheme="majorEastAsia" w:hAnsiTheme="majorEastAsia" w:eastAsiaTheme="majorEastAsia" w:cstheme="majorEastAsia"/>
          <w:sz w:val="28"/>
          <w:szCs w:val="28"/>
          <w:lang w:val="en-US" w:eastAsia="zh-CN"/>
        </w:rPr>
        <w:footnoteReference w:id="7"/>
      </w:r>
      <w:r>
        <w:rPr>
          <w:rStyle w:val="4"/>
          <w:rFonts w:hint="eastAsia" w:asciiTheme="majorEastAsia" w:hAnsiTheme="majorEastAsia" w:eastAsiaTheme="majorEastAsia" w:cstheme="majorEastAsia"/>
          <w:sz w:val="28"/>
          <w:szCs w:val="28"/>
          <w:lang w:val="en-US" w:eastAsia="zh-CN"/>
        </w:rPr>
        <w:t>]</w:t>
      </w:r>
      <w:r>
        <w:rPr>
          <w:rFonts w:hint="eastAsia" w:asciiTheme="majorEastAsia" w:hAnsiTheme="majorEastAsia" w:eastAsiaTheme="majorEastAsia" w:cstheme="majorEastAsia"/>
          <w:sz w:val="28"/>
          <w:szCs w:val="28"/>
          <w:lang w:val="en-US" w:eastAsia="zh-CN"/>
        </w:rPr>
        <w:t>前者适用于具有严格意义上的主从关系两个概念之间，后者适用于并不完全具有主从关系两个概念之间，前者通过对范围较大概念的分解就能够分解成较小的概念来，后者需要通过附加其他元素才能最后得出结论，</w:t>
      </w:r>
      <w:r>
        <w:rPr>
          <w:rStyle w:val="4"/>
          <w:rFonts w:hint="eastAsia" w:asciiTheme="majorEastAsia" w:hAnsiTheme="majorEastAsia" w:eastAsiaTheme="majorEastAsia" w:cstheme="majorEastAsia"/>
          <w:sz w:val="28"/>
          <w:szCs w:val="28"/>
          <w:lang w:val="en-US" w:eastAsia="zh-CN"/>
        </w:rPr>
        <w:t>[</w:t>
      </w:r>
      <w:r>
        <w:rPr>
          <w:rStyle w:val="4"/>
          <w:rFonts w:hint="eastAsia" w:asciiTheme="majorEastAsia" w:hAnsiTheme="majorEastAsia" w:eastAsiaTheme="majorEastAsia" w:cstheme="majorEastAsia"/>
          <w:sz w:val="28"/>
          <w:szCs w:val="28"/>
          <w:lang w:val="en-US" w:eastAsia="zh-CN"/>
        </w:rPr>
        <w:footnoteReference w:id="8"/>
      </w:r>
      <w:r>
        <w:rPr>
          <w:rStyle w:val="4"/>
          <w:rFonts w:hint="eastAsia" w:asciiTheme="majorEastAsia" w:hAnsiTheme="majorEastAsia" w:eastAsiaTheme="majorEastAsia" w:cstheme="majorEastAsia"/>
          <w:sz w:val="28"/>
          <w:szCs w:val="28"/>
          <w:lang w:val="en-US" w:eastAsia="zh-CN"/>
        </w:rPr>
        <w:t>]</w:t>
      </w:r>
      <w:r>
        <w:rPr>
          <w:rFonts w:hint="eastAsia" w:asciiTheme="majorEastAsia" w:hAnsiTheme="majorEastAsia" w:eastAsiaTheme="majorEastAsia" w:cstheme="majorEastAsia"/>
          <w:sz w:val="28"/>
          <w:szCs w:val="28"/>
          <w:lang w:val="en-US" w:eastAsia="zh-CN"/>
        </w:rPr>
        <w:t>由于规范与原则之间的逻辑判断，往往需要通过法律价值综合选择才能得出“合符”与“背离”法律原则的结论，所以综合判断是用来判断规范与原则之间的常用方法。当然简单的时候也可以采用分析判断方法，即逻辑三段论。</w:t>
      </w:r>
    </w:p>
    <w:p>
      <w:pPr>
        <w:numPr>
          <w:ilvl w:val="0"/>
          <w:numId w:val="0"/>
        </w:numPr>
        <w:ind w:firstLine="560" w:firstLineChars="200"/>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三、结果与评价：不同审查结果的司法判断。</w:t>
      </w:r>
    </w:p>
    <w:p>
      <w:pPr>
        <w:numPr>
          <w:ilvl w:val="0"/>
          <w:numId w:val="0"/>
        </w:numPr>
        <w:ind w:firstLine="560" w:firstLineChars="200"/>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通过上文对行政规范性文件三审的司法审查后，还应当进行综合评判，得出最终合法与否的司法判断。</w:t>
      </w:r>
    </w:p>
    <w:p>
      <w:pPr>
        <w:numPr>
          <w:ilvl w:val="0"/>
          <w:numId w:val="9"/>
        </w:numPr>
        <w:ind w:firstLine="560" w:firstLineChars="200"/>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行政规范性文件有明确的上位规章、法规、法律，并且规范与准据法体系协调一致的，认定规范合法有效。行政规范性文件中的规范，有明确的上位法规定，并且协调统一，证明规范性文件中的规范是合符现行有效法律的，为此司法应当给予合法有效的确认判决。</w:t>
      </w:r>
    </w:p>
    <w:p>
      <w:pPr>
        <w:numPr>
          <w:ilvl w:val="0"/>
          <w:numId w:val="0"/>
        </w:numPr>
        <w:ind w:firstLine="0" w:firstLineChars="200"/>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二）行政规范性文件有明确的上位规章，但是相抵触，可与其效力更高的法规和法律相一致应认定规范合法有效。因为规章在效力强度上次于法律法规，效力强度高的法规法律优先适用，这是司法的法律适用原则，因此应当认定行政规范性文件合法有效。</w:t>
      </w:r>
    </w:p>
    <w:p>
      <w:pPr>
        <w:numPr>
          <w:ilvl w:val="0"/>
          <w:numId w:val="0"/>
        </w:numPr>
        <w:ind w:firstLine="0" w:firstLineChars="200"/>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（三）行政规范性文件有明确的上位规章、法规、法律，其规范与规章一致，但与法规、法律相抵触应当认定行政规范性文件违法无效。理由仍然是法规、法律的效力高于规章，应当优先适用。</w:t>
      </w:r>
    </w:p>
    <w:p>
      <w:pPr>
        <w:numPr>
          <w:ilvl w:val="0"/>
          <w:numId w:val="0"/>
        </w:numPr>
        <w:ind w:firstLine="0" w:firstLineChars="200"/>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（四）行政规范性文件有明确的上位规章、法规、法律，其规范与规章、法规一致，但与法律相抵触，</w:t>
      </w:r>
      <w:r>
        <w:rPr>
          <w:rStyle w:val="4"/>
          <w:rFonts w:hint="eastAsia" w:asciiTheme="majorEastAsia" w:hAnsiTheme="majorEastAsia" w:eastAsiaTheme="majorEastAsia" w:cstheme="majorEastAsia"/>
          <w:sz w:val="28"/>
          <w:szCs w:val="28"/>
          <w:lang w:val="en-US" w:eastAsia="zh-CN"/>
        </w:rPr>
        <w:t>[</w:t>
      </w:r>
      <w:r>
        <w:rPr>
          <w:rStyle w:val="4"/>
          <w:rFonts w:hint="eastAsia" w:asciiTheme="majorEastAsia" w:hAnsiTheme="majorEastAsia" w:eastAsiaTheme="majorEastAsia" w:cstheme="majorEastAsia"/>
          <w:sz w:val="28"/>
          <w:szCs w:val="28"/>
          <w:lang w:val="en-US" w:eastAsia="zh-CN"/>
        </w:rPr>
        <w:footnoteReference w:id="9"/>
      </w:r>
      <w:r>
        <w:rPr>
          <w:rStyle w:val="4"/>
          <w:rFonts w:hint="eastAsia" w:asciiTheme="majorEastAsia" w:hAnsiTheme="majorEastAsia" w:eastAsiaTheme="majorEastAsia" w:cstheme="majorEastAsia"/>
          <w:sz w:val="28"/>
          <w:szCs w:val="28"/>
          <w:lang w:val="en-US" w:eastAsia="zh-CN"/>
        </w:rPr>
        <w:t>]</w:t>
      </w:r>
      <w:r>
        <w:rPr>
          <w:rFonts w:hint="eastAsia" w:asciiTheme="majorEastAsia" w:hAnsiTheme="majorEastAsia" w:eastAsiaTheme="majorEastAsia" w:cstheme="majorEastAsia"/>
          <w:sz w:val="28"/>
          <w:szCs w:val="28"/>
          <w:lang w:val="en-US" w:eastAsia="zh-CN"/>
        </w:rPr>
        <w:t>认定规范性文件违法无效。理由仍然是法律的效力高于规章与法规。</w:t>
      </w:r>
    </w:p>
    <w:p>
      <w:pPr>
        <w:numPr>
          <w:ilvl w:val="0"/>
          <w:numId w:val="0"/>
        </w:numPr>
        <w:ind w:firstLine="0" w:firstLineChars="200"/>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五）行政规范性文件有明确的上位规章、法规、法律，但是规章之间、法规之间、法律之间存在冲突，文件与部分规章、法规、法律一致，按照优先适用的规则确定出规章、法规、法律。具体判断的方法是，首先分别对于同位阶规章、法规、法律确定出一个效力最高的规章、法规、法律，确定的原则是新法优于旧法，后法优于前法；其次是再纵向比较规章、法规、法律的一致性，如果存在冲突以法律&gt;法规&gt;规章确定一个判断的准据法，后用这个准据法作为判断行政规范性文件是否有效的标准，最后确定规范性文件的效力，如果两者一致行政规范性文件有效，相反则行政规范性文件无效。</w:t>
      </w:r>
    </w:p>
    <w:p>
      <w:pPr>
        <w:numPr>
          <w:ilvl w:val="0"/>
          <w:numId w:val="0"/>
        </w:numPr>
        <w:ind w:firstLine="0" w:firstLineChars="200"/>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六）行政规范性文件中的规范属于创新性规范，没有明确的相对应的上位规章、法规和基本法律应当用宪法和法律原则进行评判。合符宪法和法律原则精神，同时又没有超越主体权限能力的，认定为合法有效，否则认定为违法无效。具体的识别逻辑方法为：</w:t>
      </w:r>
    </w:p>
    <w:p>
      <w:pPr>
        <w:numPr>
          <w:ilvl w:val="0"/>
          <w:numId w:val="0"/>
        </w:numPr>
        <w:ind w:firstLine="0" w:firstLineChars="200"/>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1、确定行政规范性文件主要规范的行政属性寻找相应法律法规及宪法中相关准则。行政规范性文件中规定了权利与义务内容的规范，就是主要规范，这些规范在行政法中有一个具体的领域，按照我国目前的划分体系，分别划分为国防建设、公安、国家安全与保密、民政、司法行政、行政监察、人事、劳动与社会保障、国民经济与社会发展计划、国民经济管理与企业管理、工业与能源、城乡建设、交通、财政、税务、审计、金融、价格管理、工商行政管理、质量技术监督、环境保护、国土资源、国内商品流通、对外贸易与经济合作、海关、旅游、信息产业、农业、林业、水利、教育、科学技术、文化、广播电影电视、新闻出版、卫生、药品监督管理、行政法制三十八个行政领域，</w:t>
      </w:r>
      <w:r>
        <w:rPr>
          <w:rStyle w:val="4"/>
          <w:rFonts w:hint="eastAsia" w:asciiTheme="majorEastAsia" w:hAnsiTheme="majorEastAsia" w:eastAsiaTheme="majorEastAsia" w:cstheme="majorEastAsia"/>
          <w:sz w:val="28"/>
          <w:szCs w:val="28"/>
          <w:lang w:val="en-US" w:eastAsia="zh-CN"/>
        </w:rPr>
        <w:t>[</w:t>
      </w:r>
      <w:r>
        <w:rPr>
          <w:rStyle w:val="4"/>
          <w:rFonts w:hint="eastAsia" w:asciiTheme="majorEastAsia" w:hAnsiTheme="majorEastAsia" w:eastAsiaTheme="majorEastAsia" w:cstheme="majorEastAsia"/>
          <w:sz w:val="28"/>
          <w:szCs w:val="28"/>
          <w:lang w:val="en-US" w:eastAsia="zh-CN"/>
        </w:rPr>
        <w:footnoteReference w:id="10"/>
      </w:r>
      <w:r>
        <w:rPr>
          <w:rStyle w:val="4"/>
          <w:rFonts w:hint="eastAsia" w:asciiTheme="majorEastAsia" w:hAnsiTheme="majorEastAsia" w:eastAsiaTheme="majorEastAsia" w:cstheme="majorEastAsia"/>
          <w:sz w:val="28"/>
          <w:szCs w:val="28"/>
          <w:lang w:val="en-US" w:eastAsia="zh-CN"/>
        </w:rPr>
        <w:t>]</w:t>
      </w:r>
      <w:r>
        <w:rPr>
          <w:rFonts w:hint="eastAsia" w:asciiTheme="majorEastAsia" w:hAnsiTheme="majorEastAsia" w:eastAsiaTheme="majorEastAsia" w:cstheme="majorEastAsia"/>
          <w:sz w:val="28"/>
          <w:szCs w:val="28"/>
          <w:lang w:val="en-US" w:eastAsia="zh-CN"/>
        </w:rPr>
        <w:t>这每一个行政领域的法律法规规章一般都确定了相应法律准则，我国宪法对于不同法律问题也确定了宪法原则，因此在行政规范文件的性质及行政领域确定后不难确定应当遵循的法律准则或者说法律原则。</w:t>
      </w:r>
    </w:p>
    <w:p>
      <w:pPr>
        <w:numPr>
          <w:ilvl w:val="0"/>
          <w:numId w:val="0"/>
        </w:numPr>
        <w:ind w:firstLine="0" w:firstLineChars="200"/>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2、用确定的法律原则对行政规范性文件中的主要规范进行效力识别。通过界定文件中的主要规范性质，已经确定了应当遵循的法律原则，这些原则虽然不像具体的法律规范那么明确，但是其承载的是法律的主要价值目标，对于行政主体来说，就给出了行为方向，行为范围，成为了抽象行政行为的标尺。不妨称为大法律命题。抽象行政行为下产生的规范构成一个假定条件，行为模式，法律后果的逻辑判断，也属于命题，只是这个命题比较小，不妨称为小法律命题。两个命题之间是否存在关系，如果存在关系又是怎样的关系，是正向一致的关系，还是反向关系？无论是证立，还是证伪就完成了法律原则下对文件中规范的效力判断。证明的方法先用内部证成方法，将大法律命题作为大前提，将小法律命题作为小前提，看两者是否存在涵摄关系，构成一个三段论的逻辑形式，如果符合构成，</w:t>
      </w:r>
      <w:bookmarkStart w:id="0" w:name="_GoBack"/>
      <w:bookmarkEnd w:id="0"/>
      <w:r>
        <w:rPr>
          <w:rFonts w:hint="eastAsia" w:asciiTheme="majorEastAsia" w:hAnsiTheme="majorEastAsia" w:eastAsiaTheme="majorEastAsia" w:cstheme="majorEastAsia"/>
          <w:sz w:val="28"/>
          <w:szCs w:val="28"/>
          <w:lang w:val="en-US" w:eastAsia="zh-CN"/>
        </w:rPr>
        <w:t>说明规范与原则之间是一致的，也证明行政规范性文件有效。可事情往往不是那么简单，有时两个命题之间靠本身的元素难于导出结果，还必须借助其他元素，才能证明两个命题之间的关系，在这样的情况下就需要另外一种证明方法——外部证成法，外部证成法有（1）解释的规则与形式；（2）教义学的规则与形式；（3）判例适用之规则与形式；（4）普遍实践论证的规则形式；（5）经验论证；（6）特殊的法律论证。</w:t>
      </w:r>
      <w:r>
        <w:rPr>
          <w:rStyle w:val="4"/>
          <w:rFonts w:hint="eastAsia" w:asciiTheme="majorEastAsia" w:hAnsiTheme="majorEastAsia" w:eastAsiaTheme="majorEastAsia" w:cstheme="majorEastAsia"/>
          <w:sz w:val="28"/>
          <w:szCs w:val="28"/>
          <w:lang w:val="en-US" w:eastAsia="zh-CN"/>
        </w:rPr>
        <w:t>[</w:t>
      </w:r>
      <w:r>
        <w:rPr>
          <w:rStyle w:val="4"/>
          <w:rFonts w:hint="eastAsia" w:asciiTheme="majorEastAsia" w:hAnsiTheme="majorEastAsia" w:eastAsiaTheme="majorEastAsia" w:cstheme="majorEastAsia"/>
          <w:sz w:val="28"/>
          <w:szCs w:val="28"/>
          <w:lang w:val="en-US" w:eastAsia="zh-CN"/>
        </w:rPr>
        <w:footnoteReference w:id="11"/>
      </w:r>
      <w:r>
        <w:rPr>
          <w:rStyle w:val="4"/>
          <w:rFonts w:hint="eastAsia" w:asciiTheme="majorEastAsia" w:hAnsiTheme="majorEastAsia" w:eastAsiaTheme="majorEastAsia" w:cstheme="majorEastAsia"/>
          <w:sz w:val="28"/>
          <w:szCs w:val="28"/>
          <w:lang w:val="en-US" w:eastAsia="zh-CN"/>
        </w:rPr>
        <w:t>]</w:t>
      </w:r>
      <w:r>
        <w:rPr>
          <w:rFonts w:hint="eastAsia" w:asciiTheme="majorEastAsia" w:hAnsiTheme="majorEastAsia" w:eastAsiaTheme="majorEastAsia" w:cstheme="majorEastAsia"/>
          <w:sz w:val="28"/>
          <w:szCs w:val="28"/>
          <w:lang w:val="en-US" w:eastAsia="zh-CN"/>
        </w:rPr>
        <w:t>这些方法往往需要并用才能达到对两个命题关系一致性或者反向性证立或者证伪的目的，从而达到对行政规范性文件进行效力上的判断。</w:t>
      </w:r>
    </w:p>
    <w:p>
      <w:pPr>
        <w:numPr>
          <w:ilvl w:val="0"/>
          <w:numId w:val="0"/>
        </w:numPr>
        <w:ind w:firstLine="0" w:firstLineChars="200"/>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这里需要说明的问题是，修改后的行政诉讼法第五十三条规定的对抽象行政行为的司法审查权是相当有限的审查权，有别于域外的违宪审查。我国司法不能直接介入对法律法规规章的审查，由此而来审查的路径只能选择在法律适用方法的路径上，而不能将行政规范性文件依存的上位规章法规法律纳入宪法中审查，</w:t>
      </w:r>
      <w:r>
        <w:rPr>
          <w:rStyle w:val="4"/>
          <w:rFonts w:hint="eastAsia" w:asciiTheme="majorEastAsia" w:hAnsiTheme="majorEastAsia" w:eastAsiaTheme="majorEastAsia" w:cstheme="majorEastAsia"/>
          <w:sz w:val="28"/>
          <w:szCs w:val="28"/>
          <w:lang w:val="en-US" w:eastAsia="zh-CN"/>
        </w:rPr>
        <w:t>[</w:t>
      </w:r>
      <w:r>
        <w:rPr>
          <w:rStyle w:val="4"/>
          <w:rFonts w:hint="eastAsia" w:asciiTheme="majorEastAsia" w:hAnsiTheme="majorEastAsia" w:eastAsiaTheme="majorEastAsia" w:cstheme="majorEastAsia"/>
          <w:sz w:val="28"/>
          <w:szCs w:val="28"/>
          <w:lang w:val="en-US" w:eastAsia="zh-CN"/>
        </w:rPr>
        <w:footnoteReference w:id="12"/>
      </w:r>
      <w:r>
        <w:rPr>
          <w:rStyle w:val="4"/>
          <w:rFonts w:hint="eastAsia" w:asciiTheme="majorEastAsia" w:hAnsiTheme="majorEastAsia" w:eastAsiaTheme="majorEastAsia" w:cstheme="majorEastAsia"/>
          <w:sz w:val="28"/>
          <w:szCs w:val="28"/>
          <w:lang w:val="en-US" w:eastAsia="zh-CN"/>
        </w:rPr>
        <w:t>]</w:t>
      </w:r>
      <w:r>
        <w:rPr>
          <w:rFonts w:hint="eastAsia" w:asciiTheme="majorEastAsia" w:hAnsiTheme="majorEastAsia" w:eastAsiaTheme="majorEastAsia" w:cstheme="majorEastAsia"/>
          <w:sz w:val="28"/>
          <w:szCs w:val="28"/>
          <w:lang w:val="en-US" w:eastAsia="zh-CN"/>
        </w:rPr>
        <w:t>通过甄别法律法规规章是否违宪直接达到对规范性效力的否定或肯定。同时笔者认为为了效率和可能目前也难于通过最高法院直接向全国人大常委会提出对某个法律法规规章进行违宪审查，然后根据人大的审查结论进行司法判断，因为时至今日人大没有这方面程序规定。笔者构建的三审法，正是在这一客观条件下进行的可能性研究，将文件中的规范一级一级纳入规章法规法律考量，通过效力强度识别得出审查结论，避免法官面对规章法规法律不能评价，产生的裁判尴尬。</w:t>
      </w:r>
    </w:p>
    <w:p>
      <w:pPr>
        <w:numPr>
          <w:ilvl w:val="0"/>
          <w:numId w:val="0"/>
        </w:numPr>
        <w:ind w:firstLine="0" w:firstLineChars="200"/>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四、逻辑与表达：适用于个案的具体范式。</w:t>
      </w:r>
    </w:p>
    <w:p>
      <w:pPr>
        <w:numPr>
          <w:ilvl w:val="0"/>
          <w:numId w:val="0"/>
        </w:numPr>
        <w:ind w:firstLine="0" w:firstLineChars="200"/>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三读三审的司法审查法是基于规范性文件的特点及法律法规的构成要素，以及其相互之间的应然关系而完成的理论总结，是否真正适用于个案，必须进行必要的实践检验，这里以一个具体案件为例进行检验。</w:t>
      </w:r>
    </w:p>
    <w:p>
      <w:pPr>
        <w:numPr>
          <w:ilvl w:val="0"/>
          <w:numId w:val="10"/>
        </w:numPr>
        <w:ind w:firstLine="0" w:firstLineChars="200"/>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实例。陈某居住B县县城，一家四人，2015年11月，陈某在A县城燃气公司交纳家用燃气费时，发现每月一家被燃气公司代扣垃圾排放费6.5元，经查，2004年1月B县人民政府制定了《关于征收城市生活垃圾处置费的通知》,主要内容为：对县城40公里范围的居民、机关、企事业单位征收城市生活垃圾处置费，征收标准“（一）城镇居民：6.5元/户.月（二）暂停人口：2元/户.月（三）国家机关企事业单位（包括各类学校和社会团体）；2元/人.月；按上年末实际在册职工（含临时工、合同工、留聘人员）人数计算……”，对此陈某认为B县人民政府的这个规范性文件违法，起诉到A市第三中级法院，</w:t>
      </w:r>
      <w:r>
        <w:rPr>
          <w:rStyle w:val="4"/>
          <w:rFonts w:hint="eastAsia" w:asciiTheme="majorEastAsia" w:hAnsiTheme="majorEastAsia" w:eastAsiaTheme="majorEastAsia" w:cstheme="majorEastAsia"/>
          <w:sz w:val="28"/>
          <w:szCs w:val="28"/>
          <w:lang w:val="en-US" w:eastAsia="zh-CN"/>
        </w:rPr>
        <w:t>[</w:t>
      </w:r>
      <w:r>
        <w:rPr>
          <w:rStyle w:val="4"/>
          <w:rFonts w:hint="eastAsia" w:asciiTheme="majorEastAsia" w:hAnsiTheme="majorEastAsia" w:eastAsiaTheme="majorEastAsia" w:cstheme="majorEastAsia"/>
          <w:sz w:val="28"/>
          <w:szCs w:val="28"/>
          <w:lang w:val="en-US" w:eastAsia="zh-CN"/>
        </w:rPr>
        <w:footnoteReference w:id="13"/>
      </w:r>
      <w:r>
        <w:rPr>
          <w:rStyle w:val="4"/>
          <w:rFonts w:hint="eastAsia" w:asciiTheme="majorEastAsia" w:hAnsiTheme="majorEastAsia" w:eastAsiaTheme="majorEastAsia" w:cstheme="majorEastAsia"/>
          <w:sz w:val="28"/>
          <w:szCs w:val="28"/>
          <w:lang w:val="en-US" w:eastAsia="zh-CN"/>
        </w:rPr>
        <w:t>]</w:t>
      </w:r>
      <w:r>
        <w:rPr>
          <w:rFonts w:hint="eastAsia" w:asciiTheme="majorEastAsia" w:hAnsiTheme="majorEastAsia" w:eastAsiaTheme="majorEastAsia" w:cstheme="majorEastAsia"/>
          <w:sz w:val="28"/>
          <w:szCs w:val="28"/>
          <w:lang w:val="en-US" w:eastAsia="zh-CN"/>
        </w:rPr>
        <w:t>请求确认《B县人民政府关于征收城市生活垃圾处置费的通知》无效；退还已被扣缴的费用392元。</w:t>
      </w:r>
    </w:p>
    <w:p>
      <w:pPr>
        <w:numPr>
          <w:ilvl w:val="0"/>
          <w:numId w:val="10"/>
        </w:numPr>
        <w:spacing w:line="360" w:lineRule="auto"/>
        <w:ind w:firstLine="560" w:firstLineChars="200"/>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用三读法确定文件中的规范并拟制判断的准据法体系。首先通过审读《B县人民政府关于征收城市生活垃圾处置费的通知》的全文就可以清理出具有规范属性的内容；再次通过对规范进行性质归类分析，并结合导语可以发现其上位的相关法律法规与规章；其次按照法的效力由低到高进行整理就构成了一个准据法判断体系。</w:t>
      </w:r>
    </w:p>
    <w:p>
      <w:pPr>
        <w:widowControl w:val="0"/>
        <w:numPr>
          <w:ilvl w:val="0"/>
          <w:numId w:val="0"/>
        </w:numPr>
        <w:jc w:val="both"/>
        <w:rPr>
          <w:rFonts w:hint="eastAsia" w:asciiTheme="majorEastAsia" w:hAnsiTheme="majorEastAsia" w:eastAsiaTheme="majorEastAsia" w:cstheme="majorEastAsia"/>
          <w:sz w:val="28"/>
          <w:szCs w:val="28"/>
          <w:lang w:val="en-US" w:eastAsia="zh-CN"/>
        </w:rPr>
      </w:pPr>
    </w:p>
    <w:p>
      <w:pPr>
        <w:widowControl w:val="0"/>
        <w:numPr>
          <w:ilvl w:val="0"/>
          <w:numId w:val="0"/>
        </w:numPr>
        <w:jc w:val="both"/>
        <w:rPr>
          <w:rFonts w:hint="eastAsia" w:asciiTheme="majorEastAsia" w:hAnsiTheme="majorEastAsia" w:eastAsiaTheme="majorEastAsia" w:cstheme="majorEastAsia"/>
          <w:sz w:val="28"/>
          <w:szCs w:val="28"/>
          <w:lang w:val="en-US" w:eastAsia="zh-CN"/>
        </w:rPr>
      </w:pPr>
    </w:p>
    <w:tbl>
      <w:tblPr>
        <w:tblStyle w:val="6"/>
        <w:tblW w:w="82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0"/>
        <w:gridCol w:w="1283"/>
        <w:gridCol w:w="2936"/>
        <w:gridCol w:w="2096"/>
        <w:gridCol w:w="2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trPr>
        <w:tc>
          <w:tcPr>
            <w:tcW w:w="1740" w:type="dxa"/>
            <w:vMerge w:val="restart"/>
          </w:tcPr>
          <w:p>
            <w:pPr>
              <w:numPr>
                <w:ilvl w:val="0"/>
                <w:numId w:val="0"/>
              </w:numPr>
              <w:rPr>
                <w:rFonts w:hint="eastAsia" w:asciiTheme="majorEastAsia" w:hAnsiTheme="majorEastAsia" w:eastAsiaTheme="majorEastAsia" w:cstheme="majorEastAsia"/>
                <w:sz w:val="28"/>
                <w:szCs w:val="28"/>
                <w:vertAlign w:val="baseline"/>
                <w:lang w:val="en-US" w:eastAsia="zh-CN"/>
              </w:rPr>
            </w:pPr>
            <w:r>
              <w:rPr>
                <w:rFonts w:hint="eastAsia" w:asciiTheme="majorEastAsia" w:hAnsiTheme="majorEastAsia" w:eastAsiaTheme="majorEastAsia" w:cstheme="majorEastAsia"/>
                <w:sz w:val="28"/>
                <w:szCs w:val="28"/>
                <w:vertAlign w:val="baseline"/>
                <w:lang w:val="en-US" w:eastAsia="zh-CN"/>
              </w:rPr>
              <w:t>文件中的主要内容</w:t>
            </w:r>
          </w:p>
        </w:tc>
        <w:tc>
          <w:tcPr>
            <w:tcW w:w="1283" w:type="dxa"/>
            <w:vMerge w:val="restart"/>
          </w:tcPr>
          <w:p>
            <w:pPr>
              <w:numPr>
                <w:ilvl w:val="0"/>
                <w:numId w:val="0"/>
              </w:numPr>
              <w:rPr>
                <w:rFonts w:hint="eastAsia" w:asciiTheme="majorEastAsia" w:hAnsiTheme="majorEastAsia" w:eastAsiaTheme="majorEastAsia" w:cstheme="majorEastAsia"/>
                <w:sz w:val="28"/>
                <w:szCs w:val="28"/>
                <w:vertAlign w:val="baseline"/>
                <w:lang w:val="en-US" w:eastAsia="zh-CN"/>
              </w:rPr>
            </w:pPr>
            <w:r>
              <w:rPr>
                <w:rFonts w:hint="eastAsia" w:asciiTheme="majorEastAsia" w:hAnsiTheme="majorEastAsia" w:eastAsiaTheme="majorEastAsia" w:cstheme="majorEastAsia"/>
                <w:sz w:val="28"/>
                <w:szCs w:val="28"/>
                <w:vertAlign w:val="baseline"/>
                <w:lang w:val="en-US" w:eastAsia="zh-CN"/>
              </w:rPr>
              <w:t>文件中的规范及属性</w:t>
            </w:r>
          </w:p>
        </w:tc>
        <w:tc>
          <w:tcPr>
            <w:tcW w:w="5032" w:type="dxa"/>
            <w:gridSpan w:val="2"/>
          </w:tcPr>
          <w:p>
            <w:pPr>
              <w:numPr>
                <w:ilvl w:val="0"/>
                <w:numId w:val="0"/>
              </w:numPr>
              <w:rPr>
                <w:rFonts w:hint="eastAsia" w:asciiTheme="majorEastAsia" w:hAnsiTheme="majorEastAsia" w:eastAsiaTheme="majorEastAsia" w:cstheme="majorEastAsia"/>
                <w:sz w:val="28"/>
                <w:szCs w:val="28"/>
                <w:vertAlign w:val="baseline"/>
                <w:lang w:val="en-US" w:eastAsia="zh-CN"/>
              </w:rPr>
            </w:pPr>
            <w:r>
              <w:rPr>
                <w:rFonts w:hint="eastAsia" w:asciiTheme="majorEastAsia" w:hAnsiTheme="majorEastAsia" w:eastAsiaTheme="majorEastAsia" w:cstheme="majorEastAsia"/>
                <w:sz w:val="28"/>
                <w:szCs w:val="28"/>
                <w:vertAlign w:val="baseline"/>
                <w:lang w:val="en-US" w:eastAsia="zh-CN"/>
              </w:rPr>
              <w:t xml:space="preserve">     拟定的准据法判断体系</w:t>
            </w:r>
          </w:p>
        </w:tc>
        <w:tc>
          <w:tcPr>
            <w:tcW w:w="236" w:type="dxa"/>
            <w:vMerge w:val="restart"/>
            <w:tcBorders>
              <w:top w:val="nil"/>
              <w:bottom w:val="nil"/>
              <w:right w:val="nil"/>
            </w:tcBorders>
          </w:tcPr>
          <w:p>
            <w:pPr>
              <w:numPr>
                <w:ilvl w:val="0"/>
                <w:numId w:val="0"/>
              </w:numPr>
              <w:rPr>
                <w:rFonts w:hint="eastAsia" w:asciiTheme="majorEastAsia" w:hAnsiTheme="majorEastAsia" w:eastAsiaTheme="majorEastAsia" w:cstheme="majorEastAsia"/>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740" w:type="dxa"/>
            <w:vMerge w:val="continue"/>
          </w:tcPr>
          <w:p>
            <w:pPr>
              <w:numPr>
                <w:ilvl w:val="0"/>
                <w:numId w:val="0"/>
              </w:numPr>
              <w:rPr>
                <w:rFonts w:hint="eastAsia" w:asciiTheme="majorEastAsia" w:hAnsiTheme="majorEastAsia" w:eastAsiaTheme="majorEastAsia" w:cstheme="majorEastAsia"/>
                <w:sz w:val="28"/>
                <w:szCs w:val="28"/>
                <w:vertAlign w:val="baseline"/>
                <w:lang w:val="en-US" w:eastAsia="zh-CN"/>
              </w:rPr>
            </w:pPr>
          </w:p>
        </w:tc>
        <w:tc>
          <w:tcPr>
            <w:tcW w:w="1283" w:type="dxa"/>
            <w:vMerge w:val="continue"/>
          </w:tcPr>
          <w:p>
            <w:pPr>
              <w:numPr>
                <w:ilvl w:val="0"/>
                <w:numId w:val="0"/>
              </w:numPr>
              <w:rPr>
                <w:rFonts w:hint="eastAsia" w:asciiTheme="majorEastAsia" w:hAnsiTheme="majorEastAsia" w:eastAsiaTheme="majorEastAsia" w:cstheme="majorEastAsia"/>
                <w:sz w:val="28"/>
                <w:szCs w:val="28"/>
                <w:vertAlign w:val="baseline"/>
                <w:lang w:val="en-US" w:eastAsia="zh-CN"/>
              </w:rPr>
            </w:pPr>
          </w:p>
        </w:tc>
        <w:tc>
          <w:tcPr>
            <w:tcW w:w="2936" w:type="dxa"/>
          </w:tcPr>
          <w:p>
            <w:pPr>
              <w:numPr>
                <w:ilvl w:val="0"/>
                <w:numId w:val="0"/>
              </w:numPr>
              <w:rPr>
                <w:rFonts w:hint="eastAsia" w:asciiTheme="majorEastAsia" w:hAnsiTheme="majorEastAsia" w:eastAsiaTheme="majorEastAsia" w:cstheme="majorEastAsia"/>
                <w:sz w:val="28"/>
                <w:szCs w:val="28"/>
                <w:vertAlign w:val="baseline"/>
                <w:lang w:val="en-US" w:eastAsia="zh-CN"/>
              </w:rPr>
            </w:pPr>
            <w:r>
              <w:rPr>
                <w:rFonts w:hint="eastAsia" w:asciiTheme="majorEastAsia" w:hAnsiTheme="majorEastAsia" w:eastAsiaTheme="majorEastAsia" w:cstheme="majorEastAsia"/>
                <w:sz w:val="28"/>
                <w:szCs w:val="28"/>
                <w:vertAlign w:val="baseline"/>
                <w:lang w:val="en-US" w:eastAsia="zh-CN"/>
              </w:rPr>
              <w:t>导语引出的法</w:t>
            </w:r>
          </w:p>
        </w:tc>
        <w:tc>
          <w:tcPr>
            <w:tcW w:w="2096" w:type="dxa"/>
          </w:tcPr>
          <w:p>
            <w:pPr>
              <w:numPr>
                <w:ilvl w:val="0"/>
                <w:numId w:val="0"/>
              </w:numPr>
              <w:rPr>
                <w:rFonts w:hint="eastAsia" w:asciiTheme="majorEastAsia" w:hAnsiTheme="majorEastAsia" w:eastAsiaTheme="majorEastAsia" w:cstheme="majorEastAsia"/>
                <w:sz w:val="28"/>
                <w:szCs w:val="28"/>
                <w:vertAlign w:val="baseline"/>
                <w:lang w:val="en-US" w:eastAsia="zh-CN"/>
              </w:rPr>
            </w:pPr>
            <w:r>
              <w:rPr>
                <w:rFonts w:hint="eastAsia" w:asciiTheme="majorEastAsia" w:hAnsiTheme="majorEastAsia" w:eastAsiaTheme="majorEastAsia" w:cstheme="majorEastAsia"/>
                <w:sz w:val="28"/>
                <w:szCs w:val="28"/>
                <w:vertAlign w:val="baseline"/>
                <w:lang w:val="en-US" w:eastAsia="zh-CN"/>
              </w:rPr>
              <w:t>规范属性引出的法</w:t>
            </w:r>
          </w:p>
        </w:tc>
        <w:tc>
          <w:tcPr>
            <w:tcW w:w="236" w:type="dxa"/>
            <w:vMerge w:val="continue"/>
            <w:tcBorders>
              <w:bottom w:val="nil"/>
              <w:right w:val="nil"/>
            </w:tcBorders>
          </w:tcPr>
          <w:p>
            <w:pPr>
              <w:numPr>
                <w:ilvl w:val="0"/>
                <w:numId w:val="0"/>
              </w:numPr>
              <w:rPr>
                <w:rFonts w:hint="eastAsia" w:asciiTheme="majorEastAsia" w:hAnsiTheme="majorEastAsia" w:eastAsiaTheme="majorEastAsia" w:cstheme="majorEastAsia"/>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1740" w:type="dxa"/>
          </w:tcPr>
          <w:p>
            <w:pPr>
              <w:rPr>
                <w:rFonts w:hint="eastAsia" w:ascii="楷体_GB2312" w:hAnsi="楷体_GB2312" w:eastAsia="楷体_GB2312" w:cs="楷体_GB2312"/>
                <w:sz w:val="21"/>
                <w:szCs w:val="21"/>
                <w:lang w:eastAsia="zh-CN"/>
              </w:rPr>
            </w:pPr>
          </w:p>
          <w:p>
            <w:pPr>
              <w:ind w:firstLine="0" w:firstLineChars="200"/>
              <w:rPr>
                <w:rFonts w:hint="eastAsia" w:ascii="楷体_GB2312" w:hAnsi="楷体_GB2312" w:eastAsia="楷体_GB2312" w:cs="楷体_GB2312"/>
                <w:sz w:val="21"/>
                <w:szCs w:val="21"/>
                <w:lang w:eastAsia="zh-CN"/>
              </w:rPr>
            </w:pPr>
            <w:r>
              <w:rPr>
                <w:rFonts w:hint="eastAsia" w:ascii="楷体_GB2312" w:hAnsi="楷体_GB2312" w:eastAsia="楷体_GB2312" w:cs="楷体_GB2312"/>
                <w:sz w:val="21"/>
                <w:szCs w:val="21"/>
                <w:lang w:val="en-US" w:eastAsia="zh-CN"/>
              </w:rPr>
              <w:t xml:space="preserve"> </w:t>
            </w:r>
            <w:r>
              <w:rPr>
                <w:rFonts w:hint="eastAsia" w:ascii="楷体_GB2312" w:hAnsi="楷体_GB2312" w:eastAsia="楷体_GB2312" w:cs="楷体_GB2312"/>
                <w:sz w:val="21"/>
                <w:szCs w:val="21"/>
                <w:lang w:eastAsia="zh-CN"/>
              </w:rPr>
              <w:t>为了加强城市生活垃圾无害化处理，根据《</w:t>
            </w:r>
            <w:r>
              <w:rPr>
                <w:rFonts w:hint="eastAsia" w:ascii="楷体_GB2312" w:hAnsi="楷体_GB2312" w:eastAsia="楷体_GB2312" w:cs="楷体_GB2312"/>
                <w:sz w:val="21"/>
                <w:szCs w:val="21"/>
                <w:lang w:val="en-US" w:eastAsia="zh-CN"/>
              </w:rPr>
              <w:t>A</w:t>
            </w:r>
            <w:r>
              <w:rPr>
                <w:rFonts w:hint="eastAsia" w:ascii="楷体_GB2312" w:hAnsi="楷体_GB2312" w:eastAsia="楷体_GB2312" w:cs="楷体_GB2312"/>
                <w:sz w:val="21"/>
                <w:szCs w:val="21"/>
                <w:lang w:eastAsia="zh-CN"/>
              </w:rPr>
              <w:t>市环境卫生管理条例》、《</w:t>
            </w:r>
            <w:r>
              <w:rPr>
                <w:rFonts w:hint="eastAsia" w:ascii="楷体_GB2312" w:hAnsi="楷体_GB2312" w:eastAsia="楷体_GB2312" w:cs="楷体_GB2312"/>
                <w:sz w:val="21"/>
                <w:szCs w:val="21"/>
                <w:lang w:val="en-US" w:eastAsia="zh-CN"/>
              </w:rPr>
              <w:t>A</w:t>
            </w:r>
            <w:r>
              <w:rPr>
                <w:rFonts w:hint="eastAsia" w:ascii="楷体_GB2312" w:hAnsi="楷体_GB2312" w:eastAsia="楷体_GB2312" w:cs="楷体_GB2312"/>
                <w:sz w:val="21"/>
                <w:szCs w:val="21"/>
                <w:lang w:eastAsia="zh-CN"/>
              </w:rPr>
              <w:t>市城市生活垃圾处置费征收管理办法》等有关法律法规的规定和</w:t>
            </w:r>
            <w:r>
              <w:rPr>
                <w:rFonts w:hint="eastAsia" w:ascii="楷体_GB2312" w:hAnsi="楷体_GB2312" w:eastAsia="楷体_GB2312" w:cs="楷体_GB2312"/>
                <w:sz w:val="21"/>
                <w:szCs w:val="21"/>
                <w:lang w:val="en-US" w:eastAsia="zh-CN"/>
              </w:rPr>
              <w:t>A</w:t>
            </w:r>
            <w:r>
              <w:rPr>
                <w:rFonts w:hint="eastAsia" w:ascii="楷体_GB2312" w:hAnsi="楷体_GB2312" w:eastAsia="楷体_GB2312" w:cs="楷体_GB2312"/>
                <w:sz w:val="21"/>
                <w:szCs w:val="21"/>
                <w:lang w:eastAsia="zh-CN"/>
              </w:rPr>
              <w:t>市物价局、</w:t>
            </w:r>
            <w:r>
              <w:rPr>
                <w:rFonts w:hint="eastAsia" w:ascii="楷体_GB2312" w:hAnsi="楷体_GB2312" w:eastAsia="楷体_GB2312" w:cs="楷体_GB2312"/>
                <w:sz w:val="21"/>
                <w:szCs w:val="21"/>
                <w:lang w:val="en-US" w:eastAsia="zh-CN"/>
              </w:rPr>
              <w:t>A</w:t>
            </w:r>
            <w:r>
              <w:rPr>
                <w:rFonts w:hint="eastAsia" w:ascii="楷体_GB2312" w:hAnsi="楷体_GB2312" w:eastAsia="楷体_GB2312" w:cs="楷体_GB2312"/>
                <w:sz w:val="21"/>
                <w:szCs w:val="21"/>
                <w:lang w:eastAsia="zh-CN"/>
              </w:rPr>
              <w:t>市财政局《关于</w:t>
            </w:r>
            <w:r>
              <w:rPr>
                <w:rFonts w:hint="eastAsia" w:ascii="楷体_GB2312" w:hAnsi="楷体_GB2312" w:eastAsia="楷体_GB2312" w:cs="楷体_GB2312"/>
                <w:sz w:val="21"/>
                <w:szCs w:val="21"/>
                <w:lang w:val="en-US" w:eastAsia="zh-CN"/>
              </w:rPr>
              <w:t>A</w:t>
            </w:r>
            <w:r>
              <w:rPr>
                <w:rFonts w:hint="eastAsia" w:ascii="楷体_GB2312" w:hAnsi="楷体_GB2312" w:eastAsia="楷体_GB2312" w:cs="楷体_GB2312"/>
                <w:sz w:val="21"/>
                <w:szCs w:val="21"/>
                <w:lang w:eastAsia="zh-CN"/>
              </w:rPr>
              <w:t>生活垃圾处置收费标准的通知》结合我县实际，现将我县城市生活垃圾处置费有关问题通知如下：</w:t>
            </w:r>
          </w:p>
          <w:p>
            <w:pPr>
              <w:rPr>
                <w:rFonts w:hint="eastAsia" w:ascii="楷体_GB2312" w:hAnsi="楷体_GB2312" w:eastAsia="楷体_GB2312" w:cs="楷体_GB2312"/>
                <w:sz w:val="21"/>
                <w:szCs w:val="21"/>
                <w:lang w:eastAsia="zh-CN"/>
              </w:rPr>
            </w:pPr>
          </w:p>
          <w:p>
            <w:pPr>
              <w:ind w:firstLine="0" w:firstLineChars="200"/>
              <w:rPr>
                <w:rFonts w:hint="eastAsia" w:ascii="楷体_GB2312" w:hAnsi="楷体_GB2312" w:eastAsia="楷体_GB2312" w:cs="楷体_GB2312"/>
                <w:sz w:val="21"/>
                <w:szCs w:val="21"/>
                <w:lang w:eastAsia="zh-CN"/>
              </w:rPr>
            </w:pPr>
            <w:r>
              <w:rPr>
                <w:rFonts w:hint="eastAsia" w:ascii="楷体_GB2312" w:hAnsi="楷体_GB2312" w:eastAsia="楷体_GB2312" w:cs="楷体_GB2312"/>
                <w:sz w:val="21"/>
                <w:szCs w:val="21"/>
                <w:lang w:eastAsia="zh-CN"/>
              </w:rPr>
              <w:t>！</w:t>
            </w:r>
            <w:r>
              <w:rPr>
                <w:rFonts w:hint="eastAsia" w:ascii="楷体_GB2312" w:hAnsi="楷体_GB2312" w:eastAsia="楷体_GB2312" w:cs="楷体_GB2312"/>
                <w:sz w:val="21"/>
                <w:szCs w:val="21"/>
              </w:rPr>
              <w:t>县城规划区范围内的国家机关、企事业单位、个体经营者、社会团体、城市居民和暂住人口等产生生活垃圾的单位和个人</w:t>
            </w:r>
            <w:r>
              <w:rPr>
                <w:rFonts w:hint="eastAsia" w:ascii="楷体_GB2312" w:hAnsi="楷体_GB2312" w:eastAsia="楷体_GB2312" w:cs="楷体_GB2312"/>
                <w:sz w:val="21"/>
                <w:szCs w:val="21"/>
                <w:lang w:eastAsia="zh-CN"/>
              </w:rPr>
              <w:t>应当缴纳</w:t>
            </w:r>
            <w:r>
              <w:rPr>
                <w:rFonts w:hint="eastAsia" w:ascii="楷体_GB2312" w:hAnsi="楷体_GB2312" w:eastAsia="楷体_GB2312" w:cs="楷体_GB2312"/>
                <w:sz w:val="21"/>
                <w:szCs w:val="21"/>
              </w:rPr>
              <w:t>生活垃圾处置费</w:t>
            </w:r>
            <w:r>
              <w:rPr>
                <w:rFonts w:hint="eastAsia" w:ascii="楷体_GB2312" w:hAnsi="楷体_GB2312" w:eastAsia="楷体_GB2312" w:cs="楷体_GB2312"/>
                <w:sz w:val="21"/>
                <w:szCs w:val="21"/>
                <w:lang w:eastAsia="zh-CN"/>
              </w:rPr>
              <w:t>。</w:t>
            </w:r>
          </w:p>
          <w:p>
            <w:pPr>
              <w:ind w:firstLine="0" w:firstLineChars="200"/>
              <w:rPr>
                <w:rFonts w:hint="eastAsia" w:ascii="楷体_GB2312" w:hAnsi="楷体_GB2312" w:eastAsia="楷体_GB2312" w:cs="楷体_GB2312"/>
                <w:sz w:val="21"/>
                <w:szCs w:val="21"/>
              </w:rPr>
            </w:pPr>
            <w:r>
              <w:rPr>
                <w:rFonts w:hint="eastAsia" w:ascii="楷体_GB2312" w:hAnsi="楷体_GB2312" w:eastAsia="楷体_GB2312" w:cs="楷体_GB2312"/>
                <w:sz w:val="21"/>
                <w:szCs w:val="21"/>
                <w:lang w:val="en-US" w:eastAsia="zh-CN"/>
              </w:rPr>
              <w:t>2</w:t>
            </w:r>
            <w:r>
              <w:rPr>
                <w:rFonts w:hint="eastAsia" w:ascii="楷体_GB2312" w:hAnsi="楷体_GB2312" w:eastAsia="楷体_GB2312" w:cs="楷体_GB2312"/>
                <w:sz w:val="21"/>
                <w:szCs w:val="21"/>
              </w:rPr>
              <w:t>征收标准</w:t>
            </w:r>
          </w:p>
          <w:p>
            <w:pPr>
              <w:ind w:firstLine="0" w:firstLineChars="200"/>
              <w:rPr>
                <w:rFonts w:hint="eastAsia" w:ascii="楷体_GB2312" w:hAnsi="楷体_GB2312" w:eastAsia="楷体_GB2312" w:cs="楷体_GB2312"/>
                <w:sz w:val="21"/>
                <w:szCs w:val="21"/>
              </w:rPr>
            </w:pPr>
            <w:r>
              <w:rPr>
                <w:rFonts w:hint="eastAsia" w:ascii="楷体_GB2312" w:hAnsi="楷体_GB2312" w:eastAsia="楷体_GB2312" w:cs="楷体_GB2312"/>
                <w:sz w:val="21"/>
                <w:szCs w:val="21"/>
              </w:rPr>
              <w:t>（一）城镇居民：6.5元/户.月</w:t>
            </w:r>
          </w:p>
          <w:p>
            <w:pPr>
              <w:ind w:firstLine="0" w:firstLineChars="200"/>
              <w:rPr>
                <w:rFonts w:hint="eastAsia" w:ascii="楷体_GB2312" w:hAnsi="楷体_GB2312" w:eastAsia="楷体_GB2312" w:cs="楷体_GB2312"/>
                <w:sz w:val="21"/>
                <w:szCs w:val="21"/>
              </w:rPr>
            </w:pPr>
            <w:r>
              <w:rPr>
                <w:rFonts w:hint="eastAsia" w:ascii="楷体_GB2312" w:hAnsi="楷体_GB2312" w:eastAsia="楷体_GB2312" w:cs="楷体_GB2312"/>
                <w:sz w:val="21"/>
                <w:szCs w:val="21"/>
              </w:rPr>
              <w:t>（二）暂停人口：2元/户.月</w:t>
            </w:r>
          </w:p>
          <w:p>
            <w:pPr>
              <w:ind w:firstLine="0" w:firstLineChars="200"/>
              <w:rPr>
                <w:rFonts w:hint="eastAsia" w:ascii="楷体_GB2312" w:hAnsi="楷体_GB2312" w:eastAsia="楷体_GB2312" w:cs="楷体_GB2312"/>
                <w:sz w:val="21"/>
                <w:szCs w:val="21"/>
              </w:rPr>
            </w:pPr>
            <w:r>
              <w:rPr>
                <w:rFonts w:hint="eastAsia" w:ascii="楷体_GB2312" w:hAnsi="楷体_GB2312" w:eastAsia="楷体_GB2312" w:cs="楷体_GB2312"/>
                <w:sz w:val="21"/>
                <w:szCs w:val="21"/>
              </w:rPr>
              <w:t>（三）国家机关企事业单位（包括各类学校和社会团体）；2元/人.月；按上年末实际在册职工（含临时工、合同工、留聘人员）人数计算。</w:t>
            </w:r>
          </w:p>
          <w:p>
            <w:pPr>
              <w:ind w:firstLine="0" w:firstLineChars="200"/>
              <w:rPr>
                <w:rFonts w:hint="eastAsia" w:ascii="楷体_GB2312" w:hAnsi="楷体_GB2312" w:eastAsia="楷体_GB2312" w:cs="楷体_GB2312"/>
                <w:sz w:val="21"/>
                <w:szCs w:val="21"/>
                <w:lang w:val="en-US" w:eastAsia="zh-CN"/>
              </w:rPr>
            </w:pPr>
            <w:r>
              <w:rPr>
                <w:rFonts w:hint="eastAsia" w:ascii="楷体_GB2312" w:hAnsi="楷体_GB2312" w:eastAsia="楷体_GB2312" w:cs="楷体_GB2312"/>
                <w:sz w:val="21"/>
                <w:szCs w:val="21"/>
                <w:lang w:val="en-US" w:eastAsia="zh-CN"/>
              </w:rPr>
              <w:t>……</w:t>
            </w:r>
          </w:p>
          <w:p>
            <w:pPr>
              <w:ind w:firstLine="0" w:firstLineChars="200"/>
              <w:rPr>
                <w:rFonts w:hint="eastAsia" w:ascii="楷体_GB2312" w:hAnsi="楷体_GB2312" w:eastAsia="楷体_GB2312" w:cs="楷体_GB2312"/>
                <w:sz w:val="21"/>
                <w:szCs w:val="21"/>
              </w:rPr>
            </w:pPr>
            <w:r>
              <w:rPr>
                <w:rFonts w:hint="eastAsia" w:ascii="楷体_GB2312" w:hAnsi="楷体_GB2312" w:eastAsia="楷体_GB2312" w:cs="楷体_GB2312"/>
                <w:sz w:val="21"/>
                <w:szCs w:val="21"/>
                <w:lang w:val="en-US" w:eastAsia="zh-CN"/>
              </w:rPr>
              <w:t>3</w:t>
            </w:r>
            <w:r>
              <w:rPr>
                <w:rFonts w:hint="eastAsia" w:ascii="楷体_GB2312" w:hAnsi="楷体_GB2312" w:eastAsia="楷体_GB2312" w:cs="楷体_GB2312"/>
                <w:sz w:val="21"/>
                <w:szCs w:val="21"/>
              </w:rPr>
              <w:t>不缴纳或弄虚作假少缴纳城市生活垃圾处置费的，县城市环境卫生管理部门可对个人处50元的罚款，对单位处1000元以上5000元以下的罚款，并可以自滞纳费款发生之日起，按日加收滞纳款万分之五的滞纳金。</w:t>
            </w:r>
          </w:p>
          <w:p>
            <w:pPr>
              <w:ind w:firstLine="0" w:firstLineChars="200"/>
              <w:rPr>
                <w:rFonts w:hint="eastAsia" w:ascii="楷体_GB2312" w:hAnsi="楷体_GB2312" w:eastAsia="楷体_GB2312" w:cs="楷体_GB2312"/>
                <w:sz w:val="21"/>
                <w:szCs w:val="21"/>
                <w:lang w:eastAsia="zh-CN"/>
              </w:rPr>
            </w:pPr>
            <w:r>
              <w:rPr>
                <w:rFonts w:hint="eastAsia" w:ascii="楷体_GB2312" w:hAnsi="楷体_GB2312" w:eastAsia="楷体_GB2312" w:cs="楷体_GB2312"/>
                <w:sz w:val="21"/>
                <w:szCs w:val="21"/>
                <w:lang w:eastAsia="zh-CN"/>
              </w:rPr>
              <w:t>说明：所缴纳费用不包括居民清洁费和居住小区物业管理企业收取的清洁费。缴纳方式由</w:t>
            </w:r>
            <w:r>
              <w:rPr>
                <w:rFonts w:hint="eastAsia" w:ascii="楷体_GB2312" w:hAnsi="楷体_GB2312" w:eastAsia="楷体_GB2312" w:cs="楷体_GB2312"/>
                <w:sz w:val="21"/>
                <w:szCs w:val="21"/>
                <w:lang w:val="en-US" w:eastAsia="zh-CN"/>
              </w:rPr>
              <w:t>B县</w:t>
            </w:r>
            <w:r>
              <w:rPr>
                <w:rFonts w:hint="eastAsia" w:ascii="楷体_GB2312" w:hAnsi="楷体_GB2312" w:eastAsia="楷体_GB2312" w:cs="楷体_GB2312"/>
                <w:sz w:val="21"/>
                <w:szCs w:val="21"/>
                <w:lang w:eastAsia="zh-CN"/>
              </w:rPr>
              <w:t>燃气代扣。</w:t>
            </w:r>
          </w:p>
          <w:p>
            <w:pPr>
              <w:rPr>
                <w:rFonts w:hint="eastAsia" w:ascii="楷体_GB2312" w:hAnsi="楷体_GB2312" w:eastAsia="楷体_GB2312" w:cs="楷体_GB2312"/>
                <w:sz w:val="21"/>
                <w:szCs w:val="21"/>
                <w:lang w:val="en-US" w:eastAsia="zh-CN"/>
              </w:rPr>
            </w:pPr>
          </w:p>
          <w:p>
            <w:pPr>
              <w:numPr>
                <w:ilvl w:val="0"/>
                <w:numId w:val="0"/>
              </w:numPr>
              <w:rPr>
                <w:rFonts w:hint="eastAsia" w:ascii="楷体_GB2312" w:hAnsi="楷体_GB2312" w:eastAsia="楷体_GB2312" w:cs="楷体_GB2312"/>
                <w:sz w:val="21"/>
                <w:szCs w:val="21"/>
                <w:vertAlign w:val="baseline"/>
                <w:lang w:val="en-US" w:eastAsia="zh-CN"/>
              </w:rPr>
            </w:pPr>
          </w:p>
        </w:tc>
        <w:tc>
          <w:tcPr>
            <w:tcW w:w="1283" w:type="dxa"/>
          </w:tcPr>
          <w:p>
            <w:pPr>
              <w:numPr>
                <w:ilvl w:val="0"/>
                <w:numId w:val="0"/>
              </w:numPr>
              <w:rPr>
                <w:rFonts w:hint="eastAsia" w:ascii="楷体_GB2312" w:hAnsi="楷体_GB2312" w:eastAsia="楷体_GB2312" w:cs="楷体_GB2312"/>
                <w:sz w:val="21"/>
                <w:szCs w:val="21"/>
                <w:vertAlign w:val="baseline"/>
                <w:lang w:val="en-US" w:eastAsia="zh-CN"/>
              </w:rPr>
            </w:pPr>
          </w:p>
          <w:p>
            <w:pPr>
              <w:numPr>
                <w:ilvl w:val="0"/>
                <w:numId w:val="0"/>
              </w:numPr>
              <w:ind w:firstLine="0" w:firstLineChars="200"/>
              <w:rPr>
                <w:rFonts w:hint="eastAsia" w:ascii="楷体_GB2312" w:hAnsi="楷体_GB2312" w:eastAsia="楷体_GB2312" w:cs="楷体_GB2312"/>
                <w:sz w:val="21"/>
                <w:szCs w:val="21"/>
                <w:vertAlign w:val="baseline"/>
                <w:lang w:val="en-US" w:eastAsia="zh-CN"/>
              </w:rPr>
            </w:pPr>
            <w:r>
              <w:rPr>
                <w:rFonts w:hint="eastAsia" w:ascii="楷体_GB2312" w:hAnsi="楷体_GB2312" w:eastAsia="楷体_GB2312" w:cs="楷体_GB2312"/>
                <w:sz w:val="21"/>
                <w:szCs w:val="21"/>
                <w:vertAlign w:val="baseline"/>
                <w:lang w:val="en-US" w:eastAsia="zh-CN"/>
              </w:rPr>
              <w:t xml:space="preserve">   核心规范：B县城规划区内的国家机关、企事业单位、个体经营者、社会团体、城市居民和暂住人口应当缴纳应当按照规定的标准缴纳生活垃圾处置费。</w:t>
            </w:r>
          </w:p>
          <w:p>
            <w:pPr>
              <w:numPr>
                <w:ilvl w:val="0"/>
                <w:numId w:val="0"/>
              </w:numPr>
              <w:ind w:firstLine="0" w:firstLineChars="200"/>
              <w:rPr>
                <w:rFonts w:hint="eastAsia" w:ascii="楷体_GB2312" w:hAnsi="楷体_GB2312" w:eastAsia="楷体_GB2312" w:cs="楷体_GB2312"/>
                <w:sz w:val="21"/>
                <w:szCs w:val="21"/>
                <w:vertAlign w:val="baseline"/>
                <w:lang w:val="en-US" w:eastAsia="zh-CN"/>
              </w:rPr>
            </w:pPr>
            <w:r>
              <w:rPr>
                <w:rFonts w:hint="eastAsia" w:ascii="楷体_GB2312" w:hAnsi="楷体_GB2312" w:eastAsia="楷体_GB2312" w:cs="楷体_GB2312"/>
                <w:sz w:val="21"/>
                <w:szCs w:val="21"/>
                <w:vertAlign w:val="baseline"/>
                <w:lang w:val="en-US" w:eastAsia="zh-CN"/>
              </w:rPr>
              <w:t>标准：（略）</w:t>
            </w:r>
          </w:p>
          <w:p>
            <w:pPr>
              <w:ind w:firstLine="0" w:firstLineChars="200"/>
              <w:rPr>
                <w:rFonts w:hint="eastAsia" w:ascii="楷体_GB2312" w:hAnsi="楷体_GB2312" w:eastAsia="楷体_GB2312" w:cs="楷体_GB2312"/>
                <w:sz w:val="21"/>
                <w:szCs w:val="21"/>
              </w:rPr>
            </w:pPr>
            <w:r>
              <w:rPr>
                <w:rFonts w:hint="eastAsia" w:ascii="楷体_GB2312" w:hAnsi="楷体_GB2312" w:eastAsia="楷体_GB2312" w:cs="楷体_GB2312"/>
                <w:sz w:val="21"/>
                <w:szCs w:val="21"/>
              </w:rPr>
              <w:t>不缴纳或弄虚作假少缴纳城市生活垃圾处置费的，县城市环境卫生管理部门可对个人处50元的罚款，对单位处1000元以上5000元以下的罚款，并可以自滞纳费款发生之日起，按日加收滞纳款万分之五的滞纳金。</w:t>
            </w:r>
          </w:p>
          <w:p>
            <w:pPr>
              <w:numPr>
                <w:ilvl w:val="0"/>
                <w:numId w:val="0"/>
              </w:numPr>
              <w:rPr>
                <w:rFonts w:hint="eastAsia" w:ascii="楷体_GB2312" w:hAnsi="楷体_GB2312" w:eastAsia="楷体_GB2312" w:cs="楷体_GB2312"/>
                <w:sz w:val="21"/>
                <w:szCs w:val="21"/>
                <w:vertAlign w:val="baseline"/>
                <w:lang w:val="en-US" w:eastAsia="zh-CN"/>
              </w:rPr>
            </w:pPr>
          </w:p>
          <w:p>
            <w:pPr>
              <w:numPr>
                <w:ilvl w:val="0"/>
                <w:numId w:val="0"/>
              </w:numPr>
              <w:ind w:firstLine="0" w:firstLineChars="200"/>
              <w:rPr>
                <w:rFonts w:hint="eastAsia" w:ascii="楷体_GB2312" w:hAnsi="楷体_GB2312" w:eastAsia="楷体_GB2312" w:cs="楷体_GB2312"/>
                <w:sz w:val="21"/>
                <w:szCs w:val="21"/>
                <w:vertAlign w:val="baseline"/>
                <w:lang w:val="en-US" w:eastAsia="zh-CN"/>
              </w:rPr>
            </w:pPr>
            <w:r>
              <w:rPr>
                <w:rFonts w:hint="eastAsia" w:ascii="楷体_GB2312" w:hAnsi="楷体_GB2312" w:eastAsia="楷体_GB2312" w:cs="楷体_GB2312"/>
                <w:sz w:val="21"/>
                <w:szCs w:val="21"/>
                <w:vertAlign w:val="baseline"/>
                <w:lang w:val="en-US" w:eastAsia="zh-CN"/>
              </w:rPr>
              <w:t>规范的属性为：涉及公民、法人、其他组织的基本财产权益的义务性规范。</w:t>
            </w:r>
          </w:p>
          <w:p>
            <w:pPr>
              <w:numPr>
                <w:ilvl w:val="0"/>
                <w:numId w:val="0"/>
              </w:numPr>
              <w:ind w:firstLine="0" w:firstLineChars="200"/>
              <w:rPr>
                <w:rFonts w:hint="eastAsia" w:ascii="楷体_GB2312" w:hAnsi="楷体_GB2312" w:eastAsia="楷体_GB2312" w:cs="楷体_GB2312"/>
                <w:sz w:val="21"/>
                <w:szCs w:val="21"/>
                <w:vertAlign w:val="baseline"/>
                <w:lang w:val="en-US" w:eastAsia="zh-CN"/>
              </w:rPr>
            </w:pPr>
            <w:r>
              <w:rPr>
                <w:rFonts w:hint="eastAsia" w:ascii="楷体_GB2312" w:hAnsi="楷体_GB2312" w:eastAsia="楷体_GB2312" w:cs="楷体_GB2312"/>
                <w:sz w:val="21"/>
                <w:szCs w:val="21"/>
                <w:vertAlign w:val="baseline"/>
                <w:lang w:val="en-US" w:eastAsia="zh-CN"/>
              </w:rPr>
              <w:t>行政行为的性质：行政征收。</w:t>
            </w:r>
          </w:p>
          <w:p>
            <w:pPr>
              <w:numPr>
                <w:ilvl w:val="0"/>
                <w:numId w:val="0"/>
              </w:numPr>
              <w:ind w:firstLine="0" w:firstLineChars="200"/>
              <w:rPr>
                <w:rFonts w:hint="eastAsia" w:ascii="楷体_GB2312" w:hAnsi="楷体_GB2312" w:eastAsia="楷体_GB2312" w:cs="楷体_GB2312"/>
                <w:sz w:val="21"/>
                <w:szCs w:val="21"/>
                <w:vertAlign w:val="baseline"/>
                <w:lang w:val="en-US" w:eastAsia="zh-CN"/>
              </w:rPr>
            </w:pPr>
            <w:r>
              <w:rPr>
                <w:rFonts w:hint="eastAsia" w:ascii="楷体_GB2312" w:hAnsi="楷体_GB2312" w:eastAsia="楷体_GB2312" w:cs="楷体_GB2312"/>
                <w:sz w:val="21"/>
                <w:szCs w:val="21"/>
                <w:vertAlign w:val="baseline"/>
                <w:lang w:val="en-US" w:eastAsia="zh-CN"/>
              </w:rPr>
              <w:t>涉及领域：宪法、民法、财税法等。</w:t>
            </w:r>
          </w:p>
          <w:p>
            <w:pPr>
              <w:numPr>
                <w:ilvl w:val="0"/>
                <w:numId w:val="0"/>
              </w:numPr>
              <w:rPr>
                <w:rFonts w:hint="eastAsia" w:ascii="楷体_GB2312" w:hAnsi="楷体_GB2312" w:eastAsia="楷体_GB2312" w:cs="楷体_GB2312"/>
                <w:sz w:val="21"/>
                <w:szCs w:val="21"/>
                <w:vertAlign w:val="baseline"/>
                <w:lang w:val="en-US" w:eastAsia="zh-CN"/>
              </w:rPr>
            </w:pPr>
          </w:p>
        </w:tc>
        <w:tc>
          <w:tcPr>
            <w:tcW w:w="2936" w:type="dxa"/>
            <w:vAlign w:val="top"/>
          </w:tcPr>
          <w:p>
            <w:pPr>
              <w:numPr>
                <w:ilvl w:val="0"/>
                <w:numId w:val="0"/>
              </w:numPr>
              <w:rPr>
                <w:rFonts w:hint="eastAsia" w:ascii="楷体_GB2312" w:hAnsi="楷体_GB2312" w:eastAsia="楷体_GB2312" w:cs="楷体_GB2312"/>
                <w:sz w:val="21"/>
                <w:szCs w:val="21"/>
                <w:vertAlign w:val="baseline"/>
                <w:lang w:val="en-US" w:eastAsia="zh-CN"/>
              </w:rPr>
            </w:pPr>
          </w:p>
          <w:p>
            <w:pPr>
              <w:numPr>
                <w:ilvl w:val="0"/>
                <w:numId w:val="0"/>
              </w:numPr>
              <w:ind w:firstLine="0" w:firstLineChars="200"/>
              <w:rPr>
                <w:rFonts w:hint="eastAsia" w:ascii="楷体_GB2312" w:hAnsi="楷体_GB2312" w:eastAsia="楷体_GB2312" w:cs="楷体_GB2312"/>
                <w:sz w:val="21"/>
                <w:szCs w:val="21"/>
                <w:vertAlign w:val="baseline"/>
                <w:lang w:val="en-US" w:eastAsia="zh-CN"/>
              </w:rPr>
            </w:pPr>
            <w:r>
              <w:rPr>
                <w:rFonts w:hint="eastAsia" w:ascii="楷体_GB2312" w:hAnsi="楷体_GB2312" w:eastAsia="楷体_GB2312" w:cs="楷体_GB2312"/>
                <w:sz w:val="21"/>
                <w:szCs w:val="21"/>
                <w:vertAlign w:val="baseline"/>
                <w:lang w:val="en-US" w:eastAsia="zh-CN"/>
              </w:rPr>
              <w:t>《A市环境卫生管理条例》、《A市城市生活垃圾处置费征收管理办法》等有关法律法规的规定和A市物价局、A市财政局《关于重庆市生活垃圾处置收费标准的通知》</w:t>
            </w:r>
          </w:p>
          <w:p>
            <w:pPr>
              <w:numPr>
                <w:ilvl w:val="0"/>
                <w:numId w:val="0"/>
              </w:numPr>
              <w:rPr>
                <w:rFonts w:hint="eastAsia" w:ascii="楷体_GB2312" w:hAnsi="楷体_GB2312" w:eastAsia="楷体_GB2312" w:cs="楷体_GB2312"/>
                <w:sz w:val="21"/>
                <w:szCs w:val="21"/>
                <w:vertAlign w:val="baseline"/>
                <w:lang w:val="en-US" w:eastAsia="zh-CN"/>
              </w:rPr>
            </w:pPr>
          </w:p>
          <w:p>
            <w:pPr>
              <w:numPr>
                <w:ilvl w:val="0"/>
                <w:numId w:val="0"/>
              </w:numPr>
              <w:ind w:firstLine="0" w:firstLineChars="200"/>
              <w:rPr>
                <w:rFonts w:hint="eastAsia" w:ascii="楷体_GB2312" w:hAnsi="楷体_GB2312" w:eastAsia="楷体_GB2312" w:cs="楷体_GB2312"/>
                <w:sz w:val="21"/>
                <w:szCs w:val="21"/>
                <w:vertAlign w:val="baseline"/>
                <w:lang w:val="en-US" w:eastAsia="zh-CN"/>
              </w:rPr>
            </w:pPr>
            <w:r>
              <w:rPr>
                <w:rFonts w:hint="eastAsia" w:ascii="楷体_GB2312" w:hAnsi="楷体_GB2312" w:eastAsia="楷体_GB2312" w:cs="楷体_GB2312"/>
                <w:sz w:val="21"/>
                <w:szCs w:val="21"/>
                <w:vertAlign w:val="baseline"/>
                <w:lang w:val="en-US" w:eastAsia="zh-CN"/>
              </w:rPr>
              <w:t>说明：经过检索发现上面的制度已经修改，因此应当以修改后的制度为标准。即：2005年3月A市人大通过的《A市市容环境卫生管理条例》、A市政府制定的《A市城市生活垃圾处置费征收管理办法》、A市物价局 A市财政局&lt;关于A市城市生活垃圾处置费</w:t>
            </w:r>
          </w:p>
          <w:p>
            <w:pPr>
              <w:numPr>
                <w:ilvl w:val="0"/>
                <w:numId w:val="0"/>
              </w:numPr>
              <w:ind w:firstLine="0" w:firstLineChars="200"/>
              <w:rPr>
                <w:rFonts w:hint="eastAsia" w:ascii="楷体_GB2312" w:hAnsi="楷体_GB2312" w:eastAsia="楷体_GB2312" w:cs="楷体_GB2312"/>
                <w:sz w:val="21"/>
                <w:szCs w:val="21"/>
                <w:vertAlign w:val="baseline"/>
                <w:lang w:val="en-US" w:eastAsia="zh-CN"/>
              </w:rPr>
            </w:pPr>
            <w:r>
              <w:rPr>
                <w:rFonts w:hint="eastAsia" w:ascii="楷体_GB2312" w:hAnsi="楷体_GB2312" w:eastAsia="楷体_GB2312" w:cs="楷体_GB2312"/>
                <w:sz w:val="21"/>
                <w:szCs w:val="21"/>
                <w:vertAlign w:val="baseline"/>
                <w:lang w:val="en-US" w:eastAsia="zh-CN"/>
              </w:rPr>
              <w:t>收费标准的通知&gt;</w:t>
            </w:r>
          </w:p>
          <w:p>
            <w:pPr>
              <w:numPr>
                <w:ilvl w:val="0"/>
                <w:numId w:val="0"/>
              </w:numPr>
              <w:ind w:firstLine="0" w:firstLineChars="200"/>
              <w:rPr>
                <w:rFonts w:hint="eastAsia" w:ascii="楷体_GB2312" w:hAnsi="楷体_GB2312" w:eastAsia="楷体_GB2312" w:cs="楷体_GB2312"/>
                <w:sz w:val="21"/>
                <w:szCs w:val="21"/>
                <w:vertAlign w:val="baseline"/>
                <w:lang w:val="en-US" w:eastAsia="zh-CN"/>
              </w:rPr>
            </w:pPr>
            <w:r>
              <w:rPr>
                <w:rFonts w:hint="eastAsia" w:ascii="楷体_GB2312" w:hAnsi="楷体_GB2312" w:eastAsia="楷体_GB2312" w:cs="楷体_GB2312"/>
                <w:sz w:val="21"/>
                <w:szCs w:val="21"/>
                <w:vertAlign w:val="baseline"/>
                <w:lang w:val="en-US" w:eastAsia="zh-CN"/>
              </w:rPr>
              <w:t>为准。</w:t>
            </w:r>
          </w:p>
          <w:p>
            <w:pPr>
              <w:numPr>
                <w:ilvl w:val="0"/>
                <w:numId w:val="0"/>
              </w:numPr>
              <w:ind w:firstLine="0" w:firstLineChars="200"/>
              <w:rPr>
                <w:rFonts w:hint="eastAsia" w:ascii="楷体_GB2312" w:hAnsi="楷体_GB2312" w:eastAsia="楷体_GB2312" w:cs="楷体_GB2312"/>
                <w:sz w:val="21"/>
                <w:szCs w:val="21"/>
                <w:vertAlign w:val="baseline"/>
                <w:lang w:val="en-US" w:eastAsia="zh-CN"/>
              </w:rPr>
            </w:pPr>
            <w:r>
              <w:rPr>
                <w:rFonts w:hint="eastAsia" w:ascii="楷体_GB2312" w:hAnsi="楷体_GB2312" w:eastAsia="楷体_GB2312" w:cs="楷体_GB2312"/>
                <w:sz w:val="21"/>
                <w:szCs w:val="21"/>
                <w:vertAlign w:val="baseline"/>
                <w:lang w:val="en-US" w:eastAsia="zh-CN"/>
              </w:rPr>
              <w:t>相关法条：</w:t>
            </w:r>
          </w:p>
          <w:p>
            <w:pPr>
              <w:numPr>
                <w:ilvl w:val="0"/>
                <w:numId w:val="0"/>
              </w:numPr>
              <w:ind w:firstLine="0" w:firstLineChars="200"/>
              <w:rPr>
                <w:rFonts w:hint="eastAsia" w:ascii="楷体_GB2312" w:hAnsi="楷体_GB2312" w:eastAsia="楷体_GB2312" w:cs="楷体_GB2312"/>
                <w:sz w:val="21"/>
                <w:szCs w:val="21"/>
                <w:vertAlign w:val="baseline"/>
                <w:lang w:val="en-US" w:eastAsia="zh-CN"/>
              </w:rPr>
            </w:pPr>
            <w:r>
              <w:rPr>
                <w:rFonts w:hint="eastAsia" w:ascii="楷体_GB2312" w:hAnsi="楷体_GB2312" w:eastAsia="楷体_GB2312" w:cs="楷体_GB2312"/>
                <w:sz w:val="21"/>
                <w:szCs w:val="21"/>
                <w:vertAlign w:val="baseline"/>
                <w:lang w:val="en-US" w:eastAsia="zh-CN"/>
              </w:rPr>
              <w:t>《A市市容环境卫生管理条例》第六条 各级人民政府应当将市容环境卫生事业纳入国民经济和社会发展计划，完善市容环境卫生设施设备，提供市容环境卫生公共服务，按照市容环境卫生管理工作任务核定所需事业经费。</w:t>
            </w:r>
          </w:p>
          <w:p>
            <w:pPr>
              <w:numPr>
                <w:ilvl w:val="0"/>
                <w:numId w:val="0"/>
              </w:numPr>
              <w:ind w:firstLine="0" w:firstLineChars="200"/>
              <w:rPr>
                <w:rFonts w:hint="eastAsia" w:ascii="楷体_GB2312" w:hAnsi="楷体_GB2312" w:eastAsia="楷体_GB2312" w:cs="楷体_GB2312"/>
                <w:sz w:val="21"/>
                <w:szCs w:val="21"/>
                <w:vertAlign w:val="baseline"/>
                <w:lang w:val="en-US" w:eastAsia="zh-CN"/>
              </w:rPr>
            </w:pPr>
            <w:r>
              <w:rPr>
                <w:rFonts w:hint="eastAsia" w:ascii="楷体_GB2312" w:hAnsi="楷体_GB2312" w:eastAsia="楷体_GB2312" w:cs="楷体_GB2312"/>
                <w:sz w:val="21"/>
                <w:szCs w:val="21"/>
                <w:vertAlign w:val="baseline"/>
                <w:lang w:val="en-US" w:eastAsia="zh-CN"/>
              </w:rPr>
              <w:t>第六十二条 生活垃圾收集、运输和处理实行有偿服务。单位和个人应当按照有关规定缴纳垃圾处置费。</w:t>
            </w:r>
          </w:p>
          <w:p>
            <w:pPr>
              <w:numPr>
                <w:ilvl w:val="0"/>
                <w:numId w:val="0"/>
              </w:numPr>
              <w:ind w:firstLine="0" w:firstLineChars="200"/>
              <w:rPr>
                <w:rFonts w:hint="eastAsia" w:ascii="楷体_GB2312" w:hAnsi="楷体_GB2312" w:eastAsia="楷体_GB2312" w:cs="楷体_GB2312"/>
                <w:sz w:val="21"/>
                <w:szCs w:val="21"/>
                <w:vertAlign w:val="baseline"/>
                <w:lang w:val="en-US" w:eastAsia="zh-CN"/>
              </w:rPr>
            </w:pPr>
            <w:r>
              <w:rPr>
                <w:rFonts w:hint="eastAsia" w:ascii="楷体_GB2312" w:hAnsi="楷体_GB2312" w:eastAsia="楷体_GB2312" w:cs="楷体_GB2312"/>
                <w:sz w:val="21"/>
                <w:szCs w:val="21"/>
                <w:vertAlign w:val="baseline"/>
                <w:lang w:val="en-US" w:eastAsia="zh-CN"/>
              </w:rPr>
              <w:t>垃圾处置费的征收管理办法由市人民政府制定。</w:t>
            </w:r>
          </w:p>
          <w:p>
            <w:pPr>
              <w:numPr>
                <w:ilvl w:val="0"/>
                <w:numId w:val="0"/>
              </w:numPr>
              <w:ind w:firstLine="0" w:firstLineChars="200"/>
              <w:rPr>
                <w:rFonts w:hint="eastAsia" w:ascii="楷体_GB2312" w:hAnsi="楷体_GB2312" w:eastAsia="楷体_GB2312" w:cs="楷体_GB2312"/>
                <w:sz w:val="21"/>
                <w:szCs w:val="21"/>
                <w:vertAlign w:val="baseline"/>
                <w:lang w:val="en-US" w:eastAsia="zh-CN"/>
              </w:rPr>
            </w:pPr>
            <w:r>
              <w:rPr>
                <w:rFonts w:hint="eastAsia" w:ascii="楷体_GB2312" w:hAnsi="楷体_GB2312" w:eastAsia="楷体_GB2312" w:cs="楷体_GB2312"/>
                <w:sz w:val="21"/>
                <w:szCs w:val="21"/>
                <w:vertAlign w:val="baseline"/>
                <w:lang w:val="en-US" w:eastAsia="zh-CN"/>
              </w:rPr>
              <w:t>《A市城市生活垃圾处置费征收管理办法》</w:t>
            </w:r>
          </w:p>
          <w:p>
            <w:pPr>
              <w:numPr>
                <w:ilvl w:val="0"/>
                <w:numId w:val="11"/>
              </w:numPr>
              <w:ind w:firstLine="0" w:firstLineChars="200"/>
              <w:rPr>
                <w:rFonts w:hint="eastAsia" w:ascii="楷体_GB2312" w:hAnsi="楷体_GB2312" w:eastAsia="楷体_GB2312" w:cs="楷体_GB2312"/>
                <w:sz w:val="21"/>
                <w:szCs w:val="21"/>
                <w:vertAlign w:val="baseline"/>
                <w:lang w:val="en-US" w:eastAsia="zh-CN"/>
              </w:rPr>
            </w:pPr>
            <w:r>
              <w:rPr>
                <w:rFonts w:hint="eastAsia" w:ascii="楷体_GB2312" w:hAnsi="楷体_GB2312" w:eastAsia="楷体_GB2312" w:cs="楷体_GB2312"/>
                <w:sz w:val="21"/>
                <w:szCs w:val="21"/>
                <w:vertAlign w:val="baseline"/>
                <w:lang w:val="en-US" w:eastAsia="zh-CN"/>
              </w:rPr>
              <w:t>本市城市、镇规划区的建成区范围内产生生活垃圾的单位和个人，应当按照本办法规定缴纳城市生活垃圾处置费。……</w:t>
            </w:r>
          </w:p>
          <w:p>
            <w:pPr>
              <w:numPr>
                <w:ilvl w:val="0"/>
                <w:numId w:val="0"/>
              </w:numPr>
              <w:ind w:firstLine="0" w:firstLineChars="200"/>
              <w:rPr>
                <w:rFonts w:hint="eastAsia" w:ascii="楷体_GB2312" w:hAnsi="楷体_GB2312" w:eastAsia="楷体_GB2312" w:cs="楷体_GB2312"/>
                <w:sz w:val="21"/>
                <w:szCs w:val="21"/>
                <w:vertAlign w:val="baseline"/>
                <w:lang w:val="en-US" w:eastAsia="zh-CN"/>
              </w:rPr>
            </w:pPr>
            <w:r>
              <w:rPr>
                <w:rFonts w:hint="eastAsia" w:ascii="楷体_GB2312" w:hAnsi="楷体_GB2312" w:eastAsia="楷体_GB2312" w:cs="楷体_GB2312"/>
                <w:sz w:val="21"/>
                <w:szCs w:val="21"/>
                <w:vertAlign w:val="baseline"/>
                <w:lang w:val="en-US" w:eastAsia="zh-CN"/>
              </w:rPr>
              <w:t>第四条 城市生活垃圾处置费按照以下规定分类计征：</w:t>
            </w:r>
          </w:p>
          <w:p>
            <w:pPr>
              <w:numPr>
                <w:ilvl w:val="0"/>
                <w:numId w:val="0"/>
              </w:numPr>
              <w:ind w:firstLine="0" w:firstLineChars="200"/>
              <w:rPr>
                <w:rFonts w:hint="eastAsia" w:ascii="楷体_GB2312" w:hAnsi="楷体_GB2312" w:eastAsia="楷体_GB2312" w:cs="楷体_GB2312"/>
                <w:sz w:val="21"/>
                <w:szCs w:val="21"/>
                <w:vertAlign w:val="baseline"/>
                <w:lang w:val="en-US" w:eastAsia="zh-CN"/>
              </w:rPr>
            </w:pPr>
            <w:r>
              <w:rPr>
                <w:rFonts w:hint="eastAsia" w:ascii="楷体_GB2312" w:hAnsi="楷体_GB2312" w:eastAsia="楷体_GB2312" w:cs="楷体_GB2312"/>
                <w:sz w:val="21"/>
                <w:szCs w:val="21"/>
                <w:vertAlign w:val="baseline"/>
                <w:lang w:val="en-US" w:eastAsia="zh-CN"/>
              </w:rPr>
              <w:t>（一）居民按户计征；</w:t>
            </w:r>
          </w:p>
          <w:p>
            <w:pPr>
              <w:numPr>
                <w:ilvl w:val="0"/>
                <w:numId w:val="0"/>
              </w:numPr>
              <w:ind w:firstLine="0" w:firstLineChars="200"/>
              <w:rPr>
                <w:rFonts w:hint="eastAsia" w:ascii="楷体_GB2312" w:hAnsi="楷体_GB2312" w:eastAsia="楷体_GB2312" w:cs="楷体_GB2312"/>
                <w:sz w:val="21"/>
                <w:szCs w:val="21"/>
                <w:vertAlign w:val="baseline"/>
                <w:lang w:val="en-US" w:eastAsia="zh-CN"/>
              </w:rPr>
            </w:pPr>
            <w:r>
              <w:rPr>
                <w:rFonts w:hint="eastAsia" w:ascii="楷体_GB2312" w:hAnsi="楷体_GB2312" w:eastAsia="楷体_GB2312" w:cs="楷体_GB2312"/>
                <w:sz w:val="21"/>
                <w:szCs w:val="21"/>
                <w:vertAlign w:val="baseline"/>
                <w:lang w:val="en-US" w:eastAsia="zh-CN"/>
              </w:rPr>
              <w:t>（二）国家机关、事业单位、社会团体按照在册职工和临时聘用人员人数计征；</w:t>
            </w:r>
          </w:p>
          <w:p>
            <w:pPr>
              <w:numPr>
                <w:ilvl w:val="0"/>
                <w:numId w:val="0"/>
              </w:numPr>
              <w:ind w:firstLine="0" w:firstLineChars="200"/>
              <w:rPr>
                <w:rFonts w:hint="eastAsia" w:ascii="楷体_GB2312" w:hAnsi="楷体_GB2312" w:eastAsia="楷体_GB2312" w:cs="楷体_GB2312"/>
                <w:sz w:val="21"/>
                <w:szCs w:val="21"/>
                <w:vertAlign w:val="baseline"/>
                <w:lang w:val="en-US" w:eastAsia="zh-CN"/>
              </w:rPr>
            </w:pPr>
            <w:r>
              <w:rPr>
                <w:rFonts w:hint="eastAsia" w:ascii="楷体_GB2312" w:hAnsi="楷体_GB2312" w:eastAsia="楷体_GB2312" w:cs="楷体_GB2312"/>
                <w:sz w:val="21"/>
                <w:szCs w:val="21"/>
                <w:vertAlign w:val="baseline"/>
                <w:lang w:val="en-US" w:eastAsia="zh-CN"/>
              </w:rPr>
              <w:t>……</w:t>
            </w:r>
          </w:p>
          <w:p>
            <w:pPr>
              <w:numPr>
                <w:ilvl w:val="0"/>
                <w:numId w:val="0"/>
              </w:numPr>
              <w:ind w:firstLine="0" w:firstLineChars="200"/>
              <w:rPr>
                <w:rFonts w:hint="eastAsia" w:ascii="楷体_GB2312" w:hAnsi="楷体_GB2312" w:eastAsia="楷体_GB2312" w:cs="楷体_GB2312"/>
                <w:sz w:val="21"/>
                <w:szCs w:val="21"/>
                <w:vertAlign w:val="baseline"/>
                <w:lang w:val="en-US" w:eastAsia="zh-CN"/>
              </w:rPr>
            </w:pPr>
            <w:r>
              <w:rPr>
                <w:rFonts w:hint="eastAsia" w:ascii="楷体_GB2312" w:hAnsi="楷体_GB2312" w:eastAsia="楷体_GB2312" w:cs="楷体_GB2312"/>
                <w:sz w:val="21"/>
                <w:szCs w:val="21"/>
                <w:vertAlign w:val="baseline"/>
                <w:lang w:val="en-US" w:eastAsia="zh-CN"/>
              </w:rPr>
              <w:t>第十二条 违反本办法规定，不缴纳或弄虚作假少缴纳城市生活垃圾处置费的，由区县（自治县）城市环境卫生行政主管部门责令限期缴纳；逾期仍不缴纳的，对单位处以应缴纳城市生活垃圾处置费三倍以下且不超过10000元的罚款，对个人处以100元以上300元以下罚款。</w:t>
            </w:r>
          </w:p>
          <w:p>
            <w:pPr>
              <w:numPr>
                <w:ilvl w:val="0"/>
                <w:numId w:val="0"/>
              </w:numPr>
              <w:ind w:firstLine="0" w:firstLineChars="200"/>
              <w:rPr>
                <w:rFonts w:hint="eastAsia" w:ascii="楷体_GB2312" w:hAnsi="楷体_GB2312" w:eastAsia="楷体_GB2312" w:cs="楷体_GB2312"/>
                <w:sz w:val="21"/>
                <w:szCs w:val="21"/>
                <w:vertAlign w:val="baseline"/>
                <w:lang w:val="en-US" w:eastAsia="zh-CN"/>
              </w:rPr>
            </w:pPr>
            <w:r>
              <w:rPr>
                <w:rFonts w:hint="eastAsia" w:ascii="楷体_GB2312" w:hAnsi="楷体_GB2312" w:eastAsia="楷体_GB2312" w:cs="楷体_GB2312"/>
                <w:sz w:val="21"/>
                <w:szCs w:val="21"/>
                <w:vertAlign w:val="baseline"/>
                <w:lang w:val="en-US" w:eastAsia="zh-CN"/>
              </w:rPr>
              <w:t>A物价局 A财政局</w:t>
            </w:r>
          </w:p>
          <w:p>
            <w:pPr>
              <w:numPr>
                <w:ilvl w:val="0"/>
                <w:numId w:val="0"/>
              </w:numPr>
              <w:ind w:firstLine="0" w:firstLineChars="200"/>
              <w:rPr>
                <w:rFonts w:hint="eastAsia" w:ascii="楷体_GB2312" w:hAnsi="楷体_GB2312" w:eastAsia="楷体_GB2312" w:cs="楷体_GB2312"/>
                <w:sz w:val="21"/>
                <w:szCs w:val="21"/>
                <w:vertAlign w:val="baseline"/>
                <w:lang w:val="en-US" w:eastAsia="zh-CN"/>
              </w:rPr>
            </w:pPr>
            <w:r>
              <w:rPr>
                <w:rFonts w:hint="eastAsia" w:ascii="楷体_GB2312" w:hAnsi="楷体_GB2312" w:eastAsia="楷体_GB2312" w:cs="楷体_GB2312"/>
                <w:sz w:val="21"/>
                <w:szCs w:val="21"/>
                <w:vertAlign w:val="baseline"/>
                <w:lang w:val="en-US" w:eastAsia="zh-CN"/>
              </w:rPr>
              <w:t>《关于A城市生活垃圾处置费收费标准的通知》</w:t>
            </w:r>
          </w:p>
          <w:p>
            <w:pPr>
              <w:numPr>
                <w:ilvl w:val="0"/>
                <w:numId w:val="0"/>
              </w:numPr>
              <w:ind w:firstLine="0" w:firstLineChars="200"/>
              <w:rPr>
                <w:rFonts w:hint="eastAsia" w:ascii="楷体_GB2312" w:hAnsi="楷体_GB2312" w:eastAsia="楷体_GB2312" w:cs="楷体_GB2312"/>
                <w:sz w:val="21"/>
                <w:szCs w:val="21"/>
                <w:vertAlign w:val="baseline"/>
                <w:lang w:val="en-US" w:eastAsia="zh-CN"/>
              </w:rPr>
            </w:pPr>
            <w:r>
              <w:rPr>
                <w:rFonts w:hint="eastAsia" w:ascii="楷体_GB2312" w:hAnsi="楷体_GB2312" w:eastAsia="楷体_GB2312" w:cs="楷体_GB2312"/>
                <w:sz w:val="21"/>
                <w:szCs w:val="21"/>
                <w:vertAlign w:val="baseline"/>
                <w:lang w:val="en-US" w:eastAsia="zh-CN"/>
              </w:rPr>
              <w:t>三、收费标准：……主城区以外其他区县（自治县）城市生活垃圾处置费收费标准由当地价格主管部门，在不高于主城区收费标准和不低于主城区收费标准的80%范围内制定，经当地政府批准后执行。</w:t>
            </w:r>
          </w:p>
          <w:p>
            <w:pPr>
              <w:numPr>
                <w:ilvl w:val="0"/>
                <w:numId w:val="0"/>
              </w:numPr>
              <w:ind w:firstLine="0" w:firstLineChars="200"/>
              <w:rPr>
                <w:rFonts w:hint="eastAsia" w:ascii="楷体_GB2312" w:hAnsi="楷体_GB2312" w:eastAsia="楷体_GB2312" w:cs="楷体_GB2312"/>
                <w:sz w:val="21"/>
                <w:szCs w:val="21"/>
                <w:vertAlign w:val="baseline"/>
                <w:lang w:val="en-US" w:eastAsia="zh-CN"/>
              </w:rPr>
            </w:pPr>
            <w:r>
              <w:rPr>
                <w:rFonts w:hint="eastAsia" w:ascii="楷体_GB2312" w:hAnsi="楷体_GB2312" w:eastAsia="楷体_GB2312" w:cs="楷体_GB2312"/>
                <w:sz w:val="21"/>
                <w:szCs w:val="21"/>
                <w:vertAlign w:val="baseline"/>
                <w:lang w:val="en-US" w:eastAsia="zh-CN"/>
              </w:rPr>
              <w:t>居民：8元/户</w:t>
            </w:r>
          </w:p>
          <w:p>
            <w:pPr>
              <w:numPr>
                <w:ilvl w:val="0"/>
                <w:numId w:val="0"/>
              </w:numPr>
              <w:ind w:firstLine="0" w:firstLineChars="200"/>
              <w:rPr>
                <w:rFonts w:hint="eastAsia" w:ascii="楷体_GB2312" w:hAnsi="楷体_GB2312" w:eastAsia="楷体_GB2312" w:cs="楷体_GB2312"/>
                <w:sz w:val="21"/>
                <w:szCs w:val="21"/>
                <w:vertAlign w:val="baseline"/>
                <w:lang w:val="en-US" w:eastAsia="zh-CN"/>
              </w:rPr>
            </w:pPr>
            <w:r>
              <w:rPr>
                <w:rFonts w:hint="eastAsia" w:ascii="楷体_GB2312" w:hAnsi="楷体_GB2312" w:eastAsia="楷体_GB2312" w:cs="楷体_GB2312"/>
                <w:sz w:val="21"/>
                <w:szCs w:val="21"/>
                <w:vertAlign w:val="baseline"/>
                <w:lang w:val="en-US" w:eastAsia="zh-CN"/>
              </w:rPr>
              <w:t>……</w:t>
            </w:r>
          </w:p>
          <w:p>
            <w:pPr>
              <w:numPr>
                <w:ilvl w:val="0"/>
                <w:numId w:val="0"/>
              </w:numPr>
              <w:rPr>
                <w:rFonts w:hint="eastAsia" w:ascii="楷体_GB2312" w:hAnsi="楷体_GB2312" w:eastAsia="楷体_GB2312" w:cs="楷体_GB2312"/>
                <w:sz w:val="21"/>
                <w:szCs w:val="21"/>
                <w:vertAlign w:val="baseline"/>
                <w:lang w:val="en-US" w:eastAsia="zh-CN"/>
              </w:rPr>
            </w:pPr>
          </w:p>
        </w:tc>
        <w:tc>
          <w:tcPr>
            <w:tcW w:w="2096" w:type="dxa"/>
          </w:tcPr>
          <w:p>
            <w:pPr>
              <w:numPr>
                <w:ilvl w:val="0"/>
                <w:numId w:val="0"/>
              </w:numPr>
              <w:rPr>
                <w:rFonts w:hint="eastAsia" w:ascii="楷体_GB2312" w:hAnsi="楷体_GB2312" w:eastAsia="楷体_GB2312" w:cs="楷体_GB2312"/>
                <w:sz w:val="21"/>
                <w:szCs w:val="21"/>
                <w:vertAlign w:val="baseline"/>
                <w:lang w:val="en-US" w:eastAsia="zh-CN"/>
              </w:rPr>
            </w:pPr>
          </w:p>
          <w:p>
            <w:pPr>
              <w:numPr>
                <w:ilvl w:val="0"/>
                <w:numId w:val="0"/>
              </w:numPr>
              <w:ind w:firstLine="0" w:firstLineChars="200"/>
              <w:rPr>
                <w:rFonts w:hint="eastAsia" w:ascii="楷体_GB2312" w:hAnsi="楷体_GB2312" w:eastAsia="楷体_GB2312" w:cs="楷体_GB2312"/>
                <w:sz w:val="21"/>
                <w:szCs w:val="21"/>
                <w:vertAlign w:val="baseline"/>
                <w:lang w:val="en-US" w:eastAsia="zh-CN"/>
              </w:rPr>
            </w:pPr>
            <w:r>
              <w:rPr>
                <w:rFonts w:hint="eastAsia" w:ascii="楷体_GB2312" w:hAnsi="楷体_GB2312" w:eastAsia="楷体_GB2312" w:cs="楷体_GB2312"/>
                <w:sz w:val="21"/>
                <w:szCs w:val="21"/>
                <w:vertAlign w:val="baseline"/>
                <w:lang w:val="en-US" w:eastAsia="zh-CN"/>
              </w:rPr>
              <w:t>《宪法》</w:t>
            </w:r>
          </w:p>
          <w:p>
            <w:pPr>
              <w:numPr>
                <w:ilvl w:val="0"/>
                <w:numId w:val="0"/>
              </w:numPr>
              <w:ind w:firstLine="0" w:firstLineChars="200"/>
              <w:rPr>
                <w:rFonts w:hint="eastAsia" w:ascii="楷体_GB2312" w:hAnsi="楷体_GB2312" w:eastAsia="楷体_GB2312" w:cs="楷体_GB2312"/>
                <w:sz w:val="21"/>
                <w:szCs w:val="21"/>
                <w:vertAlign w:val="baseline"/>
                <w:lang w:val="en-US" w:eastAsia="zh-CN"/>
              </w:rPr>
            </w:pPr>
            <w:r>
              <w:rPr>
                <w:rFonts w:hint="eastAsia" w:ascii="楷体_GB2312" w:hAnsi="楷体_GB2312" w:eastAsia="楷体_GB2312" w:cs="楷体_GB2312"/>
                <w:sz w:val="21"/>
                <w:szCs w:val="21"/>
                <w:vertAlign w:val="baseline"/>
                <w:lang w:val="en-US" w:eastAsia="zh-CN"/>
              </w:rPr>
              <w:t>第13条公民的合法私有财产不受侵犯……国家为了公共利益的需要，可以依照法律规定对公民的私有财产实行征收或者征用并给予补偿。</w:t>
            </w:r>
          </w:p>
          <w:p>
            <w:pPr>
              <w:numPr>
                <w:ilvl w:val="0"/>
                <w:numId w:val="0"/>
              </w:numPr>
              <w:ind w:firstLine="0" w:firstLineChars="200"/>
              <w:rPr>
                <w:rFonts w:hint="eastAsia" w:ascii="楷体_GB2312" w:hAnsi="楷体_GB2312" w:eastAsia="楷体_GB2312" w:cs="楷体_GB2312"/>
                <w:sz w:val="21"/>
                <w:szCs w:val="21"/>
                <w:vertAlign w:val="baseline"/>
                <w:lang w:val="en-US" w:eastAsia="zh-CN"/>
              </w:rPr>
            </w:pPr>
            <w:r>
              <w:rPr>
                <w:rFonts w:hint="eastAsia" w:ascii="楷体_GB2312" w:hAnsi="楷体_GB2312" w:eastAsia="楷体_GB2312" w:cs="楷体_GB2312"/>
                <w:sz w:val="21"/>
                <w:szCs w:val="21"/>
                <w:vertAlign w:val="baseline"/>
                <w:lang w:val="en-US" w:eastAsia="zh-CN"/>
              </w:rPr>
              <w:t>《立法法》</w:t>
            </w:r>
          </w:p>
          <w:p>
            <w:pPr>
              <w:numPr>
                <w:ilvl w:val="0"/>
                <w:numId w:val="12"/>
              </w:numPr>
              <w:ind w:firstLine="0" w:firstLineChars="200"/>
              <w:rPr>
                <w:rFonts w:hint="eastAsia" w:ascii="楷体_GB2312" w:hAnsi="楷体_GB2312" w:eastAsia="楷体_GB2312" w:cs="楷体_GB2312"/>
                <w:sz w:val="21"/>
                <w:szCs w:val="21"/>
                <w:vertAlign w:val="baseline"/>
                <w:lang w:val="en-US" w:eastAsia="zh-CN"/>
              </w:rPr>
            </w:pPr>
            <w:r>
              <w:rPr>
                <w:rFonts w:hint="eastAsia" w:ascii="楷体_GB2312" w:hAnsi="楷体_GB2312" w:eastAsia="楷体_GB2312" w:cs="楷体_GB2312"/>
                <w:sz w:val="21"/>
                <w:szCs w:val="21"/>
                <w:vertAlign w:val="baseline"/>
                <w:lang w:val="en-US" w:eastAsia="zh-CN"/>
              </w:rPr>
              <w:t>法律、行政法规、地方性法规、自治条例和单行条例的制定、修改和废止，适用本法。</w:t>
            </w:r>
          </w:p>
          <w:p>
            <w:pPr>
              <w:numPr>
                <w:ilvl w:val="0"/>
                <w:numId w:val="0"/>
              </w:numPr>
              <w:ind w:firstLine="0" w:firstLineChars="200"/>
              <w:rPr>
                <w:rFonts w:hint="eastAsia" w:ascii="楷体_GB2312" w:hAnsi="楷体_GB2312" w:eastAsia="楷体_GB2312" w:cs="楷体_GB2312"/>
                <w:sz w:val="21"/>
                <w:szCs w:val="21"/>
                <w:vertAlign w:val="baseline"/>
                <w:lang w:val="en-US" w:eastAsia="zh-CN"/>
              </w:rPr>
            </w:pPr>
            <w:r>
              <w:rPr>
                <w:rFonts w:hint="eastAsia" w:ascii="楷体_GB2312" w:hAnsi="楷体_GB2312" w:eastAsia="楷体_GB2312" w:cs="楷体_GB2312"/>
                <w:sz w:val="21"/>
                <w:szCs w:val="21"/>
                <w:vertAlign w:val="baseline"/>
                <w:lang w:val="en-US" w:eastAsia="zh-CN"/>
              </w:rPr>
              <w:t>第8条下列事项只能制定法律……对非国有财产的征收、征用。</w:t>
            </w:r>
          </w:p>
          <w:p>
            <w:pPr>
              <w:numPr>
                <w:ilvl w:val="0"/>
                <w:numId w:val="0"/>
              </w:numPr>
              <w:rPr>
                <w:rFonts w:hint="eastAsia" w:ascii="楷体_GB2312" w:hAnsi="楷体_GB2312" w:eastAsia="楷体_GB2312" w:cs="楷体_GB2312"/>
                <w:sz w:val="21"/>
                <w:szCs w:val="21"/>
                <w:vertAlign w:val="baseline"/>
                <w:lang w:val="en-US" w:eastAsia="zh-CN"/>
              </w:rPr>
            </w:pPr>
          </w:p>
          <w:p>
            <w:pPr>
              <w:numPr>
                <w:ilvl w:val="0"/>
                <w:numId w:val="0"/>
              </w:numPr>
              <w:ind w:firstLine="0" w:firstLineChars="200"/>
              <w:rPr>
                <w:rFonts w:hint="eastAsia" w:ascii="楷体_GB2312" w:hAnsi="楷体_GB2312" w:eastAsia="楷体_GB2312" w:cs="楷体_GB2312"/>
                <w:sz w:val="21"/>
                <w:szCs w:val="21"/>
                <w:vertAlign w:val="baseline"/>
                <w:lang w:val="en-US" w:eastAsia="zh-CN"/>
              </w:rPr>
            </w:pPr>
            <w:r>
              <w:rPr>
                <w:rFonts w:hint="eastAsia" w:ascii="楷体_GB2312" w:hAnsi="楷体_GB2312" w:eastAsia="楷体_GB2312" w:cs="楷体_GB2312"/>
                <w:sz w:val="21"/>
                <w:szCs w:val="21"/>
                <w:vertAlign w:val="baseline"/>
                <w:lang w:val="en-US" w:eastAsia="zh-CN"/>
              </w:rPr>
              <w:t>《民法通则》第75条2款公民的合法财产受法律保护，禁止任何组织或者个人侵占、哄抢、破坏、或者非法查封、扣押、冻结、没收。</w:t>
            </w:r>
          </w:p>
          <w:p>
            <w:pPr>
              <w:numPr>
                <w:ilvl w:val="0"/>
                <w:numId w:val="0"/>
              </w:numPr>
              <w:ind w:firstLine="0" w:firstLineChars="200"/>
              <w:rPr>
                <w:rFonts w:hint="eastAsia" w:ascii="楷体_GB2312" w:hAnsi="楷体_GB2312" w:eastAsia="楷体_GB2312" w:cs="楷体_GB2312"/>
                <w:sz w:val="21"/>
                <w:szCs w:val="21"/>
                <w:vertAlign w:val="baseline"/>
                <w:lang w:val="en-US" w:eastAsia="zh-CN"/>
              </w:rPr>
            </w:pPr>
            <w:r>
              <w:rPr>
                <w:rFonts w:hint="eastAsia" w:ascii="楷体_GB2312" w:hAnsi="楷体_GB2312" w:eastAsia="楷体_GB2312" w:cs="楷体_GB2312"/>
                <w:sz w:val="21"/>
                <w:szCs w:val="21"/>
                <w:vertAlign w:val="baseline"/>
                <w:lang w:val="en-US" w:eastAsia="zh-CN"/>
              </w:rPr>
              <w:t>《物权法》第66条与《民法通则》第75条2款同。</w:t>
            </w:r>
          </w:p>
          <w:p>
            <w:pPr>
              <w:numPr>
                <w:ilvl w:val="0"/>
                <w:numId w:val="0"/>
              </w:numPr>
              <w:ind w:firstLine="0" w:firstLineChars="200"/>
              <w:rPr>
                <w:rFonts w:hint="eastAsia" w:ascii="楷体_GB2312" w:hAnsi="楷体_GB2312" w:eastAsia="楷体_GB2312" w:cs="楷体_GB2312"/>
                <w:sz w:val="21"/>
                <w:szCs w:val="21"/>
                <w:vertAlign w:val="baseline"/>
                <w:lang w:val="en-US" w:eastAsia="zh-CN"/>
              </w:rPr>
            </w:pPr>
            <w:r>
              <w:rPr>
                <w:rFonts w:hint="eastAsia" w:ascii="楷体_GB2312" w:hAnsi="楷体_GB2312" w:eastAsia="楷体_GB2312" w:cs="楷体_GB2312"/>
                <w:sz w:val="21"/>
                <w:szCs w:val="21"/>
                <w:vertAlign w:val="baseline"/>
                <w:lang w:val="en-US" w:eastAsia="zh-CN"/>
              </w:rPr>
              <w:t>《预算法》第5条 预算包括一般公共预算、政府性基金预算、国有资本经营预算、社会保险基金预算。第6条 一般公共预算是对以税收为主体的财政收入，安排用于保障和改善民生、推动经济社会发展、维护国家安全、维持国家机构正常运转等方面的收支预算。</w:t>
            </w:r>
          </w:p>
          <w:p>
            <w:pPr>
              <w:numPr>
                <w:ilvl w:val="0"/>
                <w:numId w:val="0"/>
              </w:numPr>
              <w:ind w:firstLine="0" w:firstLineChars="200"/>
              <w:rPr>
                <w:rFonts w:hint="eastAsia" w:ascii="楷体_GB2312" w:hAnsi="楷体_GB2312" w:eastAsia="楷体_GB2312" w:cs="楷体_GB2312"/>
                <w:sz w:val="21"/>
                <w:szCs w:val="21"/>
                <w:vertAlign w:val="baseline"/>
                <w:lang w:val="en-US" w:eastAsia="zh-CN"/>
              </w:rPr>
            </w:pPr>
            <w:r>
              <w:rPr>
                <w:rFonts w:hint="eastAsia" w:ascii="楷体_GB2312" w:hAnsi="楷体_GB2312" w:eastAsia="楷体_GB2312" w:cs="楷体_GB2312"/>
                <w:sz w:val="21"/>
                <w:szCs w:val="21"/>
                <w:vertAlign w:val="baseline"/>
                <w:lang w:val="en-US" w:eastAsia="zh-CN"/>
              </w:rPr>
              <w:t>第27条2款：一般公共预算支出按照其功能分类，包括一般公共服务支出，外交、公共安全、国防支出，农业、环境保护支出，教育、科技、文化、卫生、体育支出，社会保障及就业支出和其他支出。</w:t>
            </w:r>
          </w:p>
          <w:p>
            <w:pPr>
              <w:numPr>
                <w:ilvl w:val="0"/>
                <w:numId w:val="0"/>
              </w:numPr>
              <w:rPr>
                <w:rFonts w:hint="eastAsia" w:ascii="楷体_GB2312" w:hAnsi="楷体_GB2312" w:eastAsia="楷体_GB2312" w:cs="楷体_GB2312"/>
                <w:sz w:val="21"/>
                <w:szCs w:val="21"/>
                <w:vertAlign w:val="baseline"/>
                <w:lang w:val="en-US" w:eastAsia="zh-CN"/>
              </w:rPr>
            </w:pPr>
          </w:p>
          <w:p>
            <w:pPr>
              <w:numPr>
                <w:ilvl w:val="0"/>
                <w:numId w:val="0"/>
              </w:numPr>
              <w:rPr>
                <w:rFonts w:hint="eastAsia" w:ascii="楷体_GB2312" w:hAnsi="楷体_GB2312" w:eastAsia="楷体_GB2312" w:cs="楷体_GB2312"/>
                <w:sz w:val="21"/>
                <w:szCs w:val="21"/>
                <w:vertAlign w:val="baseline"/>
                <w:lang w:val="en-US" w:eastAsia="zh-CN"/>
              </w:rPr>
            </w:pPr>
          </w:p>
          <w:p>
            <w:pPr>
              <w:numPr>
                <w:ilvl w:val="0"/>
                <w:numId w:val="0"/>
              </w:numPr>
              <w:rPr>
                <w:rFonts w:hint="eastAsia" w:ascii="楷体_GB2312" w:hAnsi="楷体_GB2312" w:eastAsia="楷体_GB2312" w:cs="楷体_GB2312"/>
                <w:sz w:val="21"/>
                <w:szCs w:val="21"/>
                <w:vertAlign w:val="baseline"/>
                <w:lang w:val="en-US" w:eastAsia="zh-CN"/>
              </w:rPr>
            </w:pPr>
          </w:p>
          <w:p>
            <w:pPr>
              <w:numPr>
                <w:ilvl w:val="0"/>
                <w:numId w:val="0"/>
              </w:numPr>
              <w:rPr>
                <w:rFonts w:hint="eastAsia" w:ascii="楷体_GB2312" w:hAnsi="楷体_GB2312" w:eastAsia="楷体_GB2312" w:cs="楷体_GB2312"/>
                <w:sz w:val="21"/>
                <w:szCs w:val="21"/>
                <w:vertAlign w:val="baseline"/>
                <w:lang w:val="en-US" w:eastAsia="zh-CN"/>
              </w:rPr>
            </w:pPr>
          </w:p>
        </w:tc>
        <w:tc>
          <w:tcPr>
            <w:tcW w:w="236" w:type="dxa"/>
            <w:vMerge w:val="continue"/>
            <w:tcBorders>
              <w:right w:val="nil"/>
            </w:tcBorders>
          </w:tcPr>
          <w:p>
            <w:pPr>
              <w:numPr>
                <w:ilvl w:val="0"/>
                <w:numId w:val="0"/>
              </w:numPr>
              <w:rPr>
                <w:rFonts w:hint="eastAsia" w:asciiTheme="majorEastAsia" w:hAnsiTheme="majorEastAsia" w:eastAsiaTheme="majorEastAsia" w:cstheme="majorEastAsia"/>
                <w:sz w:val="28"/>
                <w:szCs w:val="28"/>
                <w:vertAlign w:val="baseline"/>
                <w:lang w:val="en-US" w:eastAsia="zh-CN"/>
              </w:rPr>
            </w:pPr>
          </w:p>
        </w:tc>
      </w:tr>
    </w:tbl>
    <w:p>
      <w:pPr>
        <w:numPr>
          <w:ilvl w:val="0"/>
          <w:numId w:val="0"/>
        </w:numPr>
        <w:ind w:firstLine="560" w:firstLineChars="200"/>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 xml:space="preserve">                   图表三</w:t>
      </w:r>
    </w:p>
    <w:p>
      <w:pPr>
        <w:pStyle w:val="2"/>
        <w:snapToGrid w:val="0"/>
        <w:spacing w:line="360" w:lineRule="auto"/>
        <w:ind w:firstLine="0" w:firstLineChars="200"/>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 xml:space="preserve">   （三）三审后确定“B县政府通知”是否适法。</w:t>
      </w:r>
      <w:r>
        <w:rPr>
          <w:rStyle w:val="4"/>
          <w:rFonts w:hint="eastAsia" w:asciiTheme="majorEastAsia" w:hAnsiTheme="majorEastAsia" w:eastAsiaTheme="majorEastAsia" w:cstheme="majorEastAsia"/>
          <w:sz w:val="28"/>
          <w:szCs w:val="28"/>
          <w:lang w:val="en-US" w:eastAsia="zh-CN"/>
        </w:rPr>
        <w:t>[</w:t>
      </w:r>
      <w:r>
        <w:rPr>
          <w:rStyle w:val="4"/>
          <w:rFonts w:hint="eastAsia" w:asciiTheme="majorEastAsia" w:hAnsiTheme="majorEastAsia" w:eastAsiaTheme="majorEastAsia" w:cstheme="majorEastAsia"/>
          <w:sz w:val="28"/>
          <w:szCs w:val="28"/>
          <w:lang w:val="en-US" w:eastAsia="zh-CN"/>
        </w:rPr>
        <w:footnoteReference w:id="14"/>
      </w:r>
      <w:r>
        <w:rPr>
          <w:rStyle w:val="4"/>
          <w:rFonts w:hint="eastAsia" w:asciiTheme="majorEastAsia" w:hAnsiTheme="majorEastAsia" w:eastAsiaTheme="majorEastAsia" w:cstheme="majorEastAsia"/>
          <w:sz w:val="28"/>
          <w:szCs w:val="28"/>
          <w:lang w:val="en-US" w:eastAsia="zh-CN"/>
        </w:rPr>
        <w:t>]</w:t>
      </w:r>
      <w:r>
        <w:rPr>
          <w:rFonts w:hint="eastAsia" w:asciiTheme="majorEastAsia" w:hAnsiTheme="majorEastAsia" w:eastAsiaTheme="majorEastAsia" w:cstheme="majorEastAsia"/>
          <w:sz w:val="28"/>
          <w:szCs w:val="28"/>
          <w:lang w:val="en-US" w:eastAsia="zh-CN"/>
        </w:rPr>
        <w:t>图表三中已经拟定出了本案判断的准据法体系，接着就是三审的展开。《通知》的核心规范是“B县城居住的单位与个人都应当按照‘标准’缴纳生活垃圾处置费。”。一级审查的准据法是《A市城市生活垃圾处置费征收管理办法》，</w:t>
      </w:r>
      <w:r>
        <w:rPr>
          <w:rStyle w:val="4"/>
          <w:rFonts w:hint="eastAsia" w:asciiTheme="majorEastAsia" w:hAnsiTheme="majorEastAsia" w:eastAsiaTheme="majorEastAsia" w:cstheme="majorEastAsia"/>
          <w:sz w:val="28"/>
          <w:szCs w:val="28"/>
          <w:lang w:val="en-US" w:eastAsia="zh-CN"/>
        </w:rPr>
        <w:t>[</w:t>
      </w:r>
      <w:r>
        <w:rPr>
          <w:rStyle w:val="4"/>
          <w:rFonts w:hint="eastAsia" w:asciiTheme="majorEastAsia" w:hAnsiTheme="majorEastAsia" w:eastAsiaTheme="majorEastAsia" w:cstheme="majorEastAsia"/>
          <w:sz w:val="28"/>
          <w:szCs w:val="28"/>
          <w:lang w:val="en-US" w:eastAsia="zh-CN"/>
        </w:rPr>
        <w:footnoteReference w:id="15"/>
      </w:r>
      <w:r>
        <w:rPr>
          <w:rStyle w:val="4"/>
          <w:rFonts w:hint="eastAsia" w:asciiTheme="majorEastAsia" w:hAnsiTheme="majorEastAsia" w:eastAsiaTheme="majorEastAsia" w:cstheme="majorEastAsia"/>
          <w:sz w:val="28"/>
          <w:szCs w:val="28"/>
          <w:lang w:val="en-US" w:eastAsia="zh-CN"/>
        </w:rPr>
        <w:t>]</w:t>
      </w:r>
      <w:r>
        <w:rPr>
          <w:rFonts w:hint="eastAsia" w:asciiTheme="majorEastAsia" w:hAnsiTheme="majorEastAsia" w:eastAsiaTheme="majorEastAsia" w:cstheme="majorEastAsia"/>
          <w:sz w:val="28"/>
          <w:szCs w:val="28"/>
          <w:lang w:val="en-US" w:eastAsia="zh-CN"/>
        </w:rPr>
        <w:t>这个规范性法律文件属于规章，按照其第二条“本市城市、镇规划区的建成区范围内产生生活垃圾的单位和个人，应当按照本办法规定缴纳城市生活垃圾处置费。……”，第四条“</w:t>
      </w:r>
      <w:r>
        <w:rPr>
          <w:rFonts w:hint="eastAsia" w:asciiTheme="majorEastAsia" w:hAnsiTheme="majorEastAsia" w:eastAsiaTheme="majorEastAsia" w:cstheme="majorEastAsia"/>
          <w:sz w:val="28"/>
          <w:szCs w:val="28"/>
          <w:vertAlign w:val="baseline"/>
          <w:lang w:val="en-US" w:eastAsia="zh-CN"/>
        </w:rPr>
        <w:t>城市生活垃圾处置费按照以下规定分类计征：（一）居民按户计征；（二）国家机关、事业单位、社会团体按照在册职工和临时聘用人员人数计征……</w:t>
      </w:r>
      <w:r>
        <w:rPr>
          <w:rFonts w:hint="eastAsia" w:asciiTheme="majorEastAsia" w:hAnsiTheme="majorEastAsia" w:eastAsiaTheme="majorEastAsia" w:cstheme="majorEastAsia"/>
          <w:sz w:val="28"/>
          <w:szCs w:val="28"/>
          <w:lang w:val="en-US" w:eastAsia="zh-CN"/>
        </w:rPr>
        <w:t>”及规章构成附件——A物价局 A财政局《关于A城市生活垃圾处置费收费标准的通知》的第三条，可以明确得出B县政府的《通知》是与其上位的规章是一致的，由此证明《通知》适于其上位规章。可适于规章并不能说就合法，还有待更高层次的审查——二级审查。二级审查的准据法是《A市市容环境卫生管理条例》，这个条例是地方性法规，该地方性法规第六十二条“生活垃圾收集、运输和处理实行有偿服务。单位和个人应当按照有关规定缴纳垃圾处置费。垃圾处置费的征收管理办法由市人民政府制定。”，由此可以得出A市政府的规章规定的征收生活垃圾处置费是适合于《A市市容环境卫生管理条例》的，同时导出B县政府的《通知》也与该地方法规一致。但是，法规层面的审查不能代表法律层面的审查，因此还必须进行最高层面的法律审查——三审。三审的准据法是《宪法》、《民法通则》、《物权法》、《立法法》、《预算法》，从《宪法》第十三条，《民法通则》第七十五条第二款、《物权法》第六十六条可以得出，作为公民基本权利的财产权受到法律保护，国家为了公共利益的需要，可以依照法律规定对公民的私有财产实行征收。《立法法》第二条，明确界定了法律就是全国人大或者常务委员会制定的才是法律，其他的只能是行政法规、地方性法规、规章，第八条规定，“下列事项只能制定法律……对非国有财产的征收、征用……”，征收是指行政主体凭借国家行政权，根据国家和社会公共利益的需要，依法向行政相对人强制地、无偿地征集一定数额金钱或者实物的行政行为。</w:t>
      </w:r>
      <w:r>
        <w:rPr>
          <w:rStyle w:val="4"/>
          <w:rFonts w:hint="eastAsia" w:asciiTheme="majorEastAsia" w:hAnsiTheme="majorEastAsia" w:eastAsiaTheme="majorEastAsia" w:cstheme="majorEastAsia"/>
          <w:sz w:val="28"/>
          <w:szCs w:val="28"/>
          <w:lang w:val="en-US" w:eastAsia="zh-CN"/>
        </w:rPr>
        <w:t>[</w:t>
      </w:r>
      <w:r>
        <w:rPr>
          <w:rStyle w:val="4"/>
          <w:rFonts w:hint="eastAsia" w:asciiTheme="majorEastAsia" w:hAnsiTheme="majorEastAsia" w:eastAsiaTheme="majorEastAsia" w:cstheme="majorEastAsia"/>
          <w:sz w:val="28"/>
          <w:szCs w:val="28"/>
          <w:lang w:val="en-US" w:eastAsia="zh-CN"/>
        </w:rPr>
        <w:footnoteReference w:id="16"/>
      </w:r>
      <w:r>
        <w:rPr>
          <w:rStyle w:val="4"/>
          <w:rFonts w:hint="eastAsia" w:asciiTheme="majorEastAsia" w:hAnsiTheme="majorEastAsia" w:eastAsiaTheme="majorEastAsia" w:cstheme="majorEastAsia"/>
          <w:sz w:val="28"/>
          <w:szCs w:val="28"/>
          <w:lang w:val="en-US" w:eastAsia="zh-CN"/>
        </w:rPr>
        <w:t>]</w:t>
      </w:r>
      <w:r>
        <w:rPr>
          <w:rFonts w:hint="eastAsia" w:asciiTheme="majorEastAsia" w:hAnsiTheme="majorEastAsia" w:eastAsiaTheme="majorEastAsia" w:cstheme="majorEastAsia"/>
          <w:sz w:val="28"/>
          <w:szCs w:val="28"/>
          <w:lang w:val="en-US" w:eastAsia="zh-CN"/>
        </w:rPr>
        <w:t>结合上列规定征收私人财产，应当同时具备两个条件，一是公共利益的需要，二是法律明确规定。城市的生活垃圾处置，从环境保护视角可以界定为公共利益，但如果因此征收费用得由法律进行规定，行政法规、地方性法规等以下效力层面的不能进行规范。同时收取生活垃圾处置费，是行政机关与行政相对人之间不平等主体之间发生的行政管理关系，因此不能适用民法中的等价有偿原则。结合本案，可以得出A市政府及A市人大常务委员制定的本市城市、镇规划区的建成区范围内产生生活垃圾的单位和个人，应当按照本办法规定缴纳城市生活垃圾处置费。……”的规范，由于立法主体与《立法法》要求的主体不符合，存在抵触或者冲突，应当认定A市政府及A市人大常务委员无制定该规范的权限，因此不能产生法律效力。由于排除了B县政府《通知》直接指向的对A市政府规章与A市法规的适用，结果是《通知》违背立法法第八条或者说违法，导致B县政府的《通知》违法而无效。</w:t>
      </w:r>
      <w:r>
        <w:rPr>
          <w:rFonts w:hint="eastAsia" w:asciiTheme="majorEastAsia" w:hAnsiTheme="majorEastAsia" w:eastAsiaTheme="majorEastAsia" w:cstheme="majorEastAsia"/>
          <w:sz w:val="28"/>
          <w:szCs w:val="28"/>
          <w:lang w:eastAsia="zh-CN"/>
        </w:rPr>
        <w:t>对于行政规范性文件的无效问题，是整个文件无效还是基于当事人请求裁判的条款无效，笔者认为不能一概而论，如果条款承载的规范之间属于独立的规范，不宜作全面否定，没有与上位法抵触的规范应当认定有效，抵触者无效；如果两个规范具有关联性，应当一并审查确定是否有效。同时审查时不要基于请求的条款，因为抽象行政行为是一个整体，不是孤立的，“起诉人对其认识也不作要求”</w:t>
      </w:r>
      <w:r>
        <w:rPr>
          <w:rStyle w:val="4"/>
          <w:rFonts w:hint="eastAsia" w:asciiTheme="majorEastAsia" w:hAnsiTheme="majorEastAsia" w:eastAsiaTheme="majorEastAsia" w:cstheme="majorEastAsia"/>
          <w:sz w:val="28"/>
          <w:szCs w:val="28"/>
          <w:lang w:eastAsia="zh-CN"/>
        </w:rPr>
        <w:t>[</w:t>
      </w:r>
      <w:r>
        <w:rPr>
          <w:rStyle w:val="4"/>
          <w:rFonts w:hint="eastAsia" w:asciiTheme="majorEastAsia" w:hAnsiTheme="majorEastAsia" w:eastAsiaTheme="majorEastAsia" w:cstheme="majorEastAsia"/>
          <w:sz w:val="28"/>
          <w:szCs w:val="28"/>
          <w:lang w:eastAsia="zh-CN"/>
        </w:rPr>
        <w:footnoteReference w:id="17"/>
      </w:r>
      <w:r>
        <w:rPr>
          <w:rStyle w:val="4"/>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lang w:eastAsia="zh-CN"/>
        </w:rPr>
        <w:t>。因此应当全面审查规范性文件中的全部条款，由此作出的结论才科学合理。本</w:t>
      </w:r>
      <w:r>
        <w:rPr>
          <w:rFonts w:hint="eastAsia" w:asciiTheme="majorEastAsia" w:hAnsiTheme="majorEastAsia" w:eastAsiaTheme="majorEastAsia" w:cstheme="majorEastAsia"/>
          <w:sz w:val="28"/>
          <w:szCs w:val="28"/>
          <w:lang w:val="en-US" w:eastAsia="zh-CN"/>
        </w:rPr>
        <w:t>案的裁判结果不言自明，不再赘述。</w:t>
      </w:r>
    </w:p>
    <w:p>
      <w:pPr>
        <w:numPr>
          <w:ilvl w:val="0"/>
          <w:numId w:val="0"/>
        </w:numPr>
        <w:spacing w:line="360" w:lineRule="auto"/>
        <w:rPr>
          <w:rFonts w:hint="eastAsia" w:asciiTheme="majorEastAsia" w:hAnsiTheme="majorEastAsia" w:eastAsiaTheme="majorEastAsia" w:cstheme="majorEastAsia"/>
          <w:sz w:val="28"/>
          <w:szCs w:val="28"/>
          <w:lang w:val="en-US" w:eastAsia="zh-CN"/>
        </w:rPr>
      </w:pPr>
    </w:p>
    <w:p>
      <w:pPr>
        <w:numPr>
          <w:ilvl w:val="0"/>
          <w:numId w:val="0"/>
        </w:numPr>
        <w:spacing w:line="360" w:lineRule="auto"/>
        <w:rPr>
          <w:rFonts w:hint="eastAsia" w:asciiTheme="majorEastAsia" w:hAnsiTheme="majorEastAsia" w:eastAsiaTheme="majorEastAsia" w:cstheme="majorEastAsia"/>
          <w:sz w:val="28"/>
          <w:szCs w:val="28"/>
          <w:lang w:val="en-US" w:eastAsia="zh-CN"/>
        </w:rPr>
      </w:pPr>
    </w:p>
    <w:p>
      <w:pPr>
        <w:numPr>
          <w:ilvl w:val="0"/>
          <w:numId w:val="0"/>
        </w:numPr>
        <w:spacing w:line="360" w:lineRule="auto"/>
        <w:rPr>
          <w:rFonts w:hint="eastAsia" w:asciiTheme="majorEastAsia" w:hAnsiTheme="majorEastAsia" w:eastAsiaTheme="majorEastAsia" w:cstheme="majorEastAsia"/>
          <w:sz w:val="28"/>
          <w:szCs w:val="28"/>
          <w:lang w:val="en-US" w:eastAsia="zh-CN"/>
        </w:rPr>
      </w:pPr>
    </w:p>
    <w:p>
      <w:pPr>
        <w:numPr>
          <w:ilvl w:val="0"/>
          <w:numId w:val="0"/>
        </w:numPr>
        <w:spacing w:line="360" w:lineRule="auto"/>
        <w:ind w:firstLine="0" w:firstLineChars="200"/>
        <w:rPr>
          <w:rFonts w:hint="eastAsia" w:asciiTheme="majorEastAsia" w:hAnsiTheme="majorEastAsia" w:eastAsiaTheme="majorEastAsia" w:cstheme="majorEastAsia"/>
          <w:sz w:val="28"/>
          <w:szCs w:val="28"/>
          <w:lang w:val="en-US" w:eastAsia="zh-CN"/>
        </w:rPr>
      </w:pPr>
    </w:p>
    <w:p>
      <w:pPr>
        <w:numPr>
          <w:ilvl w:val="0"/>
          <w:numId w:val="0"/>
        </w:numPr>
        <w:spacing w:line="360" w:lineRule="auto"/>
        <w:ind w:firstLine="0" w:firstLineChars="200"/>
        <w:rPr>
          <w:rFonts w:hint="eastAsia" w:asciiTheme="majorEastAsia" w:hAnsiTheme="majorEastAsia" w:eastAsiaTheme="majorEastAsia" w:cstheme="majorEastAsia"/>
          <w:sz w:val="28"/>
          <w:szCs w:val="28"/>
          <w:lang w:val="en-US" w:eastAsia="zh-CN"/>
        </w:rPr>
      </w:pPr>
    </w:p>
    <w:p>
      <w:pPr>
        <w:spacing w:line="360" w:lineRule="auto"/>
        <w:rPr>
          <w:rFonts w:hint="eastAsia" w:asciiTheme="majorEastAsia" w:hAnsiTheme="majorEastAsia" w:eastAsiaTheme="majorEastAsia" w:cstheme="majorEastAsia"/>
          <w:sz w:val="28"/>
          <w:szCs w:val="28"/>
        </w:rPr>
      </w:pP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Palatino Linotype"/>
    <w:panose1 w:val="02040503050406030204"/>
    <w:charset w:val="00"/>
    <w:family w:val="roman"/>
    <w:pitch w:val="default"/>
    <w:sig w:usb0="00000000" w:usb1="00000000" w:usb2="00000000" w:usb3="00000000" w:csb0="0000019F" w:csb1="00000000"/>
  </w:font>
  <w:font w:name="Calibri">
    <w:altName w:val="Lucida Sans Unicode"/>
    <w:panose1 w:val="020F0502020204030204"/>
    <w:charset w:val="00"/>
    <w:family w:val="swiss"/>
    <w:pitch w:val="default"/>
    <w:sig w:usb0="00000000" w:usb1="00000000" w:usb2="00000001" w:usb3="00000000" w:csb0="0000019F" w:csb1="00000000"/>
  </w:font>
  <w:font w:name="Lucida Sans Unicode">
    <w:panose1 w:val="020B0602030504020204"/>
    <w:charset w:val="00"/>
    <w:family w:val="auto"/>
    <w:pitch w:val="default"/>
    <w:sig w:usb0="80001AFF" w:usb1="0000396B" w:usb2="00000000" w:usb3="00000000" w:csb0="0000003F" w:csb1="D7F70000"/>
  </w:font>
  <w:font w:name="Lucida Sans">
    <w:altName w:val="Lucida Sans Unicode"/>
    <w:panose1 w:val="020B0602030504020204"/>
    <w:charset w:val="00"/>
    <w:family w:val="auto"/>
    <w:pitch w:val="default"/>
    <w:sig w:usb0="00000000" w:usb1="00000000" w:usb2="00000000" w:usb3="00000000" w:csb0="00000000" w:csb1="00000000"/>
  </w:font>
  <w:font w:name="Palatino Linotype">
    <w:panose1 w:val="02040502050505030304"/>
    <w:charset w:val="00"/>
    <w:family w:val="auto"/>
    <w:pitch w:val="default"/>
    <w:sig w:usb0="E0000387" w:usb1="40000013" w:usb2="00000000" w:usb3="00000000" w:csb0="2000019F" w:csb1="00000000"/>
  </w:font>
  <w:font w:name="楷体_GB2312">
    <w:panose1 w:val="02010609030101010101"/>
    <w:charset w:val="86"/>
    <w:family w:val="auto"/>
    <w:pitch w:val="default"/>
    <w:sig w:usb0="00000001" w:usb1="080E0000" w:usb2="00000000" w:usb3="00000000" w:csb0="00040000" w:csb1="00000000"/>
  </w:font>
  <w:font w:name="Arial">
    <w:panose1 w:val="020B0604020202020204"/>
    <w:charset w:val="00"/>
    <w:family w:val="auto"/>
    <w:pitch w:val="default"/>
    <w:sig w:usb0="00007A87" w:usb1="80000000" w:usb2="00000008" w:usb3="00000000" w:csb0="400001FF" w:csb1="FFFF0000"/>
  </w:font>
  <w:font w:name="微软雅黑">
    <w:altName w:val="黑体"/>
    <w:panose1 w:val="020B0503020204020204"/>
    <w:charset w:val="86"/>
    <w:family w:val="auto"/>
    <w:pitch w:val="default"/>
    <w:sig w:usb0="00000000" w:usb1="00000000" w:usb2="00000016" w:usb3="00000000" w:csb0="0004001F" w:csb1="00000000"/>
  </w:font>
  <w:font w:name="Courier New">
    <w:panose1 w:val="02070309020205020404"/>
    <w:charset w:val="00"/>
    <w:family w:val="auto"/>
    <w:pitch w:val="default"/>
    <w:sig w:usb0="00007A87" w:usb1="80000000" w:usb2="00000008" w:usb3="00000000" w:csb0="400001FF" w:csb1="FFFF0000"/>
  </w:font>
  <w:font w:name="Verdana">
    <w:panose1 w:val="020B0604030504040204"/>
    <w:charset w:val="00"/>
    <w:family w:val="auto"/>
    <w:pitch w:val="default"/>
    <w:sig w:usb0="00000287" w:usb1="00000000" w:usb2="00000000" w:usb3="00000000" w:csb0="2000019F" w:csb1="00000000"/>
  </w:font>
  <w:font w:name="方正小标宋_GBK">
    <w:altName w:val="宋体"/>
    <w:panose1 w:val="00000000000000000000"/>
    <w:charset w:val="00"/>
    <w:family w:val="auto"/>
    <w:pitch w:val="default"/>
    <w:sig w:usb0="00000000" w:usb1="00000000" w:usb2="00000000" w:usb3="00000000" w:csb0="00000000" w:csb1="00000000"/>
  </w:font>
  <w:font w:name="方正仿宋_GBK">
    <w:altName w:val="宋体"/>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61007A87" w:usb1="80000000" w:usb2="00000008" w:usb3="00000000" w:csb0="200101FF" w:csb1="20280000"/>
  </w:font>
  <w:font w:name="����">
    <w:altName w:val="Times New Roman"/>
    <w:panose1 w:val="00000000000000000000"/>
    <w:charset w:val="00"/>
    <w:family w:val="roman"/>
    <w:pitch w:val="default"/>
    <w:sig w:usb0="00000000" w:usb1="00000000" w:usb2="00000000" w:usb3="00000000" w:csb0="00040001" w:csb1="00000000"/>
  </w:font>
  <w:font w:name="隶书">
    <w:altName w:val="宋体"/>
    <w:panose1 w:val="02010509060101010101"/>
    <w:charset w:val="86"/>
    <w:family w:val="modern"/>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新宋体">
    <w:panose1 w:val="02010609030101010101"/>
    <w:charset w:val="86"/>
    <w:family w:val="auto"/>
    <w:pitch w:val="default"/>
    <w:sig w:usb0="00000003" w:usb1="080E0000" w:usb2="00000000" w:usb3="00000000" w:csb0="00040001" w:csb1="00000000"/>
  </w:font>
  <w:font w:name="方正兰亭超细黑简体">
    <w:altName w:val="黑体"/>
    <w:panose1 w:val="02000000000000000000"/>
    <w:charset w:val="86"/>
    <w:family w:val="auto"/>
    <w:pitch w:val="default"/>
    <w:sig w:usb0="00000000" w:usb1="00000000" w:usb2="00000000" w:usb3="00000000" w:csb0="00040000" w:csb1="00000000"/>
  </w:font>
  <w:font w:name="方正姚体">
    <w:altName w:val="宋体"/>
    <w:panose1 w:val="02010601030101010101"/>
    <w:charset w:val="86"/>
    <w:family w:val="auto"/>
    <w:pitch w:val="default"/>
    <w:sig w:usb0="00000000" w:usb1="00000000" w:usb2="00000000" w:usb3="00000000" w:csb0="00040000" w:csb1="00000000"/>
  </w:font>
  <w:font w:name="方正舒体">
    <w:altName w:val="宋体"/>
    <w:panose1 w:val="02010601030101010101"/>
    <w:charset w:val="86"/>
    <w:family w:val="auto"/>
    <w:pitch w:val="default"/>
    <w:sig w:usb0="00000000" w:usb1="00000000" w:usb2="00000000" w:usb3="00000000" w:csb0="00040000" w:csb1="00000000"/>
  </w:font>
  <w:font w:name="microsoft yahei">
    <w:altName w:val="Courier New"/>
    <w:panose1 w:val="00000000000000000000"/>
    <w:charset w:val="00"/>
    <w:family w:val="auto"/>
    <w:pitch w:val="default"/>
    <w:sig w:usb0="00000000" w:usb1="00000000" w:usb2="00000000" w:usb3="00000000" w:csb0="00000000" w:csb1="00000000"/>
  </w:font>
  <w:font w:name="微软雅黑">
    <w:altName w:val="黑体"/>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ind w:firstLine="560" w:firstLineChars="200"/>
        <w:rPr>
          <w:rFonts w:ascii="宋体" w:hAnsi="宋体"/>
          <w:sz w:val="21"/>
          <w:szCs w:val="21"/>
        </w:rPr>
      </w:pPr>
      <w:r>
        <w:rPr>
          <w:rFonts w:hint="eastAsia" w:ascii="宋体" w:hAnsi="宋体"/>
          <w:sz w:val="21"/>
          <w:szCs w:val="21"/>
          <w:lang w:eastAsia="zh-CN"/>
        </w:rPr>
        <w:t>余孝安</w:t>
      </w:r>
      <w:r>
        <w:rPr>
          <w:rFonts w:hint="eastAsia" w:ascii="宋体" w:hAnsi="宋体"/>
          <w:sz w:val="21"/>
          <w:szCs w:val="21"/>
          <w:lang w:val="en-US" w:eastAsia="zh-CN"/>
        </w:rPr>
        <w:t xml:space="preserve"> </w:t>
      </w:r>
      <w:r>
        <w:rPr>
          <w:rFonts w:hint="eastAsia" w:ascii="宋体" w:hAnsi="宋体"/>
          <w:sz w:val="21"/>
          <w:szCs w:val="21"/>
          <w:lang w:eastAsia="zh-CN"/>
        </w:rPr>
        <w:t>重庆市丰都县人民法院审判员，高级法官，法律硕士。在《澳门法学》、《中国审判》、《人民法院案例选》等报刊有论文发表，获得过中国法学会第八届、第十届青年法学论坛优秀论文奖。联系电话办公室</w:t>
      </w:r>
      <w:r>
        <w:rPr>
          <w:rFonts w:hint="eastAsia" w:ascii="宋体" w:hAnsi="宋体"/>
          <w:sz w:val="21"/>
          <w:szCs w:val="21"/>
          <w:lang w:val="en-US" w:eastAsia="zh-CN"/>
        </w:rPr>
        <w:t>023-70735253、手机13372770237，邮政编码408200，邮箱yxa650823@163.com.</w:t>
      </w:r>
    </w:p>
    <w:p>
      <w:pPr>
        <w:pStyle w:val="2"/>
        <w:snapToGrid w:val="0"/>
        <w:rPr>
          <w:rStyle w:val="4"/>
          <w:sz w:val="21"/>
          <w:szCs w:val="21"/>
        </w:rPr>
      </w:pPr>
    </w:p>
    <w:p>
      <w:pPr>
        <w:pStyle w:val="2"/>
        <w:snapToGrid w:val="0"/>
      </w:pPr>
      <w:r>
        <w:rPr>
          <w:rStyle w:val="4"/>
        </w:rPr>
        <w:t>[</w:t>
      </w:r>
      <w:r>
        <w:rPr>
          <w:rStyle w:val="4"/>
        </w:rPr>
        <w:footnoteRef/>
      </w:r>
      <w:r>
        <w:rPr>
          <w:rStyle w:val="4"/>
        </w:rPr>
        <w:t>]（</w:t>
      </w:r>
      <w:r>
        <w:rPr>
          <w:rFonts w:hint="eastAsia"/>
          <w:lang w:eastAsia="zh-CN"/>
        </w:rPr>
        <w:t>王名扬著：《美国行政法》，中国法制出版社</w:t>
      </w:r>
      <w:r>
        <w:rPr>
          <w:rFonts w:hint="eastAsia"/>
          <w:lang w:val="en-US" w:eastAsia="zh-CN"/>
        </w:rPr>
        <w:t>1995版第107-109页。</w:t>
      </w:r>
    </w:p>
    <w:p>
      <w:pPr>
        <w:pStyle w:val="2"/>
        <w:snapToGrid w:val="0"/>
      </w:pPr>
    </w:p>
  </w:footnote>
  <w:footnote w:id="1">
    <w:p>
      <w:pPr>
        <w:pStyle w:val="2"/>
        <w:snapToGrid w:val="0"/>
      </w:pPr>
      <w:r>
        <w:rPr>
          <w:rStyle w:val="4"/>
        </w:rPr>
        <w:t>[</w:t>
      </w:r>
      <w:r>
        <w:rPr>
          <w:rStyle w:val="4"/>
        </w:rPr>
        <w:footnoteRef/>
      </w:r>
      <w:r>
        <w:rPr>
          <w:rStyle w:val="4"/>
        </w:rPr>
        <w:t>]（</w:t>
      </w:r>
      <w:r>
        <w:rPr>
          <w:rFonts w:hint="eastAsia"/>
          <w:lang w:eastAsia="zh-CN"/>
        </w:rPr>
        <w:t>数据来源于北大法律信息网，</w:t>
      </w:r>
      <w:r>
        <w:rPr>
          <w:rFonts w:hint="eastAsia"/>
          <w:lang w:val="en-US" w:eastAsia="zh-CN"/>
        </w:rPr>
        <w:t>2016年5月18日访问，</w:t>
      </w:r>
    </w:p>
  </w:footnote>
  <w:footnote w:id="2">
    <w:p>
      <w:pPr>
        <w:pStyle w:val="2"/>
        <w:snapToGrid w:val="0"/>
      </w:pPr>
      <w:r>
        <w:rPr>
          <w:rStyle w:val="4"/>
        </w:rPr>
        <w:t>[</w:t>
      </w:r>
      <w:r>
        <w:rPr>
          <w:rStyle w:val="4"/>
        </w:rPr>
        <w:footnoteRef/>
      </w:r>
      <w:r>
        <w:rPr>
          <w:rStyle w:val="4"/>
        </w:rPr>
        <w:t>]（</w:t>
      </w:r>
      <w:r>
        <w:rPr>
          <w:rFonts w:hint="eastAsia"/>
          <w:lang w:eastAsia="zh-CN"/>
        </w:rPr>
        <w:t>见</w:t>
      </w:r>
      <w:r>
        <w:rPr>
          <w:rFonts w:hint="eastAsia"/>
          <w:lang w:val="en-US" w:eastAsia="zh-CN"/>
        </w:rPr>
        <w:t>《国家机关公文处理办法》、《中国共产党机关公文处理条例》。</w:t>
      </w:r>
    </w:p>
  </w:footnote>
  <w:footnote w:id="3">
    <w:p>
      <w:pPr>
        <w:pStyle w:val="2"/>
        <w:snapToGrid w:val="0"/>
      </w:pPr>
      <w:r>
        <w:rPr>
          <w:rStyle w:val="4"/>
        </w:rPr>
        <w:t>[</w:t>
      </w:r>
      <w:r>
        <w:rPr>
          <w:rStyle w:val="4"/>
        </w:rPr>
        <w:footnoteRef/>
      </w:r>
      <w:r>
        <w:rPr>
          <w:rStyle w:val="4"/>
        </w:rPr>
        <w:t>]（</w:t>
      </w:r>
      <w:r>
        <w:t xml:space="preserve"> </w:t>
      </w:r>
      <w:r>
        <w:rPr>
          <w:rFonts w:hint="eastAsia"/>
          <w:lang w:eastAsia="zh-CN"/>
        </w:rPr>
        <w:t>参见舒国滢、郭洪义主编：《</w:t>
      </w:r>
      <w:r>
        <w:rPr>
          <w:rFonts w:hint="eastAsia"/>
          <w:lang w:val="en-US" w:eastAsia="zh-CN"/>
        </w:rPr>
        <w:t>2015年国家司法考试辅导用书》，法律出版社2015年版，第25-26页。</w:t>
      </w:r>
    </w:p>
  </w:footnote>
  <w:footnote w:id="4">
    <w:p>
      <w:pPr>
        <w:pStyle w:val="2"/>
        <w:snapToGrid w:val="0"/>
      </w:pPr>
      <w:r>
        <w:rPr>
          <w:rStyle w:val="4"/>
        </w:rPr>
        <w:t>[</w:t>
      </w:r>
      <w:r>
        <w:rPr>
          <w:rStyle w:val="4"/>
        </w:rPr>
        <w:footnoteRef/>
      </w:r>
      <w:r>
        <w:rPr>
          <w:rStyle w:val="4"/>
        </w:rPr>
        <w:t>]（</w:t>
      </w:r>
      <w:r>
        <w:t xml:space="preserve"> </w:t>
      </w:r>
      <w:r>
        <w:rPr>
          <w:rFonts w:hint="eastAsia"/>
          <w:lang w:eastAsia="zh-CN"/>
        </w:rPr>
        <w:t>复制条款包括内容的同一性改装条款。</w:t>
      </w:r>
    </w:p>
  </w:footnote>
  <w:footnote w:id="5">
    <w:p>
      <w:pPr>
        <w:pStyle w:val="2"/>
        <w:snapToGrid w:val="0"/>
      </w:pPr>
      <w:r>
        <w:rPr>
          <w:rStyle w:val="4"/>
        </w:rPr>
        <w:t>[</w:t>
      </w:r>
      <w:r>
        <w:rPr>
          <w:rStyle w:val="4"/>
        </w:rPr>
        <w:footnoteRef/>
      </w:r>
      <w:r>
        <w:rPr>
          <w:rStyle w:val="4"/>
        </w:rPr>
        <w:t>]（</w:t>
      </w:r>
      <w:r>
        <w:rPr>
          <w:rFonts w:hint="eastAsia"/>
          <w:lang w:eastAsia="zh-CN"/>
        </w:rPr>
        <w:t>【英】洛克著：《政府论》（下），叶启芳</w:t>
      </w:r>
      <w:r>
        <w:rPr>
          <w:rFonts w:hint="eastAsia"/>
          <w:lang w:val="en-US" w:eastAsia="zh-CN"/>
        </w:rPr>
        <w:t xml:space="preserve"> 瞿菊农 译，商务印书馆2008年版，第83页。</w:t>
      </w:r>
    </w:p>
    <w:p>
      <w:pPr>
        <w:pStyle w:val="2"/>
        <w:snapToGrid w:val="0"/>
      </w:pPr>
    </w:p>
  </w:footnote>
  <w:footnote w:id="6">
    <w:p>
      <w:pPr>
        <w:pStyle w:val="2"/>
        <w:snapToGrid w:val="0"/>
      </w:pPr>
      <w:r>
        <w:rPr>
          <w:rStyle w:val="4"/>
        </w:rPr>
        <w:t>[</w:t>
      </w:r>
      <w:r>
        <w:rPr>
          <w:rStyle w:val="4"/>
        </w:rPr>
        <w:footnoteRef/>
      </w:r>
      <w:r>
        <w:rPr>
          <w:rStyle w:val="4"/>
        </w:rPr>
        <w:t>]（</w:t>
      </w:r>
      <w:r>
        <w:t xml:space="preserve"> </w:t>
      </w:r>
      <w:r>
        <w:rPr>
          <w:position w:val="-16"/>
        </w:rPr>
        <w:object>
          <v:shape id="_x0000_i1056" o:spt="75" type="#_x0000_t75" style="height:20pt;width:22pt;" o:ole="t" filled="f" o:preferrelative="t" stroked="f" coordsize="21600,21600">
            <v:path/>
            <v:fill on="f" focussize="0,0"/>
            <v:stroke on="f"/>
            <v:imagedata r:id="rId2" o:title=""/>
            <o:lock v:ext="edit" aspectratio="t"/>
            <w10:wrap type="none"/>
            <w10:anchorlock/>
          </v:shape>
          <o:OLEObject Type="Embed" ProgID="Equation.KSEE3" ShapeID="_x0000_i1056" DrawAspect="Content" ObjectID="_1468075725" r:id="rId1">
            <o:LockedField>false</o:LockedField>
          </o:OLEObject>
        </w:object>
      </w:r>
      <w:r>
        <w:rPr>
          <w:rFonts w:hint="eastAsia"/>
          <w:lang w:eastAsia="zh-CN"/>
        </w:rPr>
        <w:t>代表法规，包括行政法规与地方性法规。不同的法规用</w:t>
      </w:r>
      <w:r>
        <w:rPr>
          <w:rFonts w:hint="eastAsia"/>
          <w:position w:val="-16"/>
          <w:lang w:eastAsia="zh-CN"/>
        </w:rPr>
        <w:object>
          <v:shape id="_x0000_i1057" o:spt="75" type="#_x0000_t75" style="height:23pt;width:21pt;" o:ole="t" filled="f" o:preferrelative="t" stroked="f" coordsize="21600,21600">
            <v:path/>
            <v:fill on="f" focussize="0,0"/>
            <v:stroke on="f"/>
            <v:imagedata r:id="rId4" o:title=""/>
            <o:lock v:ext="edit" aspectratio="t"/>
            <w10:wrap type="none"/>
            <w10:anchorlock/>
          </v:shape>
          <o:OLEObject Type="Embed" ProgID="Equation.KSEE3" ShapeID="_x0000_i1057" DrawAspect="Content" ObjectID="_1468075726" r:id="rId3">
            <o:LockedField>false</o:LockedField>
          </o:OLEObject>
        </w:object>
      </w:r>
      <w:r>
        <w:rPr>
          <w:rFonts w:hint="eastAsia"/>
          <w:lang w:eastAsia="zh-CN"/>
        </w:rPr>
        <w:t>进行表达。</w:t>
      </w:r>
    </w:p>
  </w:footnote>
  <w:footnote w:id="7">
    <w:p>
      <w:pPr>
        <w:pStyle w:val="2"/>
        <w:snapToGrid w:val="0"/>
      </w:pPr>
      <w:r>
        <w:rPr>
          <w:rStyle w:val="4"/>
        </w:rPr>
        <w:t>[</w:t>
      </w:r>
      <w:r>
        <w:rPr>
          <w:rStyle w:val="4"/>
        </w:rPr>
        <w:footnoteRef/>
      </w:r>
      <w:r>
        <w:rPr>
          <w:rStyle w:val="4"/>
        </w:rPr>
        <w:t>]（</w:t>
      </w:r>
      <w:r>
        <w:rPr>
          <w:rFonts w:hint="eastAsia"/>
          <w:lang w:eastAsia="zh-CN"/>
        </w:rPr>
        <w:t>〖德国〗康德：《纯粹理性的批判》，李秋零译，中国政法大学出版社</w:t>
      </w:r>
      <w:r>
        <w:rPr>
          <w:rFonts w:hint="eastAsia"/>
          <w:lang w:val="en-US" w:eastAsia="zh-CN"/>
        </w:rPr>
        <w:t>2011版第35页。</w:t>
      </w:r>
    </w:p>
    <w:p>
      <w:pPr>
        <w:pStyle w:val="2"/>
        <w:snapToGrid w:val="0"/>
      </w:pPr>
    </w:p>
  </w:footnote>
  <w:footnote w:id="8">
    <w:p>
      <w:pPr>
        <w:pStyle w:val="2"/>
        <w:snapToGrid w:val="0"/>
      </w:pPr>
      <w:r>
        <w:rPr>
          <w:rStyle w:val="4"/>
        </w:rPr>
        <w:t>[</w:t>
      </w:r>
      <w:r>
        <w:rPr>
          <w:rStyle w:val="4"/>
        </w:rPr>
        <w:footnoteRef/>
      </w:r>
      <w:r>
        <w:rPr>
          <w:rStyle w:val="4"/>
        </w:rPr>
        <w:t>]（</w:t>
      </w:r>
      <w:r>
        <w:t xml:space="preserve"> </w:t>
      </w:r>
      <w:r>
        <w:rPr>
          <w:rFonts w:hint="eastAsia"/>
          <w:lang w:eastAsia="zh-CN"/>
        </w:rPr>
        <w:t>参见同上注。</w:t>
      </w:r>
    </w:p>
  </w:footnote>
  <w:footnote w:id="9">
    <w:p>
      <w:pPr>
        <w:pStyle w:val="2"/>
        <w:snapToGrid w:val="0"/>
      </w:pPr>
      <w:r>
        <w:rPr>
          <w:rStyle w:val="4"/>
        </w:rPr>
        <w:t>[</w:t>
      </w:r>
      <w:r>
        <w:rPr>
          <w:rStyle w:val="4"/>
        </w:rPr>
        <w:footnoteRef/>
      </w:r>
      <w:r>
        <w:rPr>
          <w:rStyle w:val="4"/>
        </w:rPr>
        <w:t>]（</w:t>
      </w:r>
      <w:r>
        <w:t xml:space="preserve"> </w:t>
      </w:r>
      <w:r>
        <w:rPr>
          <w:rFonts w:hint="eastAsia"/>
          <w:lang w:eastAsia="zh-CN"/>
        </w:rPr>
        <w:t>法律包括宪法在内。</w:t>
      </w:r>
    </w:p>
  </w:footnote>
  <w:footnote w:id="10">
    <w:p>
      <w:pPr>
        <w:pStyle w:val="2"/>
        <w:snapToGrid w:val="0"/>
      </w:pPr>
      <w:r>
        <w:rPr>
          <w:rStyle w:val="4"/>
        </w:rPr>
        <w:t>[</w:t>
      </w:r>
      <w:r>
        <w:rPr>
          <w:rStyle w:val="4"/>
        </w:rPr>
        <w:footnoteRef/>
      </w:r>
      <w:r>
        <w:rPr>
          <w:rStyle w:val="4"/>
        </w:rPr>
        <w:t>]（</w:t>
      </w:r>
      <w:r>
        <w:rPr>
          <w:rFonts w:hint="eastAsia"/>
          <w:lang w:eastAsia="zh-CN"/>
        </w:rPr>
        <w:t>全国人大常委会法制工作委员会审定：《新编常用法律法规规章司法解释总览》，中国政法大学出版社</w:t>
      </w:r>
      <w:r>
        <w:rPr>
          <w:rFonts w:hint="eastAsia"/>
          <w:lang w:val="en-US" w:eastAsia="zh-CN"/>
        </w:rPr>
        <w:t>2000版目录。</w:t>
      </w:r>
    </w:p>
    <w:p>
      <w:pPr>
        <w:pStyle w:val="2"/>
        <w:snapToGrid w:val="0"/>
      </w:pPr>
    </w:p>
  </w:footnote>
  <w:footnote w:id="11">
    <w:p>
      <w:pPr>
        <w:pStyle w:val="2"/>
        <w:snapToGrid w:val="0"/>
      </w:pPr>
      <w:r>
        <w:rPr>
          <w:rStyle w:val="4"/>
        </w:rPr>
        <w:t>[</w:t>
      </w:r>
      <w:r>
        <w:rPr>
          <w:rStyle w:val="4"/>
        </w:rPr>
        <w:footnoteRef/>
      </w:r>
      <w:r>
        <w:rPr>
          <w:rStyle w:val="4"/>
        </w:rPr>
        <w:t>]（</w:t>
      </w:r>
      <w:r>
        <w:rPr>
          <w:rFonts w:hint="eastAsia"/>
          <w:lang w:eastAsia="zh-CN"/>
        </w:rPr>
        <w:t>【德】罗伯特。阿列克西著：《法律论证理论》，舒国滢译，中国法制出版社</w:t>
      </w:r>
      <w:r>
        <w:rPr>
          <w:rFonts w:hint="eastAsia"/>
          <w:lang w:val="en-US" w:eastAsia="zh-CN"/>
        </w:rPr>
        <w:t>2002年版，第286-287页。</w:t>
      </w:r>
    </w:p>
    <w:p>
      <w:pPr>
        <w:pStyle w:val="2"/>
        <w:snapToGrid w:val="0"/>
      </w:pPr>
      <w:r>
        <w:t xml:space="preserve"> </w:t>
      </w:r>
    </w:p>
  </w:footnote>
  <w:footnote w:id="12">
    <w:p>
      <w:pPr>
        <w:pStyle w:val="2"/>
        <w:snapToGrid w:val="0"/>
      </w:pPr>
      <w:r>
        <w:rPr>
          <w:rStyle w:val="4"/>
        </w:rPr>
        <w:t>[</w:t>
      </w:r>
      <w:r>
        <w:rPr>
          <w:rStyle w:val="4"/>
        </w:rPr>
        <w:footnoteRef/>
      </w:r>
      <w:r>
        <w:rPr>
          <w:rStyle w:val="4"/>
        </w:rPr>
        <w:t>]（</w:t>
      </w:r>
      <w:r>
        <w:t xml:space="preserve"> </w:t>
      </w:r>
      <w:r>
        <w:rPr>
          <w:rFonts w:hint="eastAsia"/>
          <w:lang w:eastAsia="zh-CN"/>
        </w:rPr>
        <w:t>这个权力在全国人大常委会。</w:t>
      </w:r>
    </w:p>
  </w:footnote>
  <w:footnote w:id="13">
    <w:p>
      <w:pPr>
        <w:pStyle w:val="2"/>
        <w:snapToGrid w:val="0"/>
      </w:pPr>
      <w:r>
        <w:rPr>
          <w:rStyle w:val="4"/>
        </w:rPr>
        <w:t>[</w:t>
      </w:r>
      <w:r>
        <w:rPr>
          <w:rStyle w:val="4"/>
        </w:rPr>
        <w:footnoteRef/>
      </w:r>
      <w:r>
        <w:rPr>
          <w:rStyle w:val="4"/>
        </w:rPr>
        <w:t>]（</w:t>
      </w:r>
      <w:r>
        <w:t xml:space="preserve"> </w:t>
      </w:r>
      <w:r>
        <w:rPr>
          <w:rFonts w:hint="eastAsia"/>
          <w:lang w:val="en-US" w:eastAsia="zh-CN"/>
        </w:rPr>
        <w:t>A市为直辖市。</w:t>
      </w:r>
    </w:p>
    <w:p>
      <w:pPr>
        <w:pStyle w:val="2"/>
        <w:snapToGrid w:val="0"/>
      </w:pPr>
    </w:p>
  </w:footnote>
  <w:footnote w:id="14">
    <w:p>
      <w:pPr>
        <w:pStyle w:val="2"/>
        <w:snapToGrid w:val="0"/>
      </w:pPr>
      <w:r>
        <w:rPr>
          <w:rStyle w:val="4"/>
        </w:rPr>
        <w:t>[</w:t>
      </w:r>
      <w:r>
        <w:rPr>
          <w:rStyle w:val="4"/>
        </w:rPr>
        <w:footnoteRef/>
      </w:r>
      <w:r>
        <w:rPr>
          <w:rStyle w:val="4"/>
        </w:rPr>
        <w:t>]（</w:t>
      </w:r>
      <w:r>
        <w:rPr>
          <w:rFonts w:hint="eastAsia"/>
          <w:lang w:eastAsia="zh-CN"/>
        </w:rPr>
        <w:t>《通知》指“</w:t>
      </w:r>
      <w:r>
        <w:rPr>
          <w:rFonts w:hint="eastAsia"/>
          <w:lang w:val="en-US" w:eastAsia="zh-CN"/>
        </w:rPr>
        <w:t>B县人民政府关于征收城市生活垃圾处置费的通知</w:t>
      </w:r>
      <w:r>
        <w:rPr>
          <w:rFonts w:hint="eastAsia"/>
          <w:lang w:eastAsia="zh-CN"/>
        </w:rPr>
        <w:t>”。以下简称《通知》。</w:t>
      </w:r>
      <w:r>
        <w:t xml:space="preserve"> </w:t>
      </w:r>
    </w:p>
  </w:footnote>
  <w:footnote w:id="15">
    <w:p>
      <w:pPr>
        <w:pStyle w:val="2"/>
        <w:snapToGrid w:val="0"/>
      </w:pPr>
      <w:r>
        <w:rPr>
          <w:rStyle w:val="4"/>
        </w:rPr>
        <w:t>[</w:t>
      </w:r>
      <w:r>
        <w:rPr>
          <w:rStyle w:val="4"/>
        </w:rPr>
        <w:footnoteRef/>
      </w:r>
      <w:r>
        <w:rPr>
          <w:rStyle w:val="4"/>
        </w:rPr>
        <w:t>]（</w:t>
      </w:r>
      <w:r>
        <w:t xml:space="preserve"> </w:t>
      </w:r>
      <w:r>
        <w:rPr>
          <w:rFonts w:hint="eastAsia"/>
          <w:lang w:eastAsia="zh-CN"/>
        </w:rPr>
        <w:t>内容详见</w:t>
      </w:r>
      <w:r>
        <w:rPr>
          <w:rFonts w:hint="eastAsia"/>
          <w:lang w:val="en-US" w:eastAsia="zh-CN"/>
        </w:rPr>
        <w:t>《A市城市生活垃圾处置费征收管理办法》。</w:t>
      </w:r>
    </w:p>
    <w:p>
      <w:pPr>
        <w:pStyle w:val="2"/>
        <w:snapToGrid w:val="0"/>
      </w:pPr>
    </w:p>
  </w:footnote>
  <w:footnote w:id="16">
    <w:p>
      <w:pPr>
        <w:pStyle w:val="2"/>
        <w:snapToGrid w:val="0"/>
      </w:pPr>
      <w:r>
        <w:rPr>
          <w:rStyle w:val="4"/>
        </w:rPr>
        <w:t>[</w:t>
      </w:r>
      <w:r>
        <w:rPr>
          <w:rStyle w:val="4"/>
        </w:rPr>
        <w:footnoteRef/>
      </w:r>
      <w:r>
        <w:rPr>
          <w:rStyle w:val="4"/>
        </w:rPr>
        <w:t>]（</w:t>
      </w:r>
      <w:r>
        <w:rPr>
          <w:rFonts w:hint="eastAsia"/>
          <w:lang w:eastAsia="zh-CN"/>
        </w:rPr>
        <w:t>姜明安主编：《行政法与行政诉讼法》北京大学出版社、高等教育出版社</w:t>
      </w:r>
      <w:r>
        <w:rPr>
          <w:rFonts w:hint="eastAsia"/>
          <w:lang w:val="en-US" w:eastAsia="zh-CN"/>
        </w:rPr>
        <w:t>1999年版第217页。</w:t>
      </w:r>
    </w:p>
    <w:p>
      <w:pPr>
        <w:pStyle w:val="2"/>
        <w:snapToGrid w:val="0"/>
      </w:pPr>
      <w:r>
        <w:t xml:space="preserve"> </w:t>
      </w:r>
    </w:p>
  </w:footnote>
  <w:footnote w:id="17">
    <w:p>
      <w:pPr>
        <w:pStyle w:val="2"/>
        <w:snapToGrid w:val="0"/>
      </w:pPr>
      <w:r>
        <w:rPr>
          <w:rStyle w:val="4"/>
        </w:rPr>
        <w:t>[</w:t>
      </w:r>
      <w:r>
        <w:rPr>
          <w:rStyle w:val="4"/>
        </w:rPr>
        <w:footnoteRef/>
      </w:r>
      <w:r>
        <w:rPr>
          <w:rStyle w:val="4"/>
        </w:rPr>
        <w:t>]</w:t>
      </w:r>
      <w:r>
        <w:t xml:space="preserve"> </w:t>
      </w:r>
      <w:r>
        <w:rPr>
          <w:rFonts w:hint="eastAsia"/>
          <w:lang w:eastAsia="zh-CN"/>
        </w:rPr>
        <w:t>江必新主编：《中华人民共和国行政诉讼法理解与适用》，中国法制出版社</w:t>
      </w:r>
      <w:r>
        <w:rPr>
          <w:rFonts w:hint="eastAsia"/>
          <w:lang w:val="en-US" w:eastAsia="zh-CN"/>
        </w:rPr>
        <w:t>2015年版第244页。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370E1A"/>
    <w:multiLevelType w:val="singleLevel"/>
    <w:tmpl w:val="57370E1A"/>
    <w:lvl w:ilvl="0" w:tentative="0">
      <w:start w:val="1"/>
      <w:numFmt w:val="chineseCounting"/>
      <w:suff w:val="nothing"/>
      <w:lvlText w:val="%1、"/>
      <w:lvlJc w:val="left"/>
    </w:lvl>
  </w:abstractNum>
  <w:abstractNum w:abstractNumId="1">
    <w:nsid w:val="573C606D"/>
    <w:multiLevelType w:val="singleLevel"/>
    <w:tmpl w:val="573C606D"/>
    <w:lvl w:ilvl="0" w:tentative="0">
      <w:start w:val="1"/>
      <w:numFmt w:val="chineseCounting"/>
      <w:suff w:val="nothing"/>
      <w:lvlText w:val="（%1）"/>
      <w:lvlJc w:val="left"/>
    </w:lvl>
  </w:abstractNum>
  <w:abstractNum w:abstractNumId="2">
    <w:nsid w:val="5746AEA9"/>
    <w:multiLevelType w:val="singleLevel"/>
    <w:tmpl w:val="5746AEA9"/>
    <w:lvl w:ilvl="0" w:tentative="0">
      <w:start w:val="1"/>
      <w:numFmt w:val="decimal"/>
      <w:suff w:val="nothing"/>
      <w:lvlText w:val="%1、"/>
      <w:lvlJc w:val="left"/>
    </w:lvl>
  </w:abstractNum>
  <w:abstractNum w:abstractNumId="3">
    <w:nsid w:val="5746B334"/>
    <w:multiLevelType w:val="singleLevel"/>
    <w:tmpl w:val="5746B334"/>
    <w:lvl w:ilvl="0" w:tentative="0">
      <w:start w:val="1"/>
      <w:numFmt w:val="decimal"/>
      <w:suff w:val="nothing"/>
      <w:lvlText w:val="%1、"/>
      <w:lvlJc w:val="left"/>
    </w:lvl>
  </w:abstractNum>
  <w:abstractNum w:abstractNumId="4">
    <w:nsid w:val="5746B724"/>
    <w:multiLevelType w:val="singleLevel"/>
    <w:tmpl w:val="5746B724"/>
    <w:lvl w:ilvl="0" w:tentative="0">
      <w:start w:val="3"/>
      <w:numFmt w:val="decimal"/>
      <w:suff w:val="nothing"/>
      <w:lvlText w:val="第%1条"/>
      <w:lvlJc w:val="left"/>
    </w:lvl>
  </w:abstractNum>
  <w:abstractNum w:abstractNumId="5">
    <w:nsid w:val="5746B933"/>
    <w:multiLevelType w:val="singleLevel"/>
    <w:tmpl w:val="5746B933"/>
    <w:lvl w:ilvl="0" w:tentative="0">
      <w:start w:val="7"/>
      <w:numFmt w:val="decimal"/>
      <w:suff w:val="nothing"/>
      <w:lvlText w:val="第%1条"/>
      <w:lvlJc w:val="left"/>
    </w:lvl>
  </w:abstractNum>
  <w:abstractNum w:abstractNumId="6">
    <w:nsid w:val="574808D3"/>
    <w:multiLevelType w:val="singleLevel"/>
    <w:tmpl w:val="574808D3"/>
    <w:lvl w:ilvl="0" w:tentative="0">
      <w:start w:val="3"/>
      <w:numFmt w:val="chineseCounting"/>
      <w:suff w:val="nothing"/>
      <w:lvlText w:val="（%1）"/>
      <w:lvlJc w:val="left"/>
    </w:lvl>
  </w:abstractNum>
  <w:abstractNum w:abstractNumId="7">
    <w:nsid w:val="574A943E"/>
    <w:multiLevelType w:val="singleLevel"/>
    <w:tmpl w:val="574A943E"/>
    <w:lvl w:ilvl="0" w:tentative="0">
      <w:start w:val="1"/>
      <w:numFmt w:val="chineseCounting"/>
      <w:suff w:val="nothing"/>
      <w:lvlText w:val="（%1）"/>
      <w:lvlJc w:val="left"/>
    </w:lvl>
  </w:abstractNum>
  <w:abstractNum w:abstractNumId="8">
    <w:nsid w:val="57503F01"/>
    <w:multiLevelType w:val="singleLevel"/>
    <w:tmpl w:val="57503F01"/>
    <w:lvl w:ilvl="0" w:tentative="0">
      <w:start w:val="1"/>
      <w:numFmt w:val="chineseCounting"/>
      <w:suff w:val="nothing"/>
      <w:lvlText w:val="（%1）"/>
      <w:lvlJc w:val="left"/>
    </w:lvl>
  </w:abstractNum>
  <w:abstractNum w:abstractNumId="9">
    <w:nsid w:val="57650781"/>
    <w:multiLevelType w:val="singleLevel"/>
    <w:tmpl w:val="57650781"/>
    <w:lvl w:ilvl="0" w:tentative="0">
      <w:start w:val="1"/>
      <w:numFmt w:val="chineseCounting"/>
      <w:suff w:val="nothing"/>
      <w:lvlText w:val="（%1）"/>
      <w:lvlJc w:val="left"/>
    </w:lvl>
  </w:abstractNum>
  <w:abstractNum w:abstractNumId="10">
    <w:nsid w:val="5765FD51"/>
    <w:multiLevelType w:val="singleLevel"/>
    <w:tmpl w:val="5765FD51"/>
    <w:lvl w:ilvl="0" w:tentative="0">
      <w:start w:val="2"/>
      <w:numFmt w:val="chineseCounting"/>
      <w:suff w:val="space"/>
      <w:lvlText w:val="第%1条"/>
      <w:lvlJc w:val="left"/>
    </w:lvl>
  </w:abstractNum>
  <w:abstractNum w:abstractNumId="11">
    <w:nsid w:val="57660983"/>
    <w:multiLevelType w:val="singleLevel"/>
    <w:tmpl w:val="57660983"/>
    <w:lvl w:ilvl="0" w:tentative="0">
      <w:start w:val="2"/>
      <w:numFmt w:val="decimal"/>
      <w:suff w:val="nothing"/>
      <w:lvlText w:val="第%1条"/>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223082"/>
    <w:rsid w:val="29223082"/>
    <w:rsid w:val="31C35863"/>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note text"/>
    <w:basedOn w:val="1"/>
    <w:uiPriority w:val="0"/>
    <w:pPr>
      <w:snapToGrid w:val="0"/>
      <w:jc w:val="left"/>
    </w:pPr>
    <w:rPr>
      <w:sz w:val="18"/>
    </w:rPr>
  </w:style>
  <w:style w:type="character" w:styleId="4">
    <w:name w:val="footnote reference"/>
    <w:basedOn w:val="3"/>
    <w:uiPriority w:val="0"/>
    <w:rPr>
      <w:vertAlign w:val="superscript"/>
    </w:rPr>
  </w:style>
  <w:style w:type="table" w:styleId="6">
    <w:name w:val="Table Grid"/>
    <w:basedOn w:val="5"/>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5.bin"/><Relationship Id="rId8" Type="http://schemas.openxmlformats.org/officeDocument/2006/relationships/image" Target="media/image4.wmf"/><Relationship Id="rId7" Type="http://schemas.openxmlformats.org/officeDocument/2006/relationships/oleObject" Target="embeddings/oleObject4.bin"/><Relationship Id="rId6" Type="http://schemas.openxmlformats.org/officeDocument/2006/relationships/image" Target="media/image3.emf"/><Relationship Id="rId5" Type="http://schemas.openxmlformats.org/officeDocument/2006/relationships/oleObject" Target="embeddings/oleObject3.bin"/><Relationship Id="rId47" Type="http://schemas.openxmlformats.org/officeDocument/2006/relationships/fontTable" Target="fontTable.xml"/><Relationship Id="rId46" Type="http://schemas.openxmlformats.org/officeDocument/2006/relationships/numbering" Target="numbering.xml"/><Relationship Id="rId45" Type="http://schemas.openxmlformats.org/officeDocument/2006/relationships/customXml" Target="../customXml/item1.xml"/><Relationship Id="rId44" Type="http://schemas.openxmlformats.org/officeDocument/2006/relationships/image" Target="media/image19.wmf"/><Relationship Id="rId43" Type="http://schemas.openxmlformats.org/officeDocument/2006/relationships/oleObject" Target="embeddings/oleObject25.bin"/><Relationship Id="rId42" Type="http://schemas.openxmlformats.org/officeDocument/2006/relationships/image" Target="media/image18.wmf"/><Relationship Id="rId41" Type="http://schemas.openxmlformats.org/officeDocument/2006/relationships/oleObject" Target="embeddings/oleObject24.bin"/><Relationship Id="rId40" Type="http://schemas.openxmlformats.org/officeDocument/2006/relationships/image" Target="media/image17.wmf"/><Relationship Id="rId4" Type="http://schemas.openxmlformats.org/officeDocument/2006/relationships/theme" Target="theme/theme1.xml"/><Relationship Id="rId39" Type="http://schemas.openxmlformats.org/officeDocument/2006/relationships/oleObject" Target="embeddings/oleObject23.bin"/><Relationship Id="rId38" Type="http://schemas.openxmlformats.org/officeDocument/2006/relationships/image" Target="media/image16.wmf"/><Relationship Id="rId37" Type="http://schemas.openxmlformats.org/officeDocument/2006/relationships/oleObject" Target="embeddings/oleObject22.bin"/><Relationship Id="rId36" Type="http://schemas.openxmlformats.org/officeDocument/2006/relationships/image" Target="media/image15.wmf"/><Relationship Id="rId35" Type="http://schemas.openxmlformats.org/officeDocument/2006/relationships/oleObject" Target="embeddings/oleObject21.bin"/><Relationship Id="rId34" Type="http://schemas.openxmlformats.org/officeDocument/2006/relationships/image" Target="media/image14.wmf"/><Relationship Id="rId33" Type="http://schemas.openxmlformats.org/officeDocument/2006/relationships/oleObject" Target="embeddings/oleObject20.bin"/><Relationship Id="rId32" Type="http://schemas.openxmlformats.org/officeDocument/2006/relationships/image" Target="media/image13.wmf"/><Relationship Id="rId31" Type="http://schemas.openxmlformats.org/officeDocument/2006/relationships/oleObject" Target="embeddings/oleObject19.bin"/><Relationship Id="rId30" Type="http://schemas.openxmlformats.org/officeDocument/2006/relationships/image" Target="media/image12.wmf"/><Relationship Id="rId3" Type="http://schemas.openxmlformats.org/officeDocument/2006/relationships/footnotes" Target="footnotes.xml"/><Relationship Id="rId29" Type="http://schemas.openxmlformats.org/officeDocument/2006/relationships/oleObject" Target="embeddings/oleObject18.bin"/><Relationship Id="rId28" Type="http://schemas.openxmlformats.org/officeDocument/2006/relationships/image" Target="media/image11.wmf"/><Relationship Id="rId27" Type="http://schemas.openxmlformats.org/officeDocument/2006/relationships/oleObject" Target="embeddings/oleObject17.bin"/><Relationship Id="rId26" Type="http://schemas.openxmlformats.org/officeDocument/2006/relationships/image" Target="media/image10.wmf"/><Relationship Id="rId25" Type="http://schemas.openxmlformats.org/officeDocument/2006/relationships/oleObject" Target="embeddings/oleObject16.bin"/><Relationship Id="rId24" Type="http://schemas.openxmlformats.org/officeDocument/2006/relationships/image" Target="media/image9.wmf"/><Relationship Id="rId23" Type="http://schemas.openxmlformats.org/officeDocument/2006/relationships/oleObject" Target="embeddings/oleObject15.bin"/><Relationship Id="rId22" Type="http://schemas.openxmlformats.org/officeDocument/2006/relationships/image" Target="media/image8.wmf"/><Relationship Id="rId21" Type="http://schemas.openxmlformats.org/officeDocument/2006/relationships/oleObject" Target="embeddings/oleObject14.bin"/><Relationship Id="rId20" Type="http://schemas.openxmlformats.org/officeDocument/2006/relationships/image" Target="media/image7.wmf"/><Relationship Id="rId2" Type="http://schemas.openxmlformats.org/officeDocument/2006/relationships/settings" Target="settings.xml"/><Relationship Id="rId19" Type="http://schemas.openxmlformats.org/officeDocument/2006/relationships/oleObject" Target="embeddings/oleObject13.bin"/><Relationship Id="rId18" Type="http://schemas.openxmlformats.org/officeDocument/2006/relationships/oleObject" Target="embeddings/oleObject12.bin"/><Relationship Id="rId17" Type="http://schemas.openxmlformats.org/officeDocument/2006/relationships/oleObject" Target="embeddings/oleObject11.bin"/><Relationship Id="rId16" Type="http://schemas.openxmlformats.org/officeDocument/2006/relationships/oleObject" Target="embeddings/oleObject10.bin"/><Relationship Id="rId15" Type="http://schemas.openxmlformats.org/officeDocument/2006/relationships/oleObject" Target="embeddings/oleObject9.bin"/><Relationship Id="rId14" Type="http://schemas.openxmlformats.org/officeDocument/2006/relationships/oleObject" Target="embeddings/oleObject8.bin"/><Relationship Id="rId13" Type="http://schemas.openxmlformats.org/officeDocument/2006/relationships/oleObject" Target="embeddings/oleObject7.bin"/><Relationship Id="rId12" Type="http://schemas.openxmlformats.org/officeDocument/2006/relationships/image" Target="media/image6.wmf"/><Relationship Id="rId11" Type="http://schemas.openxmlformats.org/officeDocument/2006/relationships/oleObject" Target="embeddings/oleObject6.bin"/><Relationship Id="rId10" Type="http://schemas.openxmlformats.org/officeDocument/2006/relationships/image" Target="media/image5.wmf"/><Relationship Id="rId1" Type="http://schemas.openxmlformats.org/officeDocument/2006/relationships/styles" Target="styles.xml"/></Relationships>
</file>

<file path=word/_rels/footnotes.xml.rels><?xml version="1.0" encoding="UTF-8" standalone="yes"?>
<Relationships xmlns="http://schemas.openxmlformats.org/package/2006/relationships"><Relationship Id="rId4" Type="http://schemas.openxmlformats.org/officeDocument/2006/relationships/image" Target="media/image2.wmf"/><Relationship Id="rId3" Type="http://schemas.openxmlformats.org/officeDocument/2006/relationships/oleObject" Target="embeddings/oleObject2.bin"/><Relationship Id="rId2" Type="http://schemas.openxmlformats.org/officeDocument/2006/relationships/image" Target="media/image1.wmf"/><Relationship Id="rId1" Type="http://schemas.openxmlformats.org/officeDocument/2006/relationships/oleObject" Target="embeddings/oleObject1.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Office_10.1.0.6135_F1E327BC-269C-435d-A152-05C5408002CA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2017-01-08T03:00:00Z</dcterms:created>
  <dc:creator>Administrator</dc:creator>
  <cp:lastModifiedBy>Administrator</cp:lastModifiedBy>
  <dcterms:modified xsi:type="dcterms:W3CDTF">2017-01-08T03:39:11Z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