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再出发：员额制下法官权力配置的衍生逻辑</w:t>
      </w:r>
    </w:p>
    <w:p>
      <w:pPr>
        <w:ind w:firstLine="600"/>
        <w:rPr>
          <w:rFonts w:hint="eastAsia" w:ascii="黑体" w:hAnsi="黑体" w:eastAsia="黑体" w:cs="黑体"/>
          <w:sz w:val="30"/>
          <w:szCs w:val="30"/>
          <w:lang w:eastAsia="zh-CN"/>
        </w:rPr>
      </w:pPr>
      <w:r>
        <w:rPr>
          <w:rFonts w:hint="eastAsia" w:ascii="黑体" w:hAnsi="黑体" w:eastAsia="黑体" w:cs="黑体"/>
          <w:sz w:val="30"/>
          <w:szCs w:val="30"/>
          <w:lang w:eastAsia="zh-CN"/>
        </w:rPr>
        <w:t>——以法官与“法官助理”、“书记员”、“其他辅助人员”关系为维度的考察</w:t>
      </w:r>
    </w:p>
    <w:p>
      <w:pPr>
        <w:ind w:firstLine="6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                  重庆市丰都县法院课题组（初稿）</w:t>
      </w:r>
    </w:p>
    <w:p>
      <w:pPr>
        <w:ind w:firstLine="60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以审判为中心的司法改革在不断向前推进，所要达到的目标就是按照司法规律配置法官权力强化法官职责，通过案件审理实现公平正义，推动中国特色社会主义法治化建设，就当前而言，全国各地各级法院初步完成法官员额制改革工作，然而仅仅停留在此，没有后续的配套机制和法官权力清单，用旧瓶装新酒或者新瓶装旧酒仍然无法实现司法改革的目标，司法公正与司法效率仍然无法实现和提高，司法行政化的模式仍然不可能得到根本性的改变，反而可能因为法官相对减少而辅助机制的缺乏导致案多人少的矛盾更为突出，因此当务之急必须研究解决后续改革所涉及到的法官权力的科学配置，法官权力的运行机理，本课题正是从这一问题出发，通过实证及比较研究等方法，探索法官权力的配置清单及运行规律，重构相关制度，保障司法改革向深层次推进。</w:t>
      </w:r>
    </w:p>
    <w:p>
      <w:pPr>
        <w:numPr>
          <w:ilvl w:val="0"/>
          <w:numId w:val="0"/>
        </w:num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一、现实：法官员额制下审判权运行中的突出问题及历史渊源。</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一）强势的司法行政管理权仍然挤占着法官独立行使审判权空间。从全国法院目前形势看，虽然法官员额制改革基本完成，各级法院确定了员额内法官，员额内法官从形式上具备了独立行使审判权的外观，但是由于审判权独立行使的配套制度没有建立起来，审判权在运行过程中仍然存在很多障碍，其中的司法行政管理权由于权力界限不明，行使主体在制度上缺乏规范，产生的权力体系仍然是行政权的“金字塔”运行模式，院长、副院长、庭长、副庭长仍然按照行政职务的高低或明或暗控制着审判权的运行，如很多法院仍然坚持着指标考核制度，上下级法院通过指标考核确定着院长、副院长、庭长、副庭长行政职务的升迁，为了“政绩”院长、副院长通过指标考核庭、室的庭长、副庭长、主任等，庭长、主任等又通过指标考核法官、司法行政人员等，法官在这种行政管理“金字塔”的模式下，处于底层，为了完成指标考核，不得不违心、背离司法规律暗中进行案件“汇报”，这种“汇报”不仅仅发生在法官与院庭长之间，而且还常常发生在上下两级法院领导之间，上下两级法官之间，其结果是法官独立行使审判权流于形式。</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二）司法行政管理权与审判权界限不明导致法官独立行使审判权运行困难。在旧有的体制下，司法行政管理权几乎是包罗万象，没有边界，而审判权无论从理论上和实践中都没有形成共识，制度层面更是缺乏，这样没有界分的权力，自然是前者如鱼得水，后者举步维艰，法官很多情况经常处于尴尬境地，经常是对书记员都指挥不动，更不说其他辅助人员，无奈之下很多辅助性事务工作，法官只能“事必躬亲”，在员额制下，法官数量相对减少，案件相对增加，责任强化的压力下，法官要吗“5+2”、“白+黑”拼命完成审判任务，可这样无法延续的生命透支又能坚持多久呢？因此必须将目前司法行政管理权中不属于其权力范围的权力剥离出来，权归原主划入法官审判权中去，明确司法行政管理权与审判权界限，让审判权真正在独立行使的轨道上运行。</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三）员额制法官与其他人员关系不明,亟待制度落地。员额制法官是法院真正意义上的法官，在原有旧体制上，具有法官身份而没有进入员额的法官如何转换身份，进入法官辅助人员队伍，没有制度安排，其职责更是缺乏后续的制度构造，由于原平等的法官身份被改革除去，降格为其他行政人员或者法官助理或者书记员，心里上的失衡，待遇上的差异，必然产生与员额制法官关系紧张，这些都亟待新的司法制度跟进，明确他们之间的关系，划定他们之间权、责、利的范围，消除矛盾，达到制度下的再平衡。对于原有体制下的书记员和新配备的法官助理，在法官的管理权限上，必须以“审判为中心，”进行重新构建，明确法官与院、庭长的新型关系，明确法官对法官助理及书记员的指挥权限，确定法官职责范围，形成高效的案件审理单元系统。从全国目前的改革试点法院情况看，普遍缺乏相关的制度探索，大部分试点法院精力都集中在员额比例，法官与法官助理及书记员的搭配比例，法官的职级待遇的探索论证上。也正是缺乏员额法官与其他人员的新型关系制度，使目前的审判效率仍然低下，与司法改革的预期目标差距甚远，甚至出现员额制法官在不堪重负的繁重繁杂工作及案件责任追究等多重压力下，申请退出员额法官或者申请调出法院的现象。</w:t>
      </w:r>
    </w:p>
    <w:p>
      <w:pPr>
        <w:numPr>
          <w:ilvl w:val="0"/>
          <w:numId w:val="0"/>
        </w:num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二、愿景展示：法官、书记员、法官助理对法官权力清单运行方式的心里表达。</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为了查明全国法院司法改革中各级法院不同群体的改革期待，现实问题，后续改革路径安排情况，本课题组采取重点选择部分试点司法改革法院及结合随机选择部分非试点改革法院方法进行问卷调查，共计向全国</w:t>
      </w:r>
      <w:r>
        <w:rPr>
          <w:rFonts w:hint="eastAsia" w:asciiTheme="majorEastAsia" w:hAnsiTheme="majorEastAsia" w:eastAsiaTheme="majorEastAsia" w:cstheme="majorEastAsia"/>
          <w:sz w:val="28"/>
          <w:szCs w:val="28"/>
          <w:lang w:val="en-US" w:eastAsia="zh-CN"/>
        </w:rPr>
        <w:t>200个中基层各发出了同一套6张问卷调查表，每一套可选择法官18人、法官助理18人、书记员18人进行不同内容的调查，调查形式采取自由表达的隐名自填方式，从回收的反馈表上可以清楚地看到了不同法院不同群体的心里愿望。回收的调查情况见表一。</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表一</w:t>
      </w:r>
    </w:p>
    <w:p>
      <w:pPr>
        <w:numPr>
          <w:ilvl w:val="0"/>
          <w:numId w:val="0"/>
        </w:numPr>
        <w:ind w:firstLine="560" w:firstLineChars="200"/>
      </w:pPr>
      <w:r>
        <w:drawing>
          <wp:inline distT="0" distB="0" distL="114300" distR="114300">
            <wp:extent cx="5271135" cy="3759835"/>
            <wp:effectExtent l="0" t="0" r="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1135" cy="3759835"/>
                    </a:xfrm>
                    <a:prstGeom prst="rect">
                      <a:avLst/>
                    </a:prstGeom>
                    <a:noFill/>
                    <a:ln w="9525">
                      <a:noFill/>
                    </a:ln>
                  </pic:spPr>
                </pic:pic>
              </a:graphicData>
            </a:graphic>
          </wp:inline>
        </w:drawing>
      </w:r>
    </w:p>
    <w:p>
      <w:pPr>
        <w:numPr>
          <w:ilvl w:val="0"/>
          <w:numId w:val="0"/>
        </w:numPr>
        <w:ind w:firstLine="560" w:firstLineChars="200"/>
        <w:rPr>
          <w:rFonts w:hint="eastAsia"/>
          <w:sz w:val="28"/>
          <w:szCs w:val="28"/>
          <w:lang w:val="en-US" w:eastAsia="zh-CN"/>
        </w:rPr>
      </w:pPr>
      <w:r>
        <w:rPr>
          <w:rFonts w:hint="eastAsia"/>
          <w:sz w:val="28"/>
          <w:szCs w:val="28"/>
          <w:lang w:val="en-US" w:eastAsia="zh-CN"/>
        </w:rPr>
        <w:t>从表一的情况看一些问卷虽然没有能预期收回，但是却也反映出一些员额法官、法官助理、书记员及被选中参与调查的法院，可能存在的状态，第一种是很多法院电话联系我们课题小组，“我们法院员额制还没有结束，正在进行中”，“我们法院刚刚结束法官员额的确定工作，但是法官助理还没有进行选任”，因此导致问卷调查没有达到3600名员额法官、法官助理、书记员的大数据展开，</w:t>
      </w:r>
      <w:r>
        <w:rPr>
          <w:rStyle w:val="13"/>
          <w:rFonts w:hint="eastAsia"/>
          <w:sz w:val="28"/>
          <w:szCs w:val="28"/>
          <w:lang w:val="en-US" w:eastAsia="zh-CN"/>
        </w:rPr>
        <w:footnoteReference w:id="0"/>
      </w:r>
      <w:r>
        <w:rPr>
          <w:rFonts w:hint="eastAsia"/>
          <w:sz w:val="28"/>
          <w:szCs w:val="28"/>
          <w:lang w:val="en-US" w:eastAsia="zh-CN"/>
        </w:rPr>
        <w:t>第二种是被问卷调查的相关人员刚刚被确认为员额法官或者法官助理，对于涉及法官权力运行的形式缺乏思考而没有作答，没有将“问卷表”邮寄回本课题组。但是尽管如此，回收到的调查表仍然比较全面，具有较大的数据性，因为涉及全国东、中、西部绝大多数地区法院的数百名法官、法官助理、书记员的作答，反映出了不同群体对下一步深化相关配套机制改革的心理期待。同时因为抽样的随机性和地域的广泛性而产生了典型的代表性特征，从数理统计学上说具有有效性，其观点也凸显了现实法院不同群体的声音。</w:t>
      </w:r>
    </w:p>
    <w:p>
      <w:pPr>
        <w:numPr>
          <w:ilvl w:val="0"/>
          <w:numId w:val="0"/>
        </w:numPr>
        <w:ind w:firstLine="560" w:firstLineChars="200"/>
        <w:rPr>
          <w:rFonts w:hint="eastAsia"/>
          <w:sz w:val="28"/>
          <w:szCs w:val="28"/>
          <w:lang w:val="en-US" w:eastAsia="zh-CN"/>
        </w:rPr>
      </w:pPr>
      <w:r>
        <w:rPr>
          <w:rFonts w:hint="eastAsia"/>
          <w:sz w:val="28"/>
          <w:szCs w:val="28"/>
          <w:lang w:val="en-US" w:eastAsia="zh-CN"/>
        </w:rPr>
        <w:t>（一）法官-法官助理-书记员选择的管理主体。</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1、</w:t>
      </w:r>
      <w:r>
        <w:rPr>
          <w:rFonts w:hint="eastAsia" w:asciiTheme="majorEastAsia" w:hAnsiTheme="majorEastAsia" w:eastAsiaTheme="majorEastAsia" w:cstheme="majorEastAsia"/>
          <w:sz w:val="28"/>
          <w:szCs w:val="28"/>
          <w:lang w:eastAsia="zh-CN"/>
        </w:rPr>
        <w:t>法官期待对法官助理及书记员的管理权。对于员额制法官在问卷中表现出积极心态，期待审判权衍生出的管理权回归，以此提高审判效率，适应司法改革需求（见表二</w:t>
      </w:r>
      <w:r>
        <w:rPr>
          <w:rFonts w:hint="eastAsia" w:ascii="宋体" w:hAnsi="宋体" w:eastAsia="宋体" w:cs="宋体"/>
          <w:sz w:val="28"/>
          <w:szCs w:val="28"/>
          <w:lang w:eastAsia="zh-CN"/>
        </w:rPr>
        <w:t>&lt;</w:t>
      </w:r>
      <w:r>
        <w:rPr>
          <w:rFonts w:hint="eastAsia" w:asciiTheme="majorEastAsia" w:hAnsiTheme="majorEastAsia" w:eastAsiaTheme="majorEastAsia" w:cstheme="majorEastAsia"/>
          <w:sz w:val="28"/>
          <w:szCs w:val="28"/>
          <w:lang w:val="en-US" w:eastAsia="zh-CN"/>
        </w:rPr>
        <w:t>法院人员参与问卷调查情况反馈统计表</w:t>
      </w:r>
      <w:r>
        <w:rPr>
          <w:rFonts w:hint="eastAsia" w:ascii="宋体" w:hAnsi="宋体" w:eastAsia="宋体" w:cs="宋体"/>
          <w:sz w:val="28"/>
          <w:szCs w:val="28"/>
          <w:lang w:val="en-US" w:eastAsia="zh-CN"/>
        </w:rPr>
        <w:t>&gt;）。</w:t>
      </w:r>
    </w:p>
    <w:p>
      <w:pPr>
        <w:numPr>
          <w:ilvl w:val="0"/>
          <w:numId w:val="0"/>
        </w:numPr>
        <w:rPr>
          <w:rFonts w:hint="eastAsia" w:asciiTheme="majorEastAsia" w:hAnsiTheme="majorEastAsia" w:eastAsiaTheme="majorEastAsia" w:cstheme="majorEastAsia"/>
          <w:sz w:val="28"/>
          <w:szCs w:val="28"/>
          <w:lang w:eastAsia="zh-CN"/>
        </w:rPr>
      </w:pP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表二</w:t>
      </w:r>
    </w:p>
    <w:p>
      <w:pPr>
        <w:ind w:firstLine="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法院人员参与问卷调查情况反馈表</w:t>
      </w:r>
    </w:p>
    <w:p>
      <w:pPr>
        <w:rPr>
          <w:rFonts w:hint="eastAsia"/>
          <w:lang w:val="en-US" w:eastAsia="zh-CN"/>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3"/>
        <w:gridCol w:w="827"/>
        <w:gridCol w:w="1059"/>
        <w:gridCol w:w="867"/>
        <w:gridCol w:w="1019"/>
        <w:gridCol w:w="958"/>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2863" w:type="dxa"/>
            <w:vMerge w:val="restart"/>
            <w:tcBorders>
              <w:right w:val="single" w:color="auto" w:sz="4" w:space="0"/>
            </w:tcBorders>
            <mc:AlternateContent>
              <mc:Choice Requires="wpsCustomData">
                <wpsCustomData:diagonals>
                  <wpsCustomData:diagonal from="30000" to="10000">
                    <wpsCustomData:border w:val="single" w:color="auto" w:sz="4" w:space="0"/>
                  </wpsCustomData:diagonal>
                </wpsCustomData:diagonals>
              </mc:Choice>
            </mc:AlternateContent>
          </w:tcPr>
          <w:p>
            <w:pPr>
              <w:snapToGrid w:val="0"/>
              <w:spacing w:line="240" w:lineRule="auto"/>
              <w:rPr>
                <w:rFonts w:hint="eastAsia"/>
                <w:vertAlign w:val="baseline"/>
                <w:lang w:val="en-US" w:eastAsia="zh-CN"/>
              </w:rPr>
            </w:pPr>
          </w:p>
          <w:p>
            <w:pPr>
              <w:snapToGrid w:val="0"/>
              <w:spacing w:line="240" w:lineRule="auto"/>
              <mc:AlternateContent>
                <mc:Choice Requires="wpsCustomData">
                  <wpsCustomData:diagonalParaType/>
                </mc:Choice>
              </mc:AlternateContent>
              <w:rPr>
                <w:rFonts w:hint="eastAsia"/>
                <w:vertAlign w:val="baseline"/>
                <w:lang w:val="en-US" w:eastAsia="zh-CN"/>
              </w:rPr>
            </w:pPr>
            <w:r>
              <w:rPr>
                <w:rFonts w:hint="eastAsia"/>
                <w:vertAlign w:val="baseline"/>
                <w:lang w:val="en-US" w:eastAsia="zh-CN"/>
              </w:rPr>
              <w:t>选择的管理主体</w:t>
            </w:r>
          </w:p>
          <w:p>
            <w:pPr>
              <w:rPr>
                <w:rFonts w:hint="eastAsia"/>
                <w:vertAlign w:val="baseline"/>
                <w:lang w:val="en-US" w:eastAsia="zh-CN"/>
              </w:rPr>
            </w:pPr>
            <w:r>
              <w:rPr>
                <w:rFonts w:hint="eastAsia"/>
                <w:vertAlign w:val="baseline"/>
                <w:lang w:val="en-US" w:eastAsia="zh-CN"/>
              </w:rPr>
              <w:t>类别</w:t>
            </w:r>
          </w:p>
        </w:tc>
        <w:tc>
          <w:tcPr>
            <w:tcW w:w="5659" w:type="dxa"/>
            <w:gridSpan w:val="6"/>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 xml:space="preserve">                被问卷人员类别及针对对象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2863" w:type="dxa"/>
            <w:vMerge w:val="continue"/>
            <w:tcBorders>
              <w:bottom w:val="single" w:color="auto" w:sz="4" w:space="0"/>
              <w:right w:val="single" w:color="auto" w:sz="4" w:space="0"/>
            </w:tcBorders>
          </w:tcPr>
          <w:p>
            <w:pPr>
              <w:rPr>
                <w:rFonts w:hint="eastAsia"/>
                <w:vertAlign w:val="baseline"/>
                <w:lang w:val="en-US" w:eastAsia="zh-CN"/>
              </w:rPr>
            </w:pPr>
          </w:p>
        </w:tc>
        <w:tc>
          <w:tcPr>
            <w:tcW w:w="1886" w:type="dxa"/>
            <w:gridSpan w:val="2"/>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员额制法官</w:t>
            </w:r>
            <w:r>
              <w:rPr>
                <w:rFonts w:hint="default" w:ascii="Arial" w:hAnsi="Arial" w:cs="Arial"/>
                <w:vertAlign w:val="baseline"/>
                <w:lang w:val="en-US" w:eastAsia="zh-CN"/>
              </w:rPr>
              <w:t>↓</w:t>
            </w:r>
          </w:p>
        </w:tc>
        <w:tc>
          <w:tcPr>
            <w:tcW w:w="1886" w:type="dxa"/>
            <w:gridSpan w:val="2"/>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法官助理</w:t>
            </w:r>
            <w:r>
              <w:rPr>
                <w:rFonts w:hint="default" w:ascii="Arial" w:hAnsi="Arial" w:cs="Arial"/>
                <w:vertAlign w:val="baseline"/>
                <w:lang w:val="en-US" w:eastAsia="zh-CN"/>
              </w:rPr>
              <w:t>↓</w:t>
            </w:r>
          </w:p>
        </w:tc>
        <w:tc>
          <w:tcPr>
            <w:tcW w:w="1887" w:type="dxa"/>
            <w:gridSpan w:val="2"/>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书记员</w:t>
            </w:r>
            <w:r>
              <w:rPr>
                <w:rFonts w:hint="default" w:ascii="Arial" w:hAnsi="Arial" w:cs="Arial"/>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863" w:type="dxa"/>
            <w:vMerge w:val="continue"/>
            <w:tcBorders>
              <w:bottom w:val="single" w:color="auto" w:sz="4" w:space="0"/>
              <w:right w:val="single" w:color="auto" w:sz="4" w:space="0"/>
            </w:tcBorders>
          </w:tcPr>
          <w:p>
            <w:pPr>
              <w:rPr>
                <w:rFonts w:hint="eastAsia"/>
                <w:vertAlign w:val="baseline"/>
                <w:lang w:val="en-US" w:eastAsia="zh-CN"/>
              </w:rPr>
            </w:pPr>
          </w:p>
        </w:tc>
        <w:tc>
          <w:tcPr>
            <w:tcW w:w="827" w:type="dxa"/>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法官助理</w:t>
            </w:r>
          </w:p>
        </w:tc>
        <w:tc>
          <w:tcPr>
            <w:tcW w:w="1059" w:type="dxa"/>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书记员</w:t>
            </w:r>
          </w:p>
        </w:tc>
        <w:tc>
          <w:tcPr>
            <w:tcW w:w="867" w:type="dxa"/>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法官助理</w:t>
            </w:r>
          </w:p>
        </w:tc>
        <w:tc>
          <w:tcPr>
            <w:tcW w:w="1019" w:type="dxa"/>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书记员</w:t>
            </w:r>
          </w:p>
        </w:tc>
        <w:tc>
          <w:tcPr>
            <w:tcW w:w="958" w:type="dxa"/>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法官助理</w:t>
            </w:r>
          </w:p>
        </w:tc>
        <w:tc>
          <w:tcPr>
            <w:tcW w:w="929" w:type="dxa"/>
            <w:tcBorders>
              <w:top w:val="single" w:color="auto" w:sz="4" w:space="0"/>
              <w:left w:val="single" w:color="auto" w:sz="4" w:space="0"/>
              <w:bottom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书记员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2863" w:type="dxa"/>
            <w:tcBorders>
              <w:top w:val="single" w:color="auto" w:sz="4" w:space="0"/>
              <w:right w:val="single" w:color="auto" w:sz="4" w:space="0"/>
            </w:tcBorders>
          </w:tcPr>
          <w:p>
            <w:pPr>
              <w:snapToGrid w:val="0"/>
              <w:spacing w:line="24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法官</w:t>
            </w:r>
          </w:p>
        </w:tc>
        <w:tc>
          <w:tcPr>
            <w:tcW w:w="827" w:type="dxa"/>
            <w:tcBorders>
              <w:top w:val="single" w:color="auto" w:sz="4" w:space="0"/>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168</w:t>
            </w:r>
          </w:p>
        </w:tc>
        <w:tc>
          <w:tcPr>
            <w:tcW w:w="1059" w:type="dxa"/>
            <w:tcBorders>
              <w:top w:val="single" w:color="auto" w:sz="4" w:space="0"/>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168</w:t>
            </w:r>
          </w:p>
        </w:tc>
        <w:tc>
          <w:tcPr>
            <w:tcW w:w="867" w:type="dxa"/>
            <w:tcBorders>
              <w:top w:val="single" w:color="auto" w:sz="4" w:space="0"/>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84</w:t>
            </w:r>
          </w:p>
        </w:tc>
        <w:tc>
          <w:tcPr>
            <w:tcW w:w="1019" w:type="dxa"/>
            <w:tcBorders>
              <w:top w:val="single" w:color="auto" w:sz="4" w:space="0"/>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84</w:t>
            </w:r>
          </w:p>
        </w:tc>
        <w:tc>
          <w:tcPr>
            <w:tcW w:w="958" w:type="dxa"/>
            <w:tcBorders>
              <w:top w:val="single" w:color="auto" w:sz="4" w:space="0"/>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112</w:t>
            </w:r>
          </w:p>
        </w:tc>
        <w:tc>
          <w:tcPr>
            <w:tcW w:w="929" w:type="dxa"/>
            <w:tcBorders>
              <w:top w:val="single" w:color="auto" w:sz="4" w:space="0"/>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2863"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组织部门</w:t>
            </w:r>
          </w:p>
        </w:tc>
        <w:tc>
          <w:tcPr>
            <w:tcW w:w="827"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157</w:t>
            </w:r>
          </w:p>
        </w:tc>
        <w:tc>
          <w:tcPr>
            <w:tcW w:w="105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163</w:t>
            </w:r>
          </w:p>
        </w:tc>
        <w:tc>
          <w:tcPr>
            <w:tcW w:w="867"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151</w:t>
            </w:r>
          </w:p>
        </w:tc>
        <w:tc>
          <w:tcPr>
            <w:tcW w:w="101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102</w:t>
            </w:r>
          </w:p>
        </w:tc>
        <w:tc>
          <w:tcPr>
            <w:tcW w:w="958"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98</w:t>
            </w:r>
          </w:p>
        </w:tc>
        <w:tc>
          <w:tcPr>
            <w:tcW w:w="92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863" w:type="dxa"/>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院领导</w:t>
            </w:r>
          </w:p>
        </w:tc>
        <w:tc>
          <w:tcPr>
            <w:tcW w:w="827"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21</w:t>
            </w:r>
          </w:p>
        </w:tc>
        <w:tc>
          <w:tcPr>
            <w:tcW w:w="1059"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24</w:t>
            </w:r>
          </w:p>
        </w:tc>
        <w:tc>
          <w:tcPr>
            <w:tcW w:w="867"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17</w:t>
            </w:r>
          </w:p>
        </w:tc>
        <w:tc>
          <w:tcPr>
            <w:tcW w:w="101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16</w:t>
            </w:r>
          </w:p>
        </w:tc>
        <w:tc>
          <w:tcPr>
            <w:tcW w:w="958"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26</w:t>
            </w:r>
          </w:p>
        </w:tc>
        <w:tc>
          <w:tcPr>
            <w:tcW w:w="92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63" w:type="dxa"/>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法官 组织部门</w:t>
            </w:r>
          </w:p>
        </w:tc>
        <w:tc>
          <w:tcPr>
            <w:tcW w:w="827"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25</w:t>
            </w:r>
          </w:p>
        </w:tc>
        <w:tc>
          <w:tcPr>
            <w:tcW w:w="1059"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19</w:t>
            </w:r>
          </w:p>
        </w:tc>
        <w:tc>
          <w:tcPr>
            <w:tcW w:w="867"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26</w:t>
            </w:r>
          </w:p>
        </w:tc>
        <w:tc>
          <w:tcPr>
            <w:tcW w:w="101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30</w:t>
            </w:r>
          </w:p>
        </w:tc>
        <w:tc>
          <w:tcPr>
            <w:tcW w:w="958"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28</w:t>
            </w:r>
          </w:p>
        </w:tc>
        <w:tc>
          <w:tcPr>
            <w:tcW w:w="92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63" w:type="dxa"/>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法官 院领导</w:t>
            </w:r>
          </w:p>
        </w:tc>
        <w:tc>
          <w:tcPr>
            <w:tcW w:w="827"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w:t>
            </w:r>
          </w:p>
        </w:tc>
        <w:tc>
          <w:tcPr>
            <w:tcW w:w="1059"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w:t>
            </w:r>
          </w:p>
        </w:tc>
        <w:tc>
          <w:tcPr>
            <w:tcW w:w="867"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w:t>
            </w:r>
          </w:p>
        </w:tc>
        <w:tc>
          <w:tcPr>
            <w:tcW w:w="101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w:t>
            </w:r>
          </w:p>
        </w:tc>
        <w:tc>
          <w:tcPr>
            <w:tcW w:w="958"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w:t>
            </w:r>
          </w:p>
        </w:tc>
        <w:tc>
          <w:tcPr>
            <w:tcW w:w="92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863" w:type="dxa"/>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法官 组织部门 院领导</w:t>
            </w:r>
          </w:p>
        </w:tc>
        <w:tc>
          <w:tcPr>
            <w:tcW w:w="827"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w:t>
            </w:r>
          </w:p>
        </w:tc>
        <w:tc>
          <w:tcPr>
            <w:tcW w:w="1059" w:type="dxa"/>
            <w:tcBorders>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w:t>
            </w:r>
          </w:p>
        </w:tc>
        <w:tc>
          <w:tcPr>
            <w:tcW w:w="867"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w:t>
            </w:r>
          </w:p>
        </w:tc>
        <w:tc>
          <w:tcPr>
            <w:tcW w:w="101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w:t>
            </w:r>
          </w:p>
        </w:tc>
        <w:tc>
          <w:tcPr>
            <w:tcW w:w="958"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w:t>
            </w:r>
          </w:p>
        </w:tc>
        <w:tc>
          <w:tcPr>
            <w:tcW w:w="929" w:type="dxa"/>
            <w:tcBorders>
              <w:left w:val="single" w:color="auto" w:sz="4" w:space="0"/>
              <w:right w:val="single" w:color="auto" w:sz="4" w:space="0"/>
            </w:tcBorders>
          </w:tcPr>
          <w:p>
            <w:pP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863" w:type="dxa"/>
          </w:tcPr>
          <w:p>
            <w:pPr>
              <w:rPr>
                <w:rFonts w:hint="eastAsia"/>
                <w:vertAlign w:val="baseline"/>
                <w:lang w:val="en-US" w:eastAsia="zh-CN"/>
              </w:rPr>
            </w:pPr>
            <w:r>
              <w:rPr>
                <w:rFonts w:hint="eastAsia"/>
                <w:vertAlign w:val="baseline"/>
                <w:lang w:val="en-US" w:eastAsia="zh-CN"/>
              </w:rPr>
              <w:t>组织部门 院领导</w:t>
            </w:r>
          </w:p>
        </w:tc>
        <w:tc>
          <w:tcPr>
            <w:tcW w:w="827" w:type="dxa"/>
            <w:tcBorders>
              <w:right w:val="single" w:color="auto" w:sz="4" w:space="0"/>
            </w:tcBorders>
          </w:tcPr>
          <w:p>
            <w:pPr>
              <w:rPr>
                <w:rFonts w:hint="eastAsia"/>
                <w:vertAlign w:val="baseline"/>
                <w:lang w:val="en-US" w:eastAsia="zh-CN"/>
              </w:rPr>
            </w:pPr>
            <w:r>
              <w:rPr>
                <w:rFonts w:hint="eastAsia"/>
                <w:vertAlign w:val="baseline"/>
                <w:lang w:val="en-US" w:eastAsia="zh-CN"/>
              </w:rPr>
              <w:t>14</w:t>
            </w:r>
          </w:p>
        </w:tc>
        <w:tc>
          <w:tcPr>
            <w:tcW w:w="1059" w:type="dxa"/>
            <w:tcBorders>
              <w:right w:val="single" w:color="auto" w:sz="4" w:space="0"/>
            </w:tcBorders>
          </w:tcPr>
          <w:p>
            <w:pPr>
              <w:rPr>
                <w:rFonts w:hint="eastAsia"/>
                <w:vertAlign w:val="baseline"/>
                <w:lang w:val="en-US" w:eastAsia="zh-CN"/>
              </w:rPr>
            </w:pPr>
            <w:r>
              <w:rPr>
                <w:rFonts w:hint="eastAsia"/>
                <w:vertAlign w:val="baseline"/>
                <w:lang w:val="en-US" w:eastAsia="zh-CN"/>
              </w:rPr>
              <w:t>14</w:t>
            </w:r>
          </w:p>
        </w:tc>
        <w:tc>
          <w:tcPr>
            <w:tcW w:w="867" w:type="dxa"/>
            <w:tcBorders>
              <w:left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2</w:t>
            </w:r>
          </w:p>
        </w:tc>
        <w:tc>
          <w:tcPr>
            <w:tcW w:w="1019" w:type="dxa"/>
            <w:tcBorders>
              <w:left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6</w:t>
            </w:r>
          </w:p>
        </w:tc>
        <w:tc>
          <w:tcPr>
            <w:tcW w:w="958" w:type="dxa"/>
            <w:tcBorders>
              <w:left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8</w:t>
            </w:r>
          </w:p>
        </w:tc>
        <w:tc>
          <w:tcPr>
            <w:tcW w:w="929" w:type="dxa"/>
            <w:tcBorders>
              <w:left w:val="single" w:color="auto" w:sz="4" w:space="0"/>
              <w:right w:val="single" w:color="auto" w:sz="4" w:space="0"/>
            </w:tcBorders>
          </w:tcPr>
          <w:p>
            <w:pPr>
              <w:rPr>
                <w:rFonts w:hint="eastAsia"/>
                <w:vertAlign w:val="baseline"/>
                <w:lang w:val="en-US" w:eastAsia="zh-CN"/>
              </w:rPr>
            </w:pPr>
            <w:r>
              <w:rPr>
                <w:rFonts w:hint="eastAsia"/>
                <w:vertAlign w:val="baseline"/>
                <w:lang w:val="en-US" w:eastAsia="zh-CN"/>
              </w:rPr>
              <w:t>0</w:t>
            </w:r>
          </w:p>
        </w:tc>
      </w:tr>
    </w:tbl>
    <w:p>
      <w:pPr>
        <w:rPr>
          <w:rFonts w:hint="eastAsia"/>
          <w:lang w:val="en-US" w:eastAsia="zh-CN"/>
        </w:rPr>
      </w:pPr>
    </w:p>
    <w:p>
      <w:pPr>
        <w:numPr>
          <w:ilvl w:val="0"/>
          <w:numId w:val="0"/>
        </w:numPr>
        <w:ind w:firstLine="0" w:firstLineChars="200"/>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结合统计表一、二可以清楚地看到法官希望法官助理由法官行使管理权的为39.7%；由组织部门行使管理权的为37.1%；由院领导行使管理权的为5%；由</w:t>
      </w:r>
      <w:r>
        <w:rPr>
          <w:rFonts w:hint="eastAsia" w:ascii="宋体" w:hAnsi="宋体" w:eastAsia="宋体" w:cs="宋体"/>
          <w:sz w:val="28"/>
          <w:szCs w:val="28"/>
          <w:vertAlign w:val="baseline"/>
          <w:lang w:val="en-US" w:eastAsia="zh-CN"/>
        </w:rPr>
        <w:t>法官 组织部门共同行使管理权的5.9%：由法官 组织部门 院领导共同行使管理权的为1.9%；由组织部门 院领导共同行使管理权的为3.3%；由法官 院领导共同行使管理权的为0；持其他意见不愿意表明的为7%，图示如下：</w:t>
      </w:r>
    </w:p>
    <w:p>
      <w:pPr>
        <w:numPr>
          <w:ilvl w:val="0"/>
          <w:numId w:val="0"/>
        </w:numPr>
        <w:ind w:firstLine="0" w:firstLineChars="200"/>
        <w:rPr>
          <w:rFonts w:hint="eastAsia" w:ascii="宋体" w:hAnsi="宋体" w:eastAsia="宋体" w:cs="宋体"/>
          <w:sz w:val="28"/>
          <w:szCs w:val="28"/>
          <w:vertAlign w:val="baseline"/>
          <w:lang w:val="en-US" w:eastAsia="zh-CN"/>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0"/>
        </w:numPr>
        <w:ind w:firstLine="0" w:firstLineChars="200"/>
        <w:rPr>
          <w:rFonts w:hint="eastAsia" w:ascii="宋体" w:hAnsi="宋体" w:eastAsia="宋体" w:cs="宋体"/>
          <w:sz w:val="28"/>
          <w:szCs w:val="28"/>
          <w:vertAlign w:val="baseline"/>
          <w:lang w:val="en-US" w:eastAsia="zh-CN"/>
        </w:rPr>
      </w:pPr>
      <w:r>
        <w:rPr>
          <w:rFonts w:hint="eastAsia" w:asciiTheme="majorEastAsia" w:hAnsiTheme="majorEastAsia" w:eastAsiaTheme="majorEastAsia" w:cstheme="majorEastAsia"/>
          <w:sz w:val="28"/>
          <w:szCs w:val="28"/>
          <w:lang w:val="en-US" w:eastAsia="zh-CN"/>
        </w:rPr>
        <w:t>从以上图表可以清楚地看出，法官对于法官助理行使管理权的主体主要有两种不同观点，一种是由法官自己管理，这是最多的一种意见，其次是由法院组织部门管理，其余的管理方式都属于少数不同意见，为什么实证是这样的结果？课题组认为可以作以下解读：法官行使对法官助理的管理权，对于提高审判效率来说应该说是最好的方式，因为法官直接行使管理大权，避免了中转环节，指令一发出立即达到法官助理，法官的意志立即转换为法官助理的意志，法官助理的辅助行为立即产生，并且在达不到法官要求的情况下，还可以继续新的指令，直到其行为符合法官的意志为止，审判效率自然得到提升，案件质量也会因为庭审前后准备充分而节省了耗费在杂务上的法官的有限时间，这节省的时间被法官充分用到了案件事实的充分把握及裁判结论的充分论证上，从而得到提升，因此多数法官选择了第一种管理法官助理的方式；至于选择第二种对法官助理的管理方式也有很大一部分，其原因应该是多方面的，主要的原因是刚刚入额的法官很多是年轻法官，缺少管理经验，存在畏惧年长法官助理，怕管不好承担管理责任，不如不要管理权为上策，这种心态的员额法官，在反馈的调查表中基本得到验证，只是在选择管理主体时为什么选择法院组织部门，而很少选择</w:t>
      </w:r>
      <w:r>
        <w:rPr>
          <w:rFonts w:hint="eastAsia" w:ascii="宋体" w:hAnsi="宋体" w:eastAsia="宋体" w:cs="宋体"/>
          <w:sz w:val="28"/>
          <w:szCs w:val="28"/>
          <w:lang w:val="en-US" w:eastAsia="zh-CN"/>
        </w:rPr>
        <w:t>院领导、</w:t>
      </w:r>
      <w:r>
        <w:rPr>
          <w:rFonts w:hint="eastAsia" w:ascii="宋体" w:hAnsi="宋体" w:eastAsia="宋体" w:cs="宋体"/>
          <w:sz w:val="28"/>
          <w:szCs w:val="28"/>
          <w:vertAlign w:val="baseline"/>
          <w:lang w:val="en-US" w:eastAsia="zh-CN"/>
        </w:rPr>
        <w:t>法官 组织部门、法官 组织部门 院领导共同四种形式呢？需要进一步分析，在这些年轻法官看来，法院组织部门是用制度在管理，虽然不如自己管理直接和有效率，但是通过组织部门转达意见，实现自己间接管理目的还是可能的，这样既摆脱了管理责任，又可能实现自己的意图，因此成了部分年轻法官的第二选择，之所以很少选择另外三种管理形式，是因为这三种形式都有行政领导的直接参与，这样的形式完全是行政管理的金字塔形式，法官在这样的司法行政化模式下，法官助理可能根本就听法官的意见，辅助行为可能就沦为徒有虚名的形式，为此多数法官不选择这些管理法官助理的方式。</w:t>
      </w:r>
    </w:p>
    <w:p>
      <w:pPr>
        <w:numPr>
          <w:ilvl w:val="0"/>
          <w:numId w:val="0"/>
        </w:numPr>
        <w:ind w:firstLine="0" w:firstLineChars="20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 xml:space="preserve">  2、书记员多数赞同法官对助理行使管理权。从表二可以清晰地看出多数持法官自己来管理自己的助理，书记员很清楚由法官管理助理，方便法官协调与自己这个群体的关系，工作上的协调配合便于提高审判效率，也有利于绩效考核。次之的意见仍然持法院组织部门行使管理权，持这一观点的书记员群体，可能的理由是法官能否管理好助理，或者是基于法院组织部门的旧有的组织制度文化惯性产生的影响，但是绝大多数书记员对于其他带有行政化色彩的管理模式仍然持反对的意见。</w:t>
      </w:r>
    </w:p>
    <w:p>
      <w:pPr>
        <w:numPr>
          <w:ilvl w:val="0"/>
          <w:numId w:val="0"/>
        </w:numPr>
        <w:ind w:firstLine="0" w:firstLineChars="20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 xml:space="preserve">  3、法官助理多数选择组织部门管理自己，次之选择是由法官管理自己。以上可以将表二转换成对比图，观察得更为清楚（见下图）。</w:t>
      </w:r>
    </w:p>
    <w:p>
      <w:pPr>
        <w:numPr>
          <w:ilvl w:val="0"/>
          <w:numId w:val="0"/>
        </w:numPr>
        <w:ind w:firstLine="0" w:firstLineChars="200"/>
      </w:pPr>
      <w:r>
        <w:drawing>
          <wp:inline distT="0" distB="0" distL="114300" distR="114300">
            <wp:extent cx="4572000" cy="27432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numPr>
          <w:ilvl w:val="0"/>
          <w:numId w:val="0"/>
        </w:numPr>
        <w:ind w:firstLine="0" w:firstLineChars="200"/>
        <w:rPr>
          <w:rFonts w:hint="eastAsia"/>
          <w:sz w:val="28"/>
          <w:szCs w:val="28"/>
          <w:lang w:eastAsia="zh-CN"/>
        </w:rPr>
      </w:pPr>
      <w:r>
        <w:rPr>
          <w:rFonts w:hint="eastAsia"/>
          <w:sz w:val="28"/>
          <w:szCs w:val="28"/>
          <w:lang w:eastAsia="zh-CN"/>
        </w:rPr>
        <w:t>法官助理之所以多数选择法院组织部门管理自己，次之选择法官来管理自己，原因不外乎是担心法官加重自己的辅助工作，或者出于其他个人因素的考虑，从较多数法官助理选择法官来管理自己就可以得到证明，也可能认为组织部门管理自己对于今后的晋升更为公平合理。同时从图表可以看出其他的旧有行政管理模式绝大多数法官助理仍然持反对意见。</w:t>
      </w:r>
    </w:p>
    <w:p>
      <w:pPr>
        <w:numPr>
          <w:ilvl w:val="0"/>
          <w:numId w:val="0"/>
        </w:numPr>
        <w:ind w:firstLine="0" w:firstLineChars="200"/>
        <w:rPr>
          <w:rFonts w:hint="eastAsia"/>
          <w:sz w:val="28"/>
          <w:szCs w:val="28"/>
          <w:lang w:eastAsia="zh-CN"/>
        </w:rPr>
      </w:pPr>
      <w:r>
        <w:rPr>
          <w:rFonts w:hint="eastAsia"/>
          <w:sz w:val="28"/>
          <w:szCs w:val="28"/>
          <w:lang w:val="en-US" w:eastAsia="zh-CN"/>
        </w:rPr>
        <w:t xml:space="preserve">  4、</w:t>
      </w:r>
      <w:r>
        <w:rPr>
          <w:rFonts w:hint="eastAsia"/>
          <w:sz w:val="28"/>
          <w:szCs w:val="28"/>
          <w:lang w:eastAsia="zh-CN"/>
        </w:rPr>
        <w:t>法官助理较多赞同书记员的管理权由组织部门行使，次之选择由法官行使管理权。从表二可以得出上面结论，其余的管理模式</w:t>
      </w:r>
      <w:r>
        <w:rPr>
          <w:rFonts w:hint="eastAsia" w:ascii="宋体" w:hAnsi="宋体" w:eastAsia="宋体" w:cs="宋体"/>
          <w:sz w:val="28"/>
          <w:szCs w:val="28"/>
          <w:lang w:val="en-US" w:eastAsia="zh-CN"/>
        </w:rPr>
        <w:t>领导、</w:t>
      </w:r>
      <w:r>
        <w:rPr>
          <w:rFonts w:hint="eastAsia" w:ascii="宋体" w:hAnsi="宋体" w:eastAsia="宋体" w:cs="宋体"/>
          <w:sz w:val="28"/>
          <w:szCs w:val="28"/>
          <w:vertAlign w:val="baseline"/>
          <w:lang w:val="en-US" w:eastAsia="zh-CN"/>
        </w:rPr>
        <w:t>法官 组织部门、法官 组织部门 院领导四种形式被绝大多数法官助理抛弃（见下对比图）。</w:t>
      </w:r>
    </w:p>
    <w:p>
      <w:pPr>
        <w:numPr>
          <w:ilvl w:val="0"/>
          <w:numId w:val="0"/>
        </w:numPr>
        <w:ind w:firstLine="0" w:firstLineChars="200"/>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0"/>
        </w:numPr>
        <w:ind w:firstLine="0" w:firstLineChars="20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从比例图可以看出，法官助理是选择法官或者是选择组织部门来管理书记员两种选择比较纠结，结果是后者微多。</w:t>
      </w:r>
    </w:p>
    <w:p>
      <w:pPr>
        <w:numPr>
          <w:ilvl w:val="0"/>
          <w:numId w:val="0"/>
        </w:numPr>
        <w:ind w:firstLine="0" w:firstLineChars="20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 xml:space="preserve">  5、书记员多数选择组织部门来行使对自己的管理权，次之选择法官对自己行使管理权。这个结论仍然可从表二得出，图示如下。从图示比例情况仍然可以看出书记员对以上两种选择如何是好仍存纠结，导致两种选择的人数相差不是很大。可其他几种管理模式，几乎被绝大多数书记员抛弃，也可从中得出旧有的行政化司法行政管理模式受到厌恶。</w:t>
      </w:r>
    </w:p>
    <w:p>
      <w:pPr>
        <w:numPr>
          <w:ilvl w:val="0"/>
          <w:numId w:val="0"/>
        </w:numPr>
        <w:ind w:firstLine="0" w:firstLineChars="200"/>
      </w:pPr>
      <w: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0"/>
        </w:numPr>
        <w:ind w:firstLine="0" w:firstLineChars="200"/>
        <w:rPr>
          <w:rFonts w:hint="eastAsia"/>
          <w:sz w:val="28"/>
          <w:szCs w:val="28"/>
          <w:lang w:val="en-US" w:eastAsia="zh-CN"/>
        </w:rPr>
      </w:pPr>
      <w:r>
        <w:rPr>
          <w:rFonts w:hint="eastAsia"/>
          <w:sz w:val="28"/>
          <w:szCs w:val="28"/>
          <w:lang w:val="en-US" w:eastAsia="zh-CN"/>
        </w:rPr>
        <w:t>从以上实证数据分析不难得出法官、法官助理、书记员这法院的三大群体对于法官助理及书记员由谁了行使审判管理权，存在主要的两种不同意见，一种意见为法官行使管理权，一种为法院组织部门行使管理权，持这两种不同意见的人数相差不多，那种意见更为合理或者其他模式更具合理性，必须进行价值理论上的判断分析及实践考证，本课题将在后面部分进行理论上的证明。</w:t>
      </w:r>
    </w:p>
    <w:p>
      <w:pPr>
        <w:numPr>
          <w:ilvl w:val="0"/>
          <w:numId w:val="0"/>
        </w:numPr>
        <w:ind w:firstLine="0" w:firstLineChars="200"/>
        <w:rPr>
          <w:rFonts w:hint="eastAsia"/>
          <w:sz w:val="28"/>
          <w:szCs w:val="28"/>
          <w:lang w:val="en-US" w:eastAsia="zh-CN"/>
        </w:rPr>
      </w:pPr>
      <w:r>
        <w:rPr>
          <w:rFonts w:hint="eastAsia"/>
          <w:sz w:val="28"/>
          <w:szCs w:val="28"/>
          <w:lang w:val="en-US" w:eastAsia="zh-CN"/>
        </w:rPr>
        <w:t xml:space="preserve">  （二）在法院不同群体中怎样划定法官的权力范围。</w:t>
      </w:r>
    </w:p>
    <w:p>
      <w:pPr>
        <w:numPr>
          <w:ilvl w:val="0"/>
          <w:numId w:val="0"/>
        </w:numPr>
        <w:ind w:firstLine="0" w:firstLineChars="200"/>
        <w:rPr>
          <w:rFonts w:hint="eastAsia"/>
          <w:sz w:val="28"/>
          <w:szCs w:val="28"/>
          <w:lang w:val="en-US" w:eastAsia="zh-CN"/>
        </w:rPr>
      </w:pPr>
      <w:r>
        <w:rPr>
          <w:rFonts w:hint="eastAsia"/>
          <w:sz w:val="28"/>
          <w:szCs w:val="28"/>
          <w:lang w:val="en-US" w:eastAsia="zh-CN"/>
        </w:rPr>
        <w:t>对于法院不同群体怎样划定法官的权力问题，我们课题组也在法官、法官助理二大主要群体中分别进行了问卷调查，调查情况分析如下。</w:t>
      </w:r>
    </w:p>
    <w:p>
      <w:pPr>
        <w:numPr>
          <w:ilvl w:val="0"/>
          <w:numId w:val="0"/>
        </w:numPr>
        <w:ind w:firstLine="0" w:firstLineChars="200"/>
        <w:rPr>
          <w:rFonts w:hint="eastAsia"/>
          <w:sz w:val="28"/>
          <w:szCs w:val="28"/>
          <w:lang w:val="en-US" w:eastAsia="zh-CN"/>
        </w:rPr>
      </w:pPr>
      <w:r>
        <w:rPr>
          <w:rFonts w:hint="eastAsia"/>
          <w:sz w:val="28"/>
          <w:szCs w:val="28"/>
          <w:lang w:val="en-US" w:eastAsia="zh-CN"/>
        </w:rPr>
        <w:t xml:space="preserve">   1、法官坚持应当享有独立审判案件及相当的职业保障权和管理权。为了了解法官对于权力的期待，我们设定了问卷调查表，对于法官的反馈如表三。</w:t>
      </w:r>
    </w:p>
    <w:p>
      <w:pPr>
        <w:ind w:firstLine="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    表三</w:t>
      </w:r>
    </w:p>
    <w:p>
      <w:pPr>
        <w:rPr>
          <w:rFonts w:hint="eastAsia" w:ascii="黑体" w:hAnsi="黑体" w:eastAsia="黑体" w:cs="黑体"/>
          <w:sz w:val="30"/>
          <w:szCs w:val="30"/>
          <w:lang w:val="en-US" w:eastAsia="zh-CN"/>
        </w:rPr>
      </w:pPr>
    </w:p>
    <w:tbl>
      <w:tblPr>
        <w:tblStyle w:val="15"/>
        <w:tblW w:w="5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8"/>
        <w:gridCol w:w="700"/>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3408" w:type="dxa"/>
            <mc:AlternateContent>
              <mc:Choice Requires="wpsCustomData">
                <wpsCustomData:diagonals>
                  <wpsCustomData:diagonal from="30000" to="10000">
                    <wpsCustomData:border w:val="single" w:color="auto" w:sz="4" w:space="0"/>
                  </wpsCustomData:diagonal>
                </wpsCustomData:diagonals>
              </mc:Choice>
            </mc:AlternateContent>
          </w:tcPr>
          <w:p>
            <w:pPr>
              <w:snapToGrid w:val="0"/>
              <w:spacing w:line="240" w:lineRule="auto"/>
              <w:rPr>
                <w:rFonts w:hint="eastAsia" w:ascii="黑体" w:hAnsi="黑体" w:eastAsia="黑体" w:cs="黑体"/>
                <w:sz w:val="21"/>
                <w:szCs w:val="21"/>
                <w:vertAlign w:val="baseline"/>
                <w:lang w:val="en-US" w:eastAsia="zh-CN"/>
              </w:rPr>
            </w:pPr>
          </w:p>
          <w:p>
            <w:pPr>
              <w:snapToGrid w:val="0"/>
              <w:spacing w:line="240" w:lineRule="auto"/>
              <mc:AlternateContent>
                <mc:Choice Requires="wpsCustomData">
                  <wpsCustomData:diagonalParaType/>
                </mc:Choice>
              </mc:AlternateContent>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法官该当的权力与义务内容</w:t>
            </w:r>
          </w:p>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被问卷对象</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法官</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占参与被问卷法官总数423的百分比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独立审判案件</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398</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领导法官助理工作</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363</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领导书记员工作</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358</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获得优厚报酬权</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377</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本人及近亲属人身及财产权益受特别保护</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311</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享有司法豁免权</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322</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享有职业培训及参与学术活动权</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398</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法定节假日休息权</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401</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依法接受法律监督</w:t>
            </w:r>
          </w:p>
        </w:tc>
        <w:tc>
          <w:tcPr>
            <w:tcW w:w="700"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415</w:t>
            </w:r>
          </w:p>
        </w:tc>
        <w:tc>
          <w:tcPr>
            <w:tcW w:w="1244"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98.1%</w:t>
            </w:r>
          </w:p>
        </w:tc>
      </w:tr>
    </w:tbl>
    <w:p>
      <w:pPr>
        <w:numPr>
          <w:ilvl w:val="0"/>
          <w:numId w:val="0"/>
        </w:numPr>
        <w:ind w:firstLine="0" w:firstLineChars="200"/>
        <w:rPr>
          <w:rFonts w:hint="eastAsia"/>
          <w:sz w:val="28"/>
          <w:szCs w:val="28"/>
          <w:lang w:val="en-US" w:eastAsia="zh-CN"/>
        </w:rPr>
      </w:pPr>
      <w:r>
        <w:rPr>
          <w:rFonts w:hint="eastAsia"/>
          <w:sz w:val="28"/>
          <w:szCs w:val="28"/>
          <w:lang w:val="en-US" w:eastAsia="zh-CN"/>
        </w:rPr>
        <w:t>从员额制法官的问卷调查表明，法官特别期待拥有独立审判案件、领导法官助理工作、领导书记员工作、获得优厚报酬、本人和近亲属人身及财产受到特别保护、享有司法豁免、享有职业培训及参与学术活动、法定节假日休息的权利，同时也乐意和自觉接受法律监督。同时还补证了一个实证问题，即在上文中，对于书记员和法官助理行使抽象的管理权时，法官是选择自己？还是选择法院组织部门？比较纠结的相当部分法官，在明确具体的审判管理工作面前，由纠结反对转化为赞同法官自己来行使对书记员及法官助理的管理权，所占法官比例达到了法官80%以上的绝大多数。</w:t>
      </w:r>
    </w:p>
    <w:p>
      <w:pPr>
        <w:numPr>
          <w:ilvl w:val="0"/>
          <w:numId w:val="0"/>
        </w:numPr>
        <w:ind w:firstLine="0" w:firstLineChars="200"/>
        <w:rPr>
          <w:rFonts w:hint="eastAsia"/>
          <w:sz w:val="28"/>
          <w:szCs w:val="28"/>
          <w:lang w:val="en-US" w:eastAsia="zh-CN"/>
        </w:rPr>
      </w:pPr>
      <w:r>
        <w:rPr>
          <w:rFonts w:hint="eastAsia"/>
          <w:sz w:val="28"/>
          <w:szCs w:val="28"/>
          <w:lang w:val="en-US" w:eastAsia="zh-CN"/>
        </w:rPr>
        <w:t xml:space="preserve">   2、法官助理在具体的职责面前，对法官权力的认识由情绪化转变为理性化。见法官助理职责调查表（表四）。</w:t>
      </w:r>
    </w:p>
    <w:p>
      <w:pPr>
        <w:ind w:firstLine="0" w:firstLineChars="200"/>
        <w:rPr>
          <w:rFonts w:hint="eastAsia" w:ascii="黑体" w:hAnsi="黑体" w:eastAsia="黑体" w:cs="黑体"/>
          <w:sz w:val="30"/>
          <w:szCs w:val="30"/>
          <w:lang w:val="en-US" w:eastAsia="zh-CN"/>
        </w:rPr>
      </w:pPr>
    </w:p>
    <w:p>
      <w:pP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       表四</w:t>
      </w:r>
    </w:p>
    <w:p>
      <w:pPr>
        <w:rPr>
          <w:rFonts w:hint="eastAsia" w:ascii="黑体" w:hAnsi="黑体" w:eastAsia="黑体" w:cs="黑体"/>
          <w:sz w:val="30"/>
          <w:szCs w:val="30"/>
          <w:lang w:val="en-US" w:eastAsia="zh-CN"/>
        </w:rPr>
      </w:pPr>
    </w:p>
    <w:tbl>
      <w:tblPr>
        <w:tblStyle w:val="15"/>
        <w:tblW w:w="5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8"/>
        <w:gridCol w:w="1007"/>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3408" w:type="dxa"/>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rPr>
                <w:rFonts w:hint="eastAsia" w:ascii="黑体" w:hAnsi="黑体" w:eastAsia="黑体" w:cs="黑体"/>
                <w:sz w:val="30"/>
                <w:szCs w:val="30"/>
                <w:vertAlign w:val="baseline"/>
                <w:lang w:val="en-US" w:eastAsia="zh-CN"/>
              </w:rPr>
            </w:pPr>
          </w:p>
          <w:p>
            <w:pPr>
              <w:snapToGrid w:val="0"/>
              <w:spacing w:line="240" w:lineRule="auto"/>
              <mc:AlternateContent>
                <mc:Choice Requires="wpsCustomData">
                  <wpsCustomData:diagonalParaType/>
                </mc:Choice>
              </mc:AlternateContent>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法官助理该当的义务内容</w:t>
            </w:r>
          </w:p>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被问卷对象</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法官助理</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占法官助理参与问卷人数365人的百分比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接受法官领导</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264</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协助法官开展庭审工作</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296</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受法官委托监督书记员工作</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181</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受法官委托组织调解案件</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250</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根据法官或者合议庭意见草拟裁判文书</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247</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代理法官协调与其他辅助人员工作</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218</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3408"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草拟审理报告</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236</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3408" w:type="dxa"/>
          </w:tcPr>
          <w:p>
            <w:pPr>
              <w:rPr>
                <w:rFonts w:hint="eastAsia" w:ascii="黑体" w:hAnsi="黑体" w:eastAsia="黑体" w:cs="黑体"/>
                <w:sz w:val="30"/>
                <w:szCs w:val="30"/>
                <w:vertAlign w:val="baseline"/>
                <w:lang w:val="en-US" w:eastAsia="zh-CN"/>
              </w:rPr>
            </w:pPr>
            <w:r>
              <w:rPr>
                <w:rFonts w:hint="eastAsia" w:ascii="黑体" w:hAnsi="黑体" w:eastAsia="黑体" w:cs="黑体"/>
                <w:sz w:val="21"/>
                <w:szCs w:val="21"/>
                <w:vertAlign w:val="baseline"/>
                <w:lang w:val="en-US" w:eastAsia="zh-CN"/>
              </w:rPr>
              <w:t>配合书记员校核法律文书</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237</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3408" w:type="dxa"/>
          </w:tcPr>
          <w:p>
            <w:pPr>
              <w:rPr>
                <w:rFonts w:hint="eastAsia" w:ascii="黑体" w:hAnsi="黑体" w:eastAsia="黑体" w:cs="黑体"/>
                <w:sz w:val="30"/>
                <w:szCs w:val="30"/>
                <w:vertAlign w:val="baseline"/>
                <w:lang w:val="en-US" w:eastAsia="zh-CN"/>
              </w:rPr>
            </w:pPr>
            <w:r>
              <w:rPr>
                <w:rFonts w:hint="eastAsia" w:ascii="黑体" w:hAnsi="黑体" w:eastAsia="黑体" w:cs="黑体"/>
                <w:sz w:val="21"/>
                <w:szCs w:val="21"/>
                <w:vertAlign w:val="baseline"/>
                <w:lang w:val="en-US" w:eastAsia="zh-CN"/>
              </w:rPr>
              <w:t>完成法官交办的其他工作</w:t>
            </w:r>
          </w:p>
        </w:tc>
        <w:tc>
          <w:tcPr>
            <w:tcW w:w="100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245</w:t>
            </w:r>
          </w:p>
        </w:tc>
        <w:tc>
          <w:tcPr>
            <w:tcW w:w="1517" w:type="dxa"/>
          </w:tcPr>
          <w:p>
            <w:pP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67.1%</w:t>
            </w:r>
          </w:p>
        </w:tc>
      </w:tr>
    </w:tbl>
    <w:p>
      <w:pPr>
        <w:numPr>
          <w:ilvl w:val="0"/>
          <w:numId w:val="0"/>
        </w:numPr>
        <w:rPr>
          <w:rFonts w:hint="eastAsia"/>
          <w:sz w:val="28"/>
          <w:szCs w:val="28"/>
          <w:lang w:val="en-US" w:eastAsia="zh-CN"/>
        </w:rPr>
      </w:pPr>
    </w:p>
    <w:p>
      <w:pPr>
        <w:numPr>
          <w:ilvl w:val="0"/>
          <w:numId w:val="0"/>
        </w:numPr>
        <w:ind w:firstLine="0" w:firstLineChars="200"/>
        <w:rPr>
          <w:rFonts w:hint="eastAsia"/>
          <w:sz w:val="28"/>
          <w:szCs w:val="28"/>
          <w:lang w:val="en-US" w:eastAsia="zh-CN"/>
        </w:rPr>
      </w:pPr>
      <w:r>
        <w:rPr>
          <w:rFonts w:hint="eastAsia"/>
          <w:sz w:val="28"/>
          <w:szCs w:val="28"/>
          <w:lang w:val="en-US" w:eastAsia="zh-CN"/>
        </w:rPr>
        <w:t>对于法官助理究竟有些什么职责，我们通过问卷的形式继续进行了调查，调查情况如上表，从表中可以清楚地看出，法官助理态度的转变情况，在表二中仅84人赞同法官对法官助理行使管理权，占参与被问卷法官助理人数365人的23%，现增加到72.3%，其原因除上文中分析的原因外，应当还有一个原因，就是法官助理在认识自己应当干的工作即职责上，法官管理自己是其工作需要，情绪化的反对后就是理性对待，接受司法改革的现实，因此从多数反对到多数赞同法官行使对自己的管理权。法官助理心里在理性化为自己定位后，清楚了自己的职责范围：协助法官开展庭审工作，是法官助理设置的第一要义，法官的工作就是以审判为中心展开的，需要协助的工作主要内容就在其中，因此得到绝大多数法官助理的赞同。受法官委托监督书记员工作，相对来说赞同要比前者少，但过半数仍然赞同。受法官委托组织调解案件，这是对协助法官审判工作的具体展开，因此也得到多数法官助理的赞同。根据法官或者合议庭意见草拟裁判文书，法官裁判案件的主要体现就是制作裁判文书，其应有的职责属于法官，但是在大量案件面前，法官力不从心，只能将裁判文书形式要件部分，如部首部分或者格式化部分交由法官助理完成，以此节省时间，同时对于事实认定和裁判理由部分，法官可以通过口述等形式指导法官助理来完成初稿，最后由自己精心修改完成定稿，后签发交书记员打印发送当事人，因为其具有合理性，因此也得到了法官助理过2/3的认同。代理法官协调与其他辅助人员工作、草拟审理报告、配合书记员校核法律文书、完成法官交办的其他工作，这些需要法官助理完成的职责事项内容都得到法官助理过半数人的赞同。</w:t>
      </w:r>
    </w:p>
    <w:p>
      <w:pPr>
        <w:numPr>
          <w:ilvl w:val="0"/>
          <w:numId w:val="0"/>
        </w:numPr>
        <w:ind w:firstLine="0" w:firstLineChars="200"/>
        <w:rPr>
          <w:rFonts w:hint="eastAsia"/>
          <w:sz w:val="28"/>
          <w:szCs w:val="28"/>
          <w:lang w:val="en-US" w:eastAsia="zh-CN"/>
        </w:rPr>
      </w:pPr>
      <w:r>
        <w:rPr>
          <w:rFonts w:hint="eastAsia"/>
          <w:sz w:val="28"/>
          <w:szCs w:val="28"/>
          <w:lang w:val="en-US" w:eastAsia="zh-CN"/>
        </w:rPr>
        <w:t>对于法官助理的职责内容，从制度的规范意义上说，是法官助理的义务，从义务的反向说，却是法官的权力内容。</w:t>
      </w:r>
    </w:p>
    <w:p>
      <w:pPr>
        <w:numPr>
          <w:ilvl w:val="0"/>
          <w:numId w:val="0"/>
        </w:numPr>
        <w:ind w:firstLine="0" w:firstLineChars="200"/>
        <w:rPr>
          <w:rFonts w:hint="eastAsia" w:ascii="宋体" w:hAnsi="宋体" w:eastAsia="宋体" w:cs="宋体"/>
          <w:sz w:val="28"/>
          <w:szCs w:val="28"/>
          <w:lang w:val="en-US" w:eastAsia="zh-CN"/>
        </w:rPr>
      </w:pPr>
      <w:r>
        <w:rPr>
          <w:rFonts w:hint="eastAsia"/>
          <w:sz w:val="28"/>
          <w:szCs w:val="28"/>
          <w:lang w:val="en-US" w:eastAsia="zh-CN"/>
        </w:rPr>
        <w:t>综上所述，问卷调查从法官抽象的权力为逻辑起点到法官具体权力内容的过程展开与深入，法官对于自己行使对法官助理和书记员的管理权渐渐从主要两种分歧：“法官行使”、“法院组织部门行使”到基本趋于绝大多数赞同法官对法官助理和书记员行使管理权意见。法官助理也由于具体工作职责的明确，从多数反对到多数赞同法官对自己及书记员行使管理权，这一渐渐的发展变化，产生一种结果：赞同法官行使对法官助理和书记员行使管理权成了法院主要群体的多数，这一点从表一、表二、表三的百分比的叠加会看得更为清晰，赞同法官对法官助理行使管理权占整个参与被调查群体的百分比：｛</w:t>
      </w:r>
      <w:r>
        <w:rPr>
          <w:rFonts w:hint="eastAsia" w:ascii="宋体" w:hAnsi="宋体" w:eastAsia="宋体" w:cs="宋体"/>
          <w:sz w:val="28"/>
          <w:szCs w:val="28"/>
          <w:lang w:val="en-US" w:eastAsia="zh-CN"/>
        </w:rPr>
        <w:t>[</w:t>
      </w:r>
      <w:r>
        <w:rPr>
          <w:rFonts w:hint="eastAsia"/>
          <w:sz w:val="28"/>
          <w:szCs w:val="28"/>
          <w:lang w:val="en-US" w:eastAsia="zh-CN"/>
        </w:rPr>
        <w:t>85.8%（法官）+73.3%(法官助理）+32.2%（112/348书记员）｝</w:t>
      </w:r>
      <w:r>
        <w:rPr>
          <w:rFonts w:hint="eastAsia" w:ascii="黑体" w:hAnsi="黑体" w:eastAsia="黑体" w:cs="黑体"/>
          <w:sz w:val="28"/>
          <w:szCs w:val="28"/>
          <w:lang w:val="en-US" w:eastAsia="zh-CN"/>
        </w:rPr>
        <w:t>÷3=63.8%；</w:t>
      </w:r>
      <w:r>
        <w:rPr>
          <w:rFonts w:hint="eastAsia"/>
          <w:sz w:val="28"/>
          <w:szCs w:val="28"/>
          <w:lang w:val="en-US" w:eastAsia="zh-CN"/>
        </w:rPr>
        <w:t>赞同法官对书记员行使管理权占整个参与被调查群体的百分比：｛</w:t>
      </w:r>
      <w:r>
        <w:rPr>
          <w:rFonts w:hint="eastAsia" w:ascii="宋体" w:hAnsi="宋体" w:eastAsia="宋体" w:cs="宋体"/>
          <w:sz w:val="28"/>
          <w:szCs w:val="28"/>
          <w:lang w:val="en-US" w:eastAsia="zh-CN"/>
        </w:rPr>
        <w:t>[</w:t>
      </w:r>
      <w:r>
        <w:rPr>
          <w:rFonts w:hint="eastAsia"/>
          <w:sz w:val="28"/>
          <w:szCs w:val="28"/>
          <w:lang w:val="en-US" w:eastAsia="zh-CN"/>
        </w:rPr>
        <w:t>84.6%（法官）+50%(法官助理）+32.8%（114/348书记员）｝</w:t>
      </w:r>
      <w:r>
        <w:rPr>
          <w:rFonts w:hint="eastAsia" w:ascii="黑体" w:hAnsi="黑体" w:eastAsia="黑体" w:cs="黑体"/>
          <w:sz w:val="28"/>
          <w:szCs w:val="28"/>
          <w:lang w:val="en-US" w:eastAsia="zh-CN"/>
        </w:rPr>
        <w:t>÷3=.55.8%。</w:t>
      </w:r>
      <w:r>
        <w:rPr>
          <w:rFonts w:hint="eastAsia" w:ascii="宋体" w:hAnsi="宋体" w:eastAsia="宋体" w:cs="宋体"/>
          <w:sz w:val="28"/>
          <w:szCs w:val="28"/>
          <w:lang w:val="en-US" w:eastAsia="zh-CN"/>
        </w:rPr>
        <w:t>法官的权利清单实证的结果是：</w:t>
      </w:r>
      <w:r>
        <w:rPr>
          <w:rFonts w:hint="eastAsia"/>
          <w:sz w:val="28"/>
          <w:szCs w:val="28"/>
          <w:lang w:val="en-US" w:eastAsia="zh-CN"/>
        </w:rPr>
        <w:t>领导法官助理工作、领导书记员工作、获得优厚报酬、本人和近亲属人身及财产受到特别保护、享有司法豁免、享有职业培训及参与学术活动、法定节假日休息的权利。法官与法官助理及书记员的关系不是横向之间的协调关系，而是纵向上管理与被管理关系。</w:t>
      </w:r>
    </w:p>
    <w:p>
      <w:pPr>
        <w:numPr>
          <w:ilvl w:val="0"/>
          <w:numId w:val="0"/>
        </w:numPr>
        <w:ind w:firstLine="0" w:firstLineChars="200"/>
        <w:rPr>
          <w:rFonts w:hint="eastAsia"/>
          <w:sz w:val="28"/>
          <w:szCs w:val="28"/>
          <w:lang w:val="en-US" w:eastAsia="zh-CN"/>
        </w:rPr>
      </w:pPr>
      <w:r>
        <w:rPr>
          <w:rFonts w:hint="eastAsia"/>
          <w:sz w:val="28"/>
          <w:szCs w:val="28"/>
          <w:lang w:val="en-US" w:eastAsia="zh-CN"/>
        </w:rPr>
        <w:t>虽然这里选择的实证群体有其局限性，仅仅选择了法院主要构成群体作为问卷对象，问卷内容也有一定的局限性，但是却能够代表他们的意见，并且这个群体至始至终却是司法改革的践行者，这个群体内部的关系调整制度能否适合，他们具有相当重要的话语权，制度能否执行到位，他们的意志因素具有决定性作用。因此作为法院群体司法改革员额制的后续制度安排——法官、法官助理、书记员的新型关系制度构建时，制度的顶层设计者应当吸收他们的意见。对于以上实证的结果，本课题组还将用比较法和历史法进行更进一步论证。</w:t>
      </w:r>
      <w:bookmarkStart w:id="0" w:name="_GoBack"/>
      <w:bookmarkEnd w:id="0"/>
    </w:p>
    <w:p>
      <w:pPr>
        <w:numPr>
          <w:ilvl w:val="0"/>
          <w:numId w:val="0"/>
        </w:numPr>
        <w:rPr>
          <w:rFonts w:hint="eastAsia"/>
          <w:sz w:val="28"/>
          <w:szCs w:val="28"/>
          <w:lang w:val="en-US" w:eastAsia="zh-CN"/>
        </w:rPr>
      </w:pPr>
    </w:p>
    <w:p>
      <w:pPr>
        <w:numPr>
          <w:ilvl w:val="0"/>
          <w:numId w:val="0"/>
        </w:numPr>
        <w:ind w:firstLine="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三、比较之鉴：法官权力配置的域外视阀及域内管窥。</w:t>
      </w:r>
    </w:p>
    <w:p>
      <w:pPr>
        <w:numPr>
          <w:ilvl w:val="0"/>
          <w:numId w:val="1"/>
        </w:numPr>
        <w:ind w:firstLine="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法治发达国家的法官辅助人员制度的起源与走向。</w:t>
      </w:r>
    </w:p>
    <w:p>
      <w:pPr>
        <w:numPr>
          <w:ilvl w:val="0"/>
          <w:numId w:val="0"/>
        </w:numPr>
        <w:rPr>
          <w:rFonts w:hint="eastAsia" w:ascii="宋体" w:hAnsi="宋体" w:eastAsia="宋体" w:cs="宋体"/>
          <w:sz w:val="28"/>
          <w:szCs w:val="28"/>
          <w:lang w:val="en-US" w:eastAsia="zh-CN"/>
        </w:rPr>
      </w:pPr>
      <w:r>
        <w:rPr>
          <w:rFonts w:hint="eastAsia" w:asciiTheme="majorEastAsia" w:hAnsiTheme="majorEastAsia" w:eastAsiaTheme="majorEastAsia" w:cstheme="majorEastAsia"/>
          <w:sz w:val="28"/>
          <w:szCs w:val="28"/>
          <w:lang w:val="en-US" w:eastAsia="zh-CN"/>
        </w:rPr>
        <w:t xml:space="preserve">     1、英美法系法官助理制度。19世纪，美国工业革命方兴未艾，铁路扩建，人口大幅增长，同时随着公司法、侵权责任法的应用，案件猛然增长，相应上诉案件也大大增加，法官霍勒斯</w:t>
      </w:r>
      <w:r>
        <w:rPr>
          <w:rFonts w:hint="eastAsia" w:ascii="宋体" w:hAnsi="宋体" w:eastAsia="宋体" w:cs="宋体"/>
          <w:sz w:val="28"/>
          <w:szCs w:val="28"/>
          <w:lang w:val="en-US" w:eastAsia="zh-CN"/>
        </w:rPr>
        <w:t>·格雷拼命工作，身心疲惫，为此</w:t>
      </w:r>
      <w:r>
        <w:rPr>
          <w:rFonts w:hint="eastAsia" w:asciiTheme="majorEastAsia" w:hAnsiTheme="majorEastAsia" w:eastAsiaTheme="majorEastAsia" w:cstheme="majorEastAsia"/>
          <w:sz w:val="28"/>
          <w:szCs w:val="28"/>
          <w:lang w:val="en-US" w:eastAsia="zh-CN"/>
        </w:rPr>
        <w:t>霍勒斯</w:t>
      </w:r>
      <w:r>
        <w:rPr>
          <w:rFonts w:hint="eastAsia" w:ascii="宋体" w:hAnsi="宋体" w:eastAsia="宋体" w:cs="宋体"/>
          <w:sz w:val="28"/>
          <w:szCs w:val="28"/>
          <w:lang w:val="en-US" w:eastAsia="zh-CN"/>
        </w:rPr>
        <w:t>·格雷1875年通过哈佛大学任教的兄弟介绍，认识了该校法学院的高材生路易斯·布兰代斯，后自己出钱雇佣他为自己工作，1882年</w:t>
      </w:r>
      <w:r>
        <w:rPr>
          <w:rFonts w:hint="eastAsia" w:asciiTheme="majorEastAsia" w:hAnsiTheme="majorEastAsia" w:eastAsiaTheme="majorEastAsia" w:cstheme="majorEastAsia"/>
          <w:sz w:val="28"/>
          <w:szCs w:val="28"/>
          <w:lang w:val="en-US" w:eastAsia="zh-CN"/>
        </w:rPr>
        <w:t>霍勒斯</w:t>
      </w:r>
      <w:r>
        <w:rPr>
          <w:rFonts w:hint="eastAsia" w:ascii="宋体" w:hAnsi="宋体" w:eastAsia="宋体" w:cs="宋体"/>
          <w:sz w:val="28"/>
          <w:szCs w:val="28"/>
          <w:lang w:val="en-US" w:eastAsia="zh-CN"/>
        </w:rPr>
        <w:t>·格雷被任命为联邦最高法院大法官，他将这一做法带到联邦最高法院，后其他法官也纷纷效仿他的做法，聘请了自己的助理，开始在全国法院推广，逐渐法官助理制度开始形成。</w:t>
      </w:r>
      <w:r>
        <w:rPr>
          <w:rStyle w:val="13"/>
          <w:rFonts w:hint="eastAsia" w:ascii="宋体" w:hAnsi="宋体" w:eastAsia="宋体" w:cs="宋体"/>
          <w:sz w:val="28"/>
          <w:szCs w:val="28"/>
          <w:lang w:val="en-US" w:eastAsia="zh-CN"/>
        </w:rPr>
        <w:footnoteReference w:id="1"/>
      </w:r>
      <w:r>
        <w:rPr>
          <w:rFonts w:hint="eastAsia" w:ascii="宋体" w:hAnsi="宋体" w:eastAsia="宋体" w:cs="宋体"/>
          <w:sz w:val="28"/>
          <w:szCs w:val="28"/>
          <w:lang w:val="en-US" w:eastAsia="zh-CN"/>
        </w:rPr>
        <w:t>其主要的工作是审阅上诉状，撰写诉讼文书或者摘要法院记录，选出案件某些问题作法律研究，有时还帮助法官处理一些个人事务。由于法官助理帮助，法官大大减轻了工作量，提高了工作效率，这个制度后来得到了国会的认可，1886年8月国会正式颁布《杂项民事法案》，规定给最高法院法官每人配备一名“速记助理”，法官助理制度正式确立。1919—1940期间是法官助理发展与转型时期，国会进一步颁布了几个法律，1919联邦最高法院开始为大法官配备2名助理—1名“速记助理”，1名“法官助理”，分工明确化，“法官助理”不再从事整理资料，速记等日常行政事务，而是从事讨论案件、核对引文、边编辑法律意见并提出修改意见等法律事务。</w:t>
      </w:r>
      <w:r>
        <w:rPr>
          <w:rStyle w:val="13"/>
          <w:rFonts w:hint="eastAsia" w:ascii="宋体" w:hAnsi="宋体" w:eastAsia="宋体" w:cs="宋体"/>
          <w:sz w:val="28"/>
          <w:szCs w:val="28"/>
          <w:lang w:val="en-US" w:eastAsia="zh-CN"/>
        </w:rPr>
        <w:footnoteReference w:id="2"/>
      </w:r>
      <w:r>
        <w:rPr>
          <w:rFonts w:hint="eastAsia" w:ascii="宋体" w:hAnsi="宋体" w:eastAsia="宋体" w:cs="宋体"/>
          <w:sz w:val="28"/>
          <w:szCs w:val="28"/>
          <w:lang w:val="en-US" w:eastAsia="zh-CN"/>
        </w:rPr>
        <w:t>后法官助理的职能进一步延伸，起草法院判决意见书。法官助理一般是由他人推荐，法官选择。法官助理的行为规范由制度进行规范，如《司法行为标准规范》、《法官助理手册》。美国法官助理制度确保了法官在案件大幅度增长的前提下，仍然保障法官精英化，但审理案件的效率却能够提高，适应形势的需要。</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英国的法官助理制度。英国的法官助理有两种类型，一是准法官型，相当于我国的助理审判员，由大法官以女王的名义任命，工作内容由大法官根据业务庭的工作量进行安排，有案件审判权。另外一种法官助理就是辅助人员，其中又分为法务助理和法院官员（court officers）,法务助理的主要职责是为法官提供法律意见，但不参与裁判案件，</w:t>
      </w:r>
      <w:r>
        <w:rPr>
          <w:rStyle w:val="13"/>
          <w:rFonts w:hint="eastAsia" w:ascii="宋体" w:hAnsi="宋体" w:eastAsia="宋体" w:cs="宋体"/>
          <w:sz w:val="28"/>
          <w:szCs w:val="28"/>
          <w:lang w:val="en-US" w:eastAsia="zh-CN"/>
        </w:rPr>
        <w:footnoteReference w:id="3"/>
      </w:r>
      <w:r>
        <w:rPr>
          <w:rFonts w:hint="eastAsia" w:ascii="宋体" w:hAnsi="宋体" w:eastAsia="宋体" w:cs="宋体"/>
          <w:sz w:val="28"/>
          <w:szCs w:val="28"/>
          <w:lang w:val="en-US" w:eastAsia="zh-CN"/>
        </w:rPr>
        <w:t>法院官员主要是为法官提供行政事务性支持。</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2、大陆法系及其他国家的法官辅助人员制度。</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德国司法辅助官与法官之间职责划分分明。德国司法辅助官制度产生于1923年，</w:t>
      </w:r>
      <w:r>
        <w:rPr>
          <w:rStyle w:val="13"/>
          <w:rFonts w:hint="eastAsia" w:asciiTheme="majorEastAsia" w:hAnsiTheme="majorEastAsia" w:eastAsiaTheme="majorEastAsia" w:cstheme="majorEastAsia"/>
          <w:sz w:val="28"/>
          <w:szCs w:val="28"/>
          <w:lang w:val="en-US" w:eastAsia="zh-CN"/>
        </w:rPr>
        <w:footnoteReference w:id="4"/>
      </w:r>
      <w:r>
        <w:rPr>
          <w:rFonts w:hint="eastAsia" w:asciiTheme="majorEastAsia" w:hAnsiTheme="majorEastAsia" w:eastAsiaTheme="majorEastAsia" w:cstheme="majorEastAsia"/>
          <w:sz w:val="28"/>
          <w:szCs w:val="28"/>
          <w:lang w:val="en-US" w:eastAsia="zh-CN"/>
        </w:rPr>
        <w:t>1957年德国在宪法上正式确立司法辅助官的地位。司法辅助官（Rechtspfleger）的主要职责是协助法官做好判决以外的，与审理案件有关的辅助性工作，在其职权范围内具有相对的独立性，如在民事案件接待公民立案、咨询、计算诉讼费用、办理鉴定等，刑事案件方面计算羁押期限等。</w:t>
      </w:r>
      <w:r>
        <w:rPr>
          <w:rStyle w:val="13"/>
          <w:rFonts w:hint="eastAsia" w:asciiTheme="majorEastAsia" w:hAnsiTheme="majorEastAsia" w:eastAsiaTheme="majorEastAsia" w:cstheme="majorEastAsia"/>
          <w:sz w:val="28"/>
          <w:szCs w:val="28"/>
          <w:lang w:val="en-US" w:eastAsia="zh-CN"/>
        </w:rPr>
        <w:footnoteReference w:id="5"/>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日本的法官辅助工作主要由书记官和调查官来完成。书记官除承担法庭记录及文书制作外，还接受法官命令对必要事项进行调查，发出支付令，决定保全，调解；调查官的职责是负责裁判所需要的法令、判例、其他资料等，概况接受法官的命令。</w:t>
      </w:r>
      <w:r>
        <w:rPr>
          <w:rStyle w:val="13"/>
          <w:rFonts w:hint="eastAsia" w:asciiTheme="majorEastAsia" w:hAnsiTheme="majorEastAsia" w:eastAsiaTheme="majorEastAsia" w:cstheme="majorEastAsia"/>
          <w:sz w:val="28"/>
          <w:szCs w:val="28"/>
          <w:lang w:val="en-US" w:eastAsia="zh-CN"/>
        </w:rPr>
        <w:footnoteReference w:id="6"/>
      </w:r>
    </w:p>
    <w:p>
      <w:pPr>
        <w:numPr>
          <w:ilvl w:val="0"/>
          <w:numId w:val="2"/>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澳门台湾地区的法官辅助人员制度。</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澳门司法辅助人员与司法行政人员职责明确。在澳门司法辅助人员与司法行政人员分工明确，司法辅助人员为案件提供各项司法辅助服务，而司法行政人员是提供行政事务性服务，如财政、技术性服务。</w:t>
      </w:r>
      <w:r>
        <w:rPr>
          <w:rStyle w:val="13"/>
          <w:rFonts w:hint="eastAsia" w:asciiTheme="majorEastAsia" w:hAnsiTheme="majorEastAsia" w:eastAsiaTheme="majorEastAsia" w:cstheme="majorEastAsia"/>
          <w:sz w:val="28"/>
          <w:szCs w:val="28"/>
          <w:lang w:val="en-US" w:eastAsia="zh-CN"/>
        </w:rPr>
        <w:footnoteReference w:id="7"/>
      </w:r>
      <w:r>
        <w:rPr>
          <w:rFonts w:hint="eastAsia" w:asciiTheme="majorEastAsia" w:hAnsiTheme="majorEastAsia" w:eastAsiaTheme="majorEastAsia" w:cstheme="majorEastAsia"/>
          <w:sz w:val="28"/>
          <w:szCs w:val="28"/>
          <w:lang w:val="en-US" w:eastAsia="zh-CN"/>
        </w:rPr>
        <w:t>澳门司法辅助人员组织管理还呈现体系化、科层化特点。司法辅助人员的配备根据法官人数的多少决定。法官及司法辅助人员的管理与惩戒法官委员会负责，其他行政人员管理由终审法院院长办公室负责。</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我国台湾地区的法官、法官助理、书记官由其《法院组织法》设置。台湾普通法院及特别法院均分别对法官员额、法官助理配置比例、书记员配置比例作了规定，法官：法官助理：书记员比例，2014年平均为1:1:1。</w:t>
      </w:r>
      <w:r>
        <w:rPr>
          <w:rStyle w:val="13"/>
          <w:rFonts w:hint="eastAsia" w:asciiTheme="majorEastAsia" w:hAnsiTheme="majorEastAsia" w:eastAsiaTheme="majorEastAsia" w:cstheme="majorEastAsia"/>
          <w:sz w:val="28"/>
          <w:szCs w:val="28"/>
          <w:lang w:val="en-US" w:eastAsia="zh-CN"/>
        </w:rPr>
        <w:footnoteReference w:id="8"/>
      </w:r>
      <w:r>
        <w:rPr>
          <w:rFonts w:hint="eastAsia" w:asciiTheme="majorEastAsia" w:hAnsiTheme="majorEastAsia" w:eastAsiaTheme="majorEastAsia" w:cstheme="majorEastAsia"/>
          <w:sz w:val="28"/>
          <w:szCs w:val="28"/>
          <w:lang w:val="en-US" w:eastAsia="zh-CN"/>
        </w:rPr>
        <w:t>台湾法官是依法行使审判权，独立审判案件，而法官助理的职责主要协助法官审理工作，包括帮助法官整理卷宗制作索引，方便法官阅卷；收集法官作出裁判所需参考的法律意见；帮助法官草拟例稿式裁判文书等。书记员侧重记录、文书资料、案卷整理，传票等文书制作。法官助理采用聘用制，不具有公务员身份，在聘用期间，由法官管理，由法院根据法官对其德勤能绩的初评意见进行考核。书记官是通过公务员考试选任，属于公务员，工作中除服从长官命令外，在开庭、执行职务时应服从审判长的命令。</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p>
    <w:p>
      <w:pPr>
        <w:numPr>
          <w:ilvl w:val="0"/>
          <w:numId w:val="1"/>
        </w:numPr>
        <w:ind w:firstLine="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我国古代司法官的辅助模式。</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1、法官制度起源于上古周延春秋。《尚书舜典》：“汝作士”，</w:t>
      </w:r>
      <w:r>
        <w:rPr>
          <w:rStyle w:val="13"/>
          <w:rFonts w:hint="eastAsia" w:asciiTheme="majorEastAsia" w:hAnsiTheme="majorEastAsia" w:eastAsiaTheme="majorEastAsia" w:cstheme="majorEastAsia"/>
          <w:sz w:val="28"/>
          <w:szCs w:val="28"/>
          <w:lang w:val="en-US" w:eastAsia="zh-CN"/>
        </w:rPr>
        <w:footnoteReference w:id="9"/>
      </w:r>
      <w:r>
        <w:rPr>
          <w:rFonts w:hint="eastAsia" w:asciiTheme="majorEastAsia" w:hAnsiTheme="majorEastAsia" w:eastAsiaTheme="majorEastAsia" w:cstheme="majorEastAsia"/>
          <w:sz w:val="28"/>
          <w:szCs w:val="28"/>
          <w:lang w:val="en-US" w:eastAsia="zh-CN"/>
        </w:rPr>
        <w:t>士即理官，审理案件的官。只是法官这个称谓在古代没有出现过，并且称谓随着时代的变迁也有不同，宋、晋、齐称“司寇”，其他还有很多称谓。法官制度从上至下比较体系化可考为春秋时代，管子：“制鄙三十家为邑，邑有司；十邑为卒，卒有卒帅；十卒为乡，乡有乡帅……”</w:t>
      </w:r>
      <w:r>
        <w:rPr>
          <w:rStyle w:val="13"/>
          <w:rFonts w:hint="eastAsia" w:asciiTheme="majorEastAsia" w:hAnsiTheme="majorEastAsia" w:eastAsiaTheme="majorEastAsia" w:cstheme="majorEastAsia"/>
          <w:sz w:val="28"/>
          <w:szCs w:val="28"/>
          <w:lang w:val="en-US" w:eastAsia="zh-CN"/>
        </w:rPr>
        <w:footnoteReference w:id="10"/>
      </w:r>
      <w:r>
        <w:rPr>
          <w:rFonts w:hint="eastAsia" w:asciiTheme="majorEastAsia" w:hAnsiTheme="majorEastAsia" w:eastAsiaTheme="majorEastAsia" w:cstheme="majorEastAsia"/>
          <w:sz w:val="28"/>
          <w:szCs w:val="28"/>
          <w:lang w:val="en-US" w:eastAsia="zh-CN"/>
        </w:rPr>
        <w:t>，邑、卒、乡等的司、卒帅、乡帅…掌管辖区行政事务并审理辖区案件。春秋后的秦、汉、魏晋……清更为完备。</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2、法官辅助制度从史料中可以得到考证。《百官志》说；“司 校尉一人，比二千石，本注曰：‘孝武帝初置持节，掌察举百官以下及京师近郡犯法者。元帝去节，成帝省，建武中复置，并领一州。’从事史十二人。本注曰：‘都官从事，主察举百官犯法者。其余部郡从事，每郡各一人，主督促文书，察举非法，皆自辟除，故通为百石云。’假佐二十五人。”。以此可以证明在孝武帝时“法官”就有辅助官员了。南朝宋时期在《宋书</w:t>
      </w:r>
      <w:r>
        <w:rPr>
          <w:rFonts w:hint="eastAsia" w:ascii="宋体" w:hAnsi="宋体" w:eastAsia="宋体" w:cs="宋体"/>
          <w:sz w:val="28"/>
          <w:szCs w:val="28"/>
          <w:lang w:val="en-US" w:eastAsia="zh-CN"/>
        </w:rPr>
        <w:t>·百官志</w:t>
      </w:r>
      <w:r>
        <w:rPr>
          <w:rFonts w:hint="eastAsia" w:asciiTheme="majorEastAsia" w:hAnsiTheme="majorEastAsia" w:eastAsiaTheme="majorEastAsia" w:cstheme="majorEastAsia"/>
          <w:sz w:val="28"/>
          <w:szCs w:val="28"/>
          <w:lang w:val="en-US" w:eastAsia="zh-CN"/>
        </w:rPr>
        <w:t>》中对也有过记载，“廷尉一人，丞一人，掌刑辟。廷尉正一人，廷尉监一人，廷尉评一人，廷尉律博士一人。”，这里的“律博士”就是廷尉的高级法律助理，用现代的称谓就是法官助理。不仅如此，随着时代的变迁，古代“法官”的助理制度，慢慢还得到了加强，《隋书</w:t>
      </w:r>
      <w:r>
        <w:rPr>
          <w:rFonts w:hint="eastAsia" w:ascii="宋体" w:hAnsi="宋体" w:eastAsia="宋体" w:cs="宋体"/>
          <w:sz w:val="28"/>
          <w:szCs w:val="28"/>
          <w:lang w:val="en-US" w:eastAsia="zh-CN"/>
        </w:rPr>
        <w:t>·百官志</w:t>
      </w:r>
      <w:r>
        <w:rPr>
          <w:rFonts w:hint="eastAsia" w:asciiTheme="majorEastAsia" w:hAnsiTheme="majorEastAsia" w:eastAsiaTheme="majorEastAsia" w:cstheme="majorEastAsia"/>
          <w:sz w:val="28"/>
          <w:szCs w:val="28"/>
          <w:lang w:val="en-US" w:eastAsia="zh-CN"/>
        </w:rPr>
        <w:t>》：“高祖既受命，改周之六官。其所制名，多依前代之法……置大理寺，大理寺卿各一人，丞二人，主簿、录事各二人，大理寺不统署。又有正监评各一人，司直十人，律博士八人，明法二十人……”。</w:t>
      </w:r>
      <w:r>
        <w:rPr>
          <w:rStyle w:val="13"/>
          <w:rFonts w:hint="eastAsia" w:asciiTheme="majorEastAsia" w:hAnsiTheme="majorEastAsia" w:eastAsiaTheme="majorEastAsia" w:cstheme="majorEastAsia"/>
          <w:sz w:val="28"/>
          <w:szCs w:val="28"/>
          <w:lang w:val="en-US" w:eastAsia="zh-CN"/>
        </w:rPr>
        <w:footnoteReference w:id="11"/>
      </w:r>
      <w:r>
        <w:rPr>
          <w:rFonts w:hint="eastAsia" w:asciiTheme="majorEastAsia" w:hAnsiTheme="majorEastAsia" w:eastAsiaTheme="majorEastAsia" w:cstheme="majorEastAsia"/>
          <w:sz w:val="28"/>
          <w:szCs w:val="28"/>
          <w:lang w:val="en-US" w:eastAsia="zh-CN"/>
        </w:rPr>
        <w:t>后司法辅助人员的职责慢慢也有了制度上构建。如辽代《刑法志》：“圣宗尝敕诸处刑狱，有冤不能申雪者，听诣御史台陈诉，委官覆问；往时大理寺狱诉，凡关覆奏者，以翰林学士、给事中、政事舍人详决，至是始置少卿及正主之。”。</w:t>
      </w:r>
      <w:r>
        <w:rPr>
          <w:rStyle w:val="13"/>
          <w:rFonts w:hint="eastAsia" w:asciiTheme="majorEastAsia" w:hAnsiTheme="majorEastAsia" w:eastAsiaTheme="majorEastAsia" w:cstheme="majorEastAsia"/>
          <w:sz w:val="28"/>
          <w:szCs w:val="28"/>
          <w:lang w:val="en-US" w:eastAsia="zh-CN"/>
        </w:rPr>
        <w:footnoteReference w:id="12"/>
      </w:r>
      <w:r>
        <w:rPr>
          <w:rFonts w:hint="eastAsia" w:asciiTheme="majorEastAsia" w:hAnsiTheme="majorEastAsia" w:eastAsiaTheme="majorEastAsia" w:cstheme="majorEastAsia"/>
          <w:sz w:val="28"/>
          <w:szCs w:val="28"/>
          <w:lang w:val="en-US" w:eastAsia="zh-CN"/>
        </w:rPr>
        <w:t>虽然这里主要是说的上诉案件的程序，但是也不难清楚地窥出，司法辅助人员的职能分工在制度上塑造。元、明时代司法官的辅助制度仍然得到继承。清朝末期“法官”的辅助问题还受到西方司法文化的影响，可以说应当是加强了，而非弱化了。</w:t>
      </w:r>
    </w:p>
    <w:p>
      <w:pPr>
        <w:numPr>
          <w:ilvl w:val="0"/>
          <w:numId w:val="1"/>
        </w:numPr>
        <w:ind w:firstLine="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域外视阀及域内视阀的启示。</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启示之一：法官辅助制度是法官精英化与职业化的保障。法官职业化和精英化就是要求法官是高水平的专业法律人才，知识上精通法律法律理论，法律制度，与法律相关的知识也应当相当了解，并且语言学、逻辑学、修辞学等也应当具有相当的修养，同时人生阅历，审判案件的经验也应当丰富。这样的高水平法律人才，从养成的视角观测，文化和经济发达国家都是少数，属于社会精英阶层，不发达国家更是少之又少，因此作为法官这个精英群体，是相当有限的，也只能维持相当少的数量，从数量的变化上看相对稳定，然而随着经济发展，各种各样的纠纷却不断攀升，相当少的法官处理人均数百甚至上千的案件，靠法官个人是无法完成的工作量，要让少量法官在规定的期限完成这样的工作量，只有一个办法，把事务性的工作部分交给他人来完成，这个“他人”就是法官助理及其他辅助人员，这正是司法辅助人员产生的基础土壤，一个国家的法官需不需要法官助理，取决于案件的多少，案件需要的工作量等于法官能够承担的工作量，就不需要或者说需要少量助理人员，从上面英美法系和大陆法系法官助理配备上看正是这个充分的理由。结合我国的情况，从法院内部改革出发，寻求的是一条法官职业化和精英化之路，法官员额制改革就是走法官职业化和精英化之路，目前法官已经平均减少了三分之二左右，如上海市法院改革确定的法官员额目标是5年内减少到33%，广东省是减少到39%，</w:t>
      </w:r>
      <w:r>
        <w:rPr>
          <w:rStyle w:val="13"/>
          <w:rFonts w:hint="eastAsia" w:asciiTheme="majorEastAsia" w:hAnsiTheme="majorEastAsia" w:eastAsiaTheme="majorEastAsia" w:cstheme="majorEastAsia"/>
          <w:sz w:val="28"/>
          <w:szCs w:val="28"/>
          <w:lang w:val="en-US" w:eastAsia="zh-CN"/>
        </w:rPr>
        <w:footnoteReference w:id="13"/>
      </w:r>
      <w:r>
        <w:rPr>
          <w:rFonts w:hint="eastAsia" w:asciiTheme="majorEastAsia" w:hAnsiTheme="majorEastAsia" w:eastAsiaTheme="majorEastAsia" w:cstheme="majorEastAsia"/>
          <w:sz w:val="28"/>
          <w:szCs w:val="28"/>
          <w:lang w:val="en-US" w:eastAsia="zh-CN"/>
        </w:rPr>
        <w:t>可从案件数量上每年却在不断攀升，法官已经不堪重负，如本课题组所在的法院仅仅为一个案件数量中偏下的基层法院，但每个员额法官人均案件以2016年基数计算也在250余件，这意味着每个工作日结必须在1件以上，在没有辅助人员从事事务性辅助工作的前提下，法官只能超负荷工作，因此配备法官助理及辅助人员是必然选择，配备的比例应当根据法院不同情况因地制宜进行有效测算确定。</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启示之二：配备给法官的助理及其他辅助人员法官应当有指挥和相应的管理权。从以上两种法系的比较可以清楚地看出，法官都有对法官助理及辅助人员有相应管理权和指挥权。法官这个指挥权和管理权怎么配置，有两种模式，一种是法官雇佣助理制，一种是单位聘请制，两种制度各有优劣，前一种形式法官对助理具有选择权及关系解除权，法官助理仅仅对法官负责，因此管理单一，效率相对而言比较高，但是不利的是法官可能过度依赖助理，对法官能力提升产生负面作用，同时法官助理可能利用有利环境，对法官施加法律外的影响，让案件裁判结果偏离法律轨道，出现不公正的裁判；第二种模式，由单位聘请法官助理，助理对单位负责，职责由制度规范，这样的形式利于统一协调管理，但不利的是法官如何行使管理权却是个难题，一不小心就可能陷入新的司法行政化模式，达不到减轻法官工作量，保障案件质量及效率的理想目标。我国司法改革选择何种模式，应当慎重选择，进行理论论证及实践探索。</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启示之三：法官助理及司法辅助人员的职责应当由制度来规范。从两种法系及我国古代的法官助理制度，不难看出，法官助理及辅助人员的职责都在制度的规范下运行，没有制度，助理及辅助人员的职责就具有随意性，管理就无从谈起，法官的权利就无法保障，辅助就会成为水中月，镜中花。</w:t>
      </w:r>
    </w:p>
    <w:p>
      <w:pPr>
        <w:numPr>
          <w:ilvl w:val="0"/>
          <w:numId w:val="0"/>
        </w:numPr>
        <w:ind w:firstLine="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四、运算逻辑：法官权力清单嵌入运行的范式论证。</w:t>
      </w:r>
    </w:p>
    <w:p>
      <w:pPr>
        <w:numPr>
          <w:ilvl w:val="0"/>
          <w:numId w:val="3"/>
        </w:numPr>
        <w:ind w:firstLine="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法官权力畅通运行的理论问题。法官权力的核心是审判权，审判权由两部分构成一是事实判断权，二是程序和实体问题的结论决定权，这两部分权力统称为审判权，这个审判权是司法的核心权力。审判权的运行目标是化解诉讼纠纷，实现司法公平正义，从而推动社会在法治的轨道上运行。审判权的科学理性运行，应当是符合司法规律的运行，这个规律就是在审判的各种各样阶段，法官至始至终亲力亲为案件，独立判断事实，独立依法裁判，不受任何行政机关及来自于其他社会组织和个人的干扰。为此为了保障法官依法独立行使审判权，就相应需要针对审判权科学合理运行的保障体系，随着保障体系的建立，就产生两种再生的权力体系，我们可以称为二级权力体系，这个二级权力体系，分为两个向度，一是审判管理权，二是司法行政管理权。审判管理权应当由谁行使？司法行政管理权又应当由谁行使呢？目前的困难就是没有解决好两种权力行使的主体问题，以至在制度体系上，把两种权力合二为一，变成一种权力——司法行政权，这种混同导致审判权被异化，异化的结果是“审者不判，判者不审”，大量的错案产生，错案产生后又无法追究责任人，日复一日，恶性循环，司法公信力受到严重伤害。最高法院的多次司法改革就是围绕解决这个问题展开，回归“由审理者裁判，由裁判者负责”这个符合司法规律的权力体系上，因此应当将作为保障审判权独立行使的二级权力系统，进行理论上和制度上的分离与重构。以下就二级权力系统的构建问题进行必要的论证。</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1、审判管理权应当属于法官。</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审判管理有广义和狭义之分，前者的管理内容宽泛，是指人民法院中的管理者为了实现管理目标，对审判活动进行计划、组织、领导、控制和创新活动的总称。</w:t>
      </w:r>
      <w:r>
        <w:rPr>
          <w:rStyle w:val="13"/>
          <w:rFonts w:hint="eastAsia" w:asciiTheme="majorEastAsia" w:hAnsiTheme="majorEastAsia" w:eastAsiaTheme="majorEastAsia" w:cstheme="majorEastAsia"/>
          <w:sz w:val="28"/>
          <w:szCs w:val="28"/>
          <w:lang w:val="en-US" w:eastAsia="zh-CN"/>
        </w:rPr>
        <w:footnoteReference w:id="14"/>
      </w:r>
      <w:r>
        <w:rPr>
          <w:rFonts w:hint="eastAsia" w:asciiTheme="majorEastAsia" w:hAnsiTheme="majorEastAsia" w:eastAsiaTheme="majorEastAsia" w:cstheme="majorEastAsia"/>
          <w:sz w:val="28"/>
          <w:szCs w:val="28"/>
          <w:lang w:val="en-US" w:eastAsia="zh-CN"/>
        </w:rPr>
        <w:t>后者是指对审判业务的管理，</w:t>
      </w:r>
      <w:r>
        <w:rPr>
          <w:rStyle w:val="13"/>
          <w:rFonts w:hint="eastAsia" w:asciiTheme="majorEastAsia" w:hAnsiTheme="majorEastAsia" w:eastAsiaTheme="majorEastAsia" w:cstheme="majorEastAsia"/>
          <w:sz w:val="28"/>
          <w:szCs w:val="28"/>
          <w:lang w:val="en-US" w:eastAsia="zh-CN"/>
        </w:rPr>
        <w:footnoteReference w:id="15"/>
      </w:r>
      <w:r>
        <w:rPr>
          <w:rFonts w:hint="eastAsia" w:asciiTheme="majorEastAsia" w:hAnsiTheme="majorEastAsia" w:eastAsiaTheme="majorEastAsia" w:cstheme="majorEastAsia"/>
          <w:sz w:val="28"/>
          <w:szCs w:val="28"/>
          <w:lang w:val="en-US" w:eastAsia="zh-CN"/>
        </w:rPr>
        <w:t>广义的审判管理包括业务管理、政务管理、人事管理，狭义的审判管理主要指审判业务的管理。审判管理是审判与管理的融合，兼有判断与行政属性，是有限判断，有限行政。有限行政是实现判断这一审判权的手段，目的是保障审判权独立运行。因此审判管理权是审判权再生的权力，是为审判权有效，正当行使服务的权力，没有审判权就不存在审判管理权。</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狭义的审判管理权行使的主要主体应当是法官。法治的基本要求是有良好的法律，并且法律被普遍遵守和执行。我国治国的基本方略就是推行法治。法律被普遍遵守和执行，对于法律被普遍遵守而言，有自觉遵守，与被动遵守之分，前者主要指公民、行政机关、其他组织的自觉遵守，被动遵守指通过司法和行政执法活动，调整矫正不适法的行为。为此立法、行政、司法是法治实现的三架马车，相对独立运行，而又互相监督。司法运行的相对独立，主要体现就是由司法机关中的侦查机关、检察机关、审判机关独立行使侦查权、检察权、审判权。审判机关是否独立行使审判权因此成为判断法治化程度的主要标志之一。法院独立行使审判权，是通过法官独立审判案件实现的，由此法官是否独立行使审判权，又成了法院独立行使审判权的主要标志。审判权是如何独立行使的呢？必须从审判权的动态运行进行考察。从法院的行政、刑事、民事三大审判的程序运行，不难寻找其共同规律，审判是庭审为中心展开的，庭审前的程序称为准备程序，或者说预备程序，这个阶段的工作主要是起诉书的审查、送达、诉讼权利义务的告知、开庭时间的确定、公告等工作，紧接着的就是开庭审理，这是中心阶段，后就是最后裁判工作，裁判由全面审查证据认定案件事实，确定法律关系性质，查找适用的法律，拟制裁判文书，宣判及送达裁判文书，这三个阶段构成了审判活动的全部内容。这三个阶段工作内容的完成，都是法官亲自完成或者部分工作在其领导、指导、监督下由书记员和法官助理完成的，因此法官是审判的行为者和主导者，是审判权的独立行使主体。法官在行使审判权的过程中，对书记员及法官助理事务性工作的领导、指导、监督成了保障审判权实现的必要工作，也正是法官的这一“领导、指导、监督”产生了审判管理权，由此看来法官也是审判管理权的行使主体。之所以如此，我们还可以从权力本身来解读这个问题。“所有权力的一个基本前提是，与掌握权力的他人选择相关存在的不确定性。不管由于什么原因，他人自己支配的不止一种选择。当他实施自己的选择时，他可以产生与排除他伙伴方的不确定性。”，</w:t>
      </w:r>
      <w:r>
        <w:rPr>
          <w:rStyle w:val="13"/>
          <w:rFonts w:hint="eastAsia" w:asciiTheme="majorEastAsia" w:hAnsiTheme="majorEastAsia" w:eastAsiaTheme="majorEastAsia" w:cstheme="majorEastAsia"/>
          <w:sz w:val="28"/>
          <w:szCs w:val="28"/>
          <w:lang w:val="en-US" w:eastAsia="zh-CN"/>
        </w:rPr>
        <w:footnoteReference w:id="16"/>
      </w:r>
      <w:r>
        <w:rPr>
          <w:rFonts w:hint="eastAsia" w:asciiTheme="majorEastAsia" w:hAnsiTheme="majorEastAsia" w:eastAsiaTheme="majorEastAsia" w:cstheme="majorEastAsia"/>
          <w:sz w:val="28"/>
          <w:szCs w:val="28"/>
          <w:lang w:val="en-US" w:eastAsia="zh-CN"/>
        </w:rPr>
        <w:t>审判权及审判管理权属于权力，当然拥有这一权力特征，上面对审判活动不同阶段的考察，清楚地看出，每一个阶段的事务安排，都是法官依照程序法的规定，进行选择和排除进行的，法官自然应当是审判权及审判管理权的掌握者。</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2、审判行政管理权属于相关组织。在上面论及审判权和审判管理权时，有另外一个相关的权力没有提及，这个权力就是审判行政管理权，这个权力体系非常完善，有一个金字塔似的权力结构体系，最上层是代表最高领导层的中央，其常设机关就是中央政法委员会，以下各地方是各级政法委员会，领导司法机关的工作，分工不同的司法机关有党委或者党组，各机关还内设有庭、处、所、办公室等机构，这些组织在人财物上进行着领导与控制，也进行一些事务性的管理工作，如拟定管理目标与分配工作任务，由于历史和体制的原因，与审判管理权产生了交叉与混同，以至于很多人就此认为这就是审判管理权，其实这是一种权力界限的误读，没有沥清这种权力的本质属性，其实以上机关或者机构的权力，应当是司法行政管理权。对于具体的审判机关而言，就是审判行政管理权。审判行政管理权是制指人民法院为了保证审判工作的顺利进行，对审判行政事务性工作进行的计划、组织、领导、控制和创新的活动。</w:t>
      </w:r>
      <w:r>
        <w:rPr>
          <w:rStyle w:val="13"/>
          <w:rFonts w:hint="eastAsia" w:asciiTheme="majorEastAsia" w:hAnsiTheme="majorEastAsia" w:eastAsiaTheme="majorEastAsia" w:cstheme="majorEastAsia"/>
          <w:sz w:val="28"/>
          <w:szCs w:val="28"/>
          <w:lang w:val="en-US" w:eastAsia="zh-CN"/>
        </w:rPr>
        <w:footnoteReference w:id="17"/>
      </w:r>
      <w:r>
        <w:rPr>
          <w:rFonts w:hint="eastAsia" w:asciiTheme="majorEastAsia" w:hAnsiTheme="majorEastAsia" w:eastAsiaTheme="majorEastAsia" w:cstheme="majorEastAsia"/>
          <w:sz w:val="28"/>
          <w:szCs w:val="28"/>
          <w:lang w:val="en-US" w:eastAsia="zh-CN"/>
        </w:rPr>
        <w:t>在审判机关辅助审判工作很多，管理工作相对也较多，主要有人事管理、财务管理、档案管理、文件管理、会议管理等，审判行政管理权的行使主体是科层结构组成的院长、副院长、庭长、副庭长、主任等，管理的方式主要是通过法律、指示、命令来实现的。其特点是服务性，政策性，强制性，服务性是指审判行政管理是为审判权及审判管理权正当行使服务的；政策性指管理是按照中央和上级法院文件精神进行的；强制性是指享有审判行政管理权的人员按照权力等级大小，服从上级指示、命令，执行拟定任务。因此审判行政管理权与审判权及审判管理权的区别是明显的，一是权力享有的主体不同，前者是法官，后者不同级别的行政人员；二是权力内容不同，前者是裁判权和延伸的权力，后者法院行政事务的管理权，是为前者服务的。我国的审判机关脱胎于全能型衙门式政府，导致审判管理行政化现象严重，一是审判机构的行政化，法院设院长、副院长，审判业务庭设庭长、副庭长；二是审判运行行政化，审判权在庭长的直接领导下和院领导的间接或者直接领导下进行。其结果是行政管理权直接干预审判权和审判管理权，导致独立审判形同虚设，以至成了部分错案发生的主要原因。为此，应当理清审判权与审判管理权及审判行政管理权的界限，让不同权力“物归原主”。</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3、法官审判管理权的配置。上文已经对审判管理权的渊源问题进行了必要的论证，审判管理权隶属于审判权，是服务于审判权的权力，因此行使审判管理权离不开法官这个主体。在以审判为中心，法官员额制后如何构建审判权力运行体系，是一个司法改革的新问题，也是一个理论难题，以下从权力运行和配置的理论模型进行分析与选择。</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（1）权力运行的两种主要模式。</w:t>
      </w:r>
      <w:r>
        <w:rPr>
          <w:rFonts w:hint="eastAsia" w:ascii="黑体" w:hAnsi="黑体" w:eastAsia="黑体" w:cs="黑体"/>
          <w:sz w:val="28"/>
          <w:szCs w:val="28"/>
          <w:lang w:val="en-US" w:eastAsia="zh-CN"/>
        </w:rPr>
        <w:t>第一种科层型金字塔模式</w:t>
      </w:r>
      <w:r>
        <w:rPr>
          <w:rFonts w:hint="eastAsia" w:asciiTheme="majorEastAsia" w:hAnsiTheme="majorEastAsia" w:eastAsiaTheme="majorEastAsia" w:cstheme="majorEastAsia"/>
          <w:sz w:val="28"/>
          <w:szCs w:val="28"/>
          <w:lang w:val="en-US" w:eastAsia="zh-CN"/>
        </w:rPr>
        <w:t>。这种模式将权力大小由高到低拟定为一个一个层级，在顶端为最高级，其下中级，再其为低级，每一个层级又由若干机构组成，这些机构属于职能机构，一个层级有一个首长，是这个层级的掌权者，即决策者。同一个层级，还有若干单位构成，成平行形态，权力大小相同，职能可能一致，也可能不一致，差异的大小由工作职责，管理的地域范围，事务范围决定。权力运行的方式对于顶端的最高权力者，是按照其意志和制度拟定权力行使权力，并将其决策内容向下传递，真到最后的底层权力机关，对于没有决策的部分内容，各个层级根据权力范围决定，但是不能和上级权力发生冲突，如果发生冲突，按照下级服从上级来处理。在这种权力运行模式下，作为权力机构的人员，其个人能力和专业水平，要求不是很高，因为服从上级命令是第一要义，不同意见分歧只能统一在掌权者的意志里，决策或者命令中根本不作表述。这种权力运行方式，能不能取得社会效益，能不能给公民带来福祉，主要看掌权者的能力、知识水平、道德品行，因此其弊端是明显的，缺点是掌权者权力行使权力的自由度太大，空间太广，公权私用，渎职滥权会因此而生，其优点是能够提高工作效率。这种模式一般为行政机关和对效率要求特别高的权力系统采用，如军队、警察、政府机构。</w:t>
      </w:r>
      <w:r>
        <w:rPr>
          <w:rFonts w:hint="eastAsia" w:ascii="黑体" w:hAnsi="黑体" w:eastAsia="黑体" w:cs="黑体"/>
          <w:sz w:val="28"/>
          <w:szCs w:val="28"/>
          <w:lang w:val="en-US" w:eastAsia="zh-CN"/>
        </w:rPr>
        <w:t>第二种是协作型平行模式</w:t>
      </w:r>
      <w:r>
        <w:rPr>
          <w:rFonts w:hint="eastAsia" w:asciiTheme="majorEastAsia" w:hAnsiTheme="majorEastAsia" w:eastAsiaTheme="majorEastAsia" w:cstheme="majorEastAsia"/>
          <w:sz w:val="28"/>
          <w:szCs w:val="28"/>
          <w:lang w:val="en-US" w:eastAsia="zh-CN"/>
        </w:rPr>
        <w:t>。这种模式，其权力主体之间，没有权力大小之分，或者权力大小不明显，其权力的掌控范围通过制度进行明确规定，进行职能职责划分，分工明确。主体之间的关系为协作、配合、监督关系，因此主体的权力行使空间非常有限，甚至行使权力还有期限的限制。这种模式一般为技术性或者专业性高的系统采用。这种模式的缺点是在协助配合不协调时，工作效率会受到影响。这种模式一般为科学技术机构、专业性比较强的系统采用，如科研院所、大学、法院系统等。两种权力运行模式在历史实践发展过程中，不断在进行自我修正，如第一种模式，通过权力清单限制掌权者的自由空间，和通过权力监督系统监督权力运行。第二种模式中适当赋予权力主体之间的等级差别，在执行事务中赋予高等级技术官员指令、命令签发权、利益分配权，以此控制权力运行系统，提高工作效率。</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黑体" w:hAnsi="黑体" w:eastAsia="黑体" w:cs="黑体"/>
          <w:sz w:val="28"/>
          <w:szCs w:val="28"/>
          <w:lang w:val="en-US" w:eastAsia="zh-CN"/>
        </w:rPr>
        <w:t>（2）法官权力运行模式选择</w:t>
      </w:r>
      <w:r>
        <w:rPr>
          <w:rFonts w:hint="eastAsia" w:asciiTheme="majorEastAsia" w:hAnsiTheme="majorEastAsia" w:eastAsiaTheme="majorEastAsia" w:cstheme="majorEastAsia"/>
          <w:sz w:val="28"/>
          <w:szCs w:val="28"/>
          <w:lang w:val="en-US" w:eastAsia="zh-CN"/>
        </w:rPr>
        <w:t>。法官的权力是来自于制度，法官本身不是行政官员，而是具有法律专业知识，符合法官入职条件，并通过法定程序任命的人员，其权力范围也是通过制度规范了时间和空间度，法官与法官之间、审判组织与审判组织之间没有权力大小之别，因此法官行使权力的方式，只能选择权力协作型模式。作为审判单元内部（合议庭、独任审判员）法官处于中心地位，法官助理、书记员是辅助法官完成审判工作的人员，因此他们之间具有协作配合的关系，作为法官助理、书记员应当有制度来规范其工作职责和工作任务，为了防止法官助理及书记员不认真履行职责，应当赋予法官审判管理权，通过命令、指挥、适当的不利益施加，监督法官助理及书记员履行职责。那么应当赋予法官哪些审判管理权权限才能满足要求呢?这里有必要进行适当的论证。</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权力有效运行应当满足的基本条件。权力要有效运行，必然有其内在的逻辑，满足一定的条件，这些主要条件是，第一权力代码处于一个相对封闭的连接链条上，形成一条锁链。权力代码由主体要素，权力主体的职能职责，及其来自于制度或者其他权力系统或者社会系统拟定的主题目标，指数等构成；第二权力与反对权力之间达成一种平衡，通过商谈达成一定的共识，这里不妨以公司董事长与公司员工为例，假如决定开除某员工，作为掌权者的董事长行使这个权力时，受到来自其他董事及大部分员工的反对，其他董事可以通过董事会的决议推翻董事长的决定，被开除的员工还可以通过诉讼等形式来反对权力的行使，其他员工还可能通过摆工等形式逼迫停止权力行使，其结果是权力根本就不可能得到行使，原因就是权力与反对权力之间没有达到平衡，形成共识；第三赋予掌权者必要的利益和不利益给付权。威胁是权力行使的一个不得已而为之的极少部分，虽然运用这个手段未必能够达到权力畅通运行的效果，但是迫不得已的情况下，偶然行使还是可以发挥一定的作用，就如各个国家的刑罚一样，有刑罚未必能够阻止犯罪，但是可以起到一定的作用。以上三个主要条件构成了权力有效行使的主要条件，当然还有一些其他的次要条件，如职能职责的正义性问题，这里不作赘述。</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4）法官权力有效运行的条件。法官权力仍然是权力中的一种，因此其有效运行自然应当满足一般权力有效运行的模式条件，从上面一般权力的运行规律，可以推导出法官权力有效运行应当满足的基本条件为：一是法官与法官关系密切的辅助人员，即法官、法官助理、书记员处于一个权力代码链接链条中；二是掌握权力的法官与法官助理、书记员就权力的内容通过商谈基本达成一致的意见，即法官权力与反法官权力之间达到平衡；三是赋予法官对法官助理及书记员一定的利益与不利益的给付权。以上是法官权力有效运行应当满足的理论条件，实践中如何展开，这里还必须进行必要的研究，以此推动具体的制度构建。</w:t>
      </w:r>
    </w:p>
    <w:p>
      <w:pPr>
        <w:numPr>
          <w:ilvl w:val="0"/>
          <w:numId w:val="3"/>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法官权力运行的实践展开。</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1、司法行政管理权应当限缩在司法规律的前提下。审判权属于法官的权力，审判管理权是审判权的延伸，也应当属于法官，审判权与司法行政管理权构成二元权力体系，审判权设定的目的是依法公平公正裁判案件，解决纠纷，修复被违法犯罪破坏的社会关系，实现社会正义，其权力来自于法律，并非是某个集团或者组织赋予，因此是一种独立的权力，其运行有其自己的内在逻辑，其评价指标，不能被任意认为设定。司法行政权是一种司法行政管理权，属于另外一个权力系统，其设定的目的是保障审判权的有效运行，如政治保障，物质保障，人才保障等，其权力属性属于服务性和监督性权力。这两种权力系统不应当纳入一种权力体系，否则就会导致审判权被异化，变成一种行政化权力，出现审者不判，判者不审，法官还会因为官员任意设定的五花八门的考核指标，疲于奔命，司法公信荡然无存。在现实的审判实践中，个别地方上下两级法院之间仍然或多或少存在的考核上诉率，改判率，每月结案率等指标排名就是问题的集中体现。发生问题的根本原因就是把两种权力体系混为一谈，合二为一的错误行为的错误结果。</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2、法官权力配置应当以审判实践内在需求为配置依据。法官对法官助理及书记员行使审判管理权是审判实践的需要决定的。法官具有审判权是审判实践的需要，“由审理者裁判，由裁判者负责”是其核心表达，要保障案件认定事实准确，适用法律正确，法官必须有亲力亲为审理案件的能力、水平、权力，否则就违背司法规律，出现匪夷所思的结果，公正公平就无从谈起，司法公信也会荡然无存，化解纠纷只是一句空话。法官具有审判权，不是一种理论表达，应当有实质内容，这个实质内容，就是通过进一步落实审判权的二级权力来保障实现，这里所指的二级权力，就是落实法官的审判管理权。如何落实法官的审判管理权呢？第一是明确法官对法官助理及书记员有当然的管理权。这一点在前部分已经进行了理论证明和实证证成。法官、法官助理、书记员构成了以审判事务需要为权力代码体系，管理权力的运行是通过这三个主要的群体，按照自己工作职责的完成来推动权力的运行的，法官处于权力前端，指挥、监督法官助理和书记员履行职责。从权力的主要掌握者法官与被监督和接受指挥者——法官助理及书记员之间基本达成一种共识：法官对法官助理及书记员行使管理权。第二法官行使审判管理权的范围大小决定于法官可分离出来的事务性工作量与法官助理及书记员的工作职责要求等要素决定。法官具有的审判管理权与审判权的权限就是法官的权力清单。通过实证并结合国际和国内司法实践需要，我们认为法官应当拥有下列权力：1</w:t>
      </w:r>
      <w:r>
        <w:rPr>
          <w:rFonts w:hint="eastAsia" w:ascii="宋体" w:hAnsi="宋体" w:eastAsia="宋体" w:cs="宋体"/>
          <w:sz w:val="28"/>
          <w:szCs w:val="28"/>
          <w:vertAlign w:val="baseline"/>
          <w:lang w:val="en-US" w:eastAsia="zh-CN"/>
        </w:rPr>
        <w:t>独立审判案件、2领导法官助理工作、3领导书记员工作、4获得优厚报酬权、5本人及近亲属人身及财产权益受特别保护、6享有司法豁免权、7享有职业培训及参与学术活动权、8法定节假日休息权、9依法接受法律监督</w:t>
      </w:r>
      <w:r>
        <w:rPr>
          <w:rFonts w:hint="eastAsia" w:ascii="黑体" w:hAnsi="黑体" w:eastAsia="黑体" w:cs="黑体"/>
          <w:sz w:val="28"/>
          <w:szCs w:val="28"/>
          <w:vertAlign w:val="baseline"/>
          <w:lang w:val="en-US" w:eastAsia="zh-CN"/>
        </w:rPr>
        <w:t>。</w:t>
      </w:r>
      <w:r>
        <w:rPr>
          <w:rFonts w:hint="eastAsia" w:ascii="宋体" w:hAnsi="宋体" w:eastAsia="宋体" w:cs="宋体"/>
          <w:sz w:val="28"/>
          <w:szCs w:val="28"/>
          <w:vertAlign w:val="baseline"/>
          <w:lang w:val="en-US" w:eastAsia="zh-CN"/>
        </w:rPr>
        <w:t>权力</w:t>
      </w:r>
      <w:r>
        <w:rPr>
          <w:rFonts w:hint="eastAsia" w:ascii="黑体" w:hAnsi="黑体" w:eastAsia="黑体" w:cs="黑体"/>
          <w:sz w:val="28"/>
          <w:szCs w:val="28"/>
          <w:vertAlign w:val="baseline"/>
          <w:lang w:val="en-US" w:eastAsia="zh-CN"/>
        </w:rPr>
        <w:t>“1”</w:t>
      </w:r>
      <w:r>
        <w:rPr>
          <w:rFonts w:hint="eastAsia" w:ascii="宋体" w:hAnsi="宋体" w:eastAsia="宋体" w:cs="宋体"/>
          <w:sz w:val="28"/>
          <w:szCs w:val="28"/>
          <w:vertAlign w:val="baseline"/>
          <w:lang w:val="en-US" w:eastAsia="zh-CN"/>
        </w:rPr>
        <w:t>属于法官审判权主要权力，权力“2、3”属于“1”的延伸，权力“4、5、6”属于法官独立人格权，也是权力“1”的拓展，权力“7”属于法官职业发展权，是法官精英化和专业化需要，权力“8”属于法官人身权内容，为法官健康保障而存在，权力“9”是对法官权力边界和权力不当履行的修正。法官的这些权力互为补充、相互相成，缺一不可。以上只是法官应当具有的基础性权力，它还可以产生一些二级权力，这里不一一列举。</w:t>
      </w:r>
    </w:p>
    <w:p>
      <w:pPr>
        <w:numPr>
          <w:ilvl w:val="0"/>
          <w:numId w:val="0"/>
        </w:num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五、法官权力运行的制度构建建议。</w:t>
      </w:r>
    </w:p>
    <w:p>
      <w:pPr>
        <w:numPr>
          <w:ilvl w:val="0"/>
          <w:numId w:val="0"/>
        </w:num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 xml:space="preserve">     （一）</w:t>
      </w:r>
      <w:r>
        <w:rPr>
          <w:rFonts w:hint="eastAsia" w:asciiTheme="majorEastAsia" w:hAnsiTheme="majorEastAsia" w:eastAsiaTheme="majorEastAsia" w:cstheme="majorEastAsia"/>
          <w:sz w:val="28"/>
          <w:szCs w:val="28"/>
          <w:lang w:eastAsia="zh-CN"/>
        </w:rPr>
        <w:t>法官权力运行的制度瓶颈。</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1、我国宪法缺乏对法官宣誓性权力的标注导致法官权力生存的困难。宪法第126条只是规定了“人民法院依照法律规定独立行使审判权……”，没有规定法官的权力问题。由于缺乏对法官权力的宣誓性规定，导致法官权力行使在根本法层面上缺乏依托或者保障。也是司法行政权经常挤占审判权空间的问题根源。法院的院长、副院长、庭长、副庭长可以以此为由对法官进行任意“安排”，甚至因为“不听招呼”被调离审判岗位，剥夺其审判权。这也是审判权被司法行政权异化的问题所在，法院的行政领导可以借行政管理为名，将对案件的个人意见，</w:t>
      </w:r>
      <w:r>
        <w:rPr>
          <w:rStyle w:val="13"/>
          <w:rFonts w:hint="eastAsia" w:asciiTheme="majorEastAsia" w:hAnsiTheme="majorEastAsia" w:eastAsiaTheme="majorEastAsia" w:cstheme="majorEastAsia"/>
          <w:sz w:val="28"/>
          <w:szCs w:val="28"/>
          <w:lang w:val="en-US" w:eastAsia="zh-CN"/>
        </w:rPr>
        <w:footnoteReference w:id="18"/>
      </w:r>
      <w:r>
        <w:rPr>
          <w:rFonts w:hint="eastAsia" w:asciiTheme="majorEastAsia" w:hAnsiTheme="majorEastAsia" w:eastAsiaTheme="majorEastAsia" w:cstheme="majorEastAsia"/>
          <w:sz w:val="28"/>
          <w:szCs w:val="28"/>
          <w:lang w:val="en-US" w:eastAsia="zh-CN"/>
        </w:rPr>
        <w:t>借法官之手化为裁判，滋生出个别司法腐败，产生司法不公。相比较世界上一些法治发达国家，在宪法上对法官权力都有宣誓性规定。德国宪法第92条规定“司法权付托于法官……”，第97条“一、法官应独立行使职权，并只服从法律。二、正式任用之法官非经法定理由，依照法定程序，在其任期届满前，不得违反其意志予以免职或永久或暂时予以停职或转任或退休……”。</w:t>
      </w:r>
      <w:r>
        <w:rPr>
          <w:rStyle w:val="13"/>
          <w:rFonts w:hint="eastAsia" w:asciiTheme="majorEastAsia" w:hAnsiTheme="majorEastAsia" w:eastAsiaTheme="majorEastAsia" w:cstheme="majorEastAsia"/>
          <w:sz w:val="28"/>
          <w:szCs w:val="28"/>
          <w:lang w:val="en-US" w:eastAsia="zh-CN"/>
        </w:rPr>
        <w:footnoteReference w:id="19"/>
      </w:r>
      <w:r>
        <w:rPr>
          <w:rFonts w:hint="eastAsia" w:asciiTheme="majorEastAsia" w:hAnsiTheme="majorEastAsia" w:eastAsiaTheme="majorEastAsia" w:cstheme="majorEastAsia"/>
          <w:sz w:val="28"/>
          <w:szCs w:val="28"/>
          <w:lang w:val="en-US" w:eastAsia="zh-CN"/>
        </w:rPr>
        <w:t>法国宪法规定，司法官的地位由组织法规定，审判官是终身职。其组织法对法官的权力进行了详细的规定。日本宪法第76条第3款规定“所有法官依良心独立行使职权，只受本宪法及法律的拘束。”。在英国，法官虽然是英王任命，但是仍然只对法律负责，对其实现公正的使命负责。</w:t>
      </w:r>
      <w:r>
        <w:rPr>
          <w:rStyle w:val="13"/>
          <w:rFonts w:hint="eastAsia" w:asciiTheme="majorEastAsia" w:hAnsiTheme="majorEastAsia" w:eastAsiaTheme="majorEastAsia" w:cstheme="majorEastAsia"/>
          <w:sz w:val="28"/>
          <w:szCs w:val="28"/>
          <w:lang w:val="en-US" w:eastAsia="zh-CN"/>
        </w:rPr>
        <w:footnoteReference w:id="20"/>
      </w:r>
      <w:r>
        <w:rPr>
          <w:rFonts w:hint="eastAsia" w:asciiTheme="majorEastAsia" w:hAnsiTheme="majorEastAsia" w:eastAsiaTheme="majorEastAsia" w:cstheme="majorEastAsia"/>
          <w:sz w:val="28"/>
          <w:szCs w:val="28"/>
          <w:lang w:val="en-US" w:eastAsia="zh-CN"/>
        </w:rPr>
        <w:t>事实上法官独立行使审判权已经是世界通行的做法。《世界司法独立宣言》（草案，以下简称《宣言》）被世界各国普遍认同，《宣言》第2条规定“每个法官应自由地根据其对事实的评价和法律的解释，在不受来自于任何方面或者由于任何原因的直接或者间接的限制、影响、诱导、压力、威胁或者干涉的情况下，对案件秉公裁决，此乃他们应有之职责。”。</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2、我国法院组织制度对法官权力确定也缺乏具体显现，导致法官权力运行困难。由于我国宪法没有规定法官的权力，因此作为下位法的《人民法院组织法》也无法超越上位法的规定，只是移植了宪法第126条作为该法的第4条，赋予法院独立行使审判权，对于审判员或者说法官在第34条中仅仅规定了入职条件，</w:t>
      </w:r>
      <w:r>
        <w:rPr>
          <w:rStyle w:val="13"/>
          <w:rFonts w:hint="eastAsia" w:asciiTheme="majorEastAsia" w:hAnsiTheme="majorEastAsia" w:eastAsiaTheme="majorEastAsia" w:cstheme="majorEastAsia"/>
          <w:sz w:val="28"/>
          <w:szCs w:val="28"/>
          <w:lang w:val="en-US" w:eastAsia="zh-CN"/>
        </w:rPr>
        <w:footnoteReference w:id="21"/>
      </w:r>
      <w:r>
        <w:rPr>
          <w:rFonts w:hint="eastAsia" w:asciiTheme="majorEastAsia" w:hAnsiTheme="majorEastAsia" w:eastAsiaTheme="majorEastAsia" w:cstheme="majorEastAsia"/>
          <w:sz w:val="28"/>
          <w:szCs w:val="28"/>
          <w:lang w:val="en-US" w:eastAsia="zh-CN"/>
        </w:rPr>
        <w:t>可法官的权限问题仍然空缺没有做出规定。《法官法》出台后，对法官的权力问题进行了制度上的填补，第8条“……依法审判案件不受行政机关、社会团体和个人的干涉；非因法定事由、非经法定程序，不被免职、降职、辞退或者处分……”从形式上看，法官有了独立审判权，但是仔细一看，会发现法院内部的法官独立问题仍然缺乏规定，内部行政化问题仍然没有得到制度上的解决。因为法官审判权的独立运行不仅仅可能会受到外部干扰，还会受到内部的干扰，从某种意义上说内部行政干扰可能更为严重，实践证明一些司法腐败问题恰恰就是因内部干扰而产生。同时由于法官与书记员、法官与员额制后产生的法官助理的关系没有制度规定，法官权力运行更是困难重重。</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3、规范性文件涉及法官权力的制度少，责任的制度多。如最高人民法院2001年制定的《中华人民共和国法官职业道德基本准则》涉及法官权力保障的仅有2条、第2条、44条，第2条仅仅是对《法官法》第8条的小部分重述，并无具体的展开，不具有操作性，其余40多条全部是有关法官义务责任的规定。随着司法改革的推进，法官享有独立裁判权，才慢慢有“审理者裁判，裁判者负责”的理念进入司法改革文件中，然而相对的保障性规范文件却迟迟没能出台。法官权力运行仍然步履维艰。</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（二）法官权力配置的制度构建建议。</w:t>
      </w:r>
    </w:p>
    <w:p>
      <w:pPr>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1、宪法对法官独立行使审判权的宣誓性规定不可缺少。从世界视角来看，存在两大法系，一种是判例为主的英美法系，这种法系的特点是大部分法律规则和原则可以通过判例的形式确定出来，因此其成文法可以显得量少和粗疏，但是通过判例弥补其不足或者漏洞后，仍然可以适应千变万化变化的现实问题，如美国很多法律原则就是通过判例确定的规范作为新例，来确定一个法律规则或者法律原则的，以此满足后来发生相同或者相似法律事实所适用的法律。因此宪法即使没有详细规定法官的权力，判例完全可以创设法官的权力范围。英美法系国家的法官权力问题，正是存在于量少和粗疏的成文法和判例中。然而大陆法系国家，却截然相反，如果在成文法中没有规定，判例或者说案例很难创设一个法律规则，更难说法律原则，即使存在这样的案例也难逃立法机关的非议。因此对于法官权力这么重要的问题，应当有明确的法律预设。宪法是大陆法系国家的根本大法，首先应当宣誓法官有怎样的权力，其他基本法和特别法从可能进行细化。德国与法国对于法官权力，在根本法和基本法及特别法上就构建比较好。我国是大陆法系国家，也应当如此。建议将我国《宪法》第126条“人民法院独立行使审判权，不受行政机关、社会团体和个人的干涉”修改为“人民法院独立行使审判权，案件审理时由法官独立行使，不受行政机关、社会团体和个人的干涉。”。对法官的称谓规范为世界各国一般的称谓，将审判员统一称为“法官”。</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对人民法院组织法和法官法中有关法官权力内容应当强化。我国的法院组织法系1979年7月1日颁布，因为当时的历史条件限制对于法官的权力问题基本没有规定，1983年虽然进行了修改，但是对法官独立行使审判权的问题仍然没有多少认识，因此对此问题的认识没有得到升华，以至于没有迈出关键的一步，现在经过三十多年的司法实践，社会不同群体及党政各级部门，已经认识到只有在法官专业化及职业化前提下，还应当赋予法官独立审判案件权，才能保障司法的公平公正。因此再次修改法院组织法，应当成为深化司法改革的组成部分。建议将《人民法院组织法》第2条增加一款作为第3款“各级人民法院在审理案件时，审判权由法官独立行使，不受任何机关、社会团体和个人的干涉。”第19条第1款、第额4条第1款、第27条第1款、第31条第1款分别修改为“XX法院由首席法官一人，法官若干名组成。”。第34条应当将法官的年龄条件和其他任职条件提高，将院长称为首席法官，其他统一称为法官,去掉助理审判员，第37条“各级人民法院按照需要可以设助理审判员……”修改为“各级人民法院按照需要可以招聘法官助理、书记员及其他行政辅助人员，由本级人民法院任命或者解聘；法官助理、书记员及其他行政辅助人员的工作职责，由最高人民法院制定实施细则。”，删除第四十条，第四十一条应删除第2款。</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对于法官法的修改重在细化法官的权力内容。其一，法官分类上以首席法官替代法院院长，其余称为法官；其二对于赋予法官权利条款应增加法官对法官助理及书记员的审判管理权。因此对第八条增加一项“有权领导和监督法官助理、书记员工作”作为第三项内容。</w:t>
      </w:r>
    </w:p>
    <w:p>
      <w:pPr>
        <w:numPr>
          <w:ilvl w:val="0"/>
          <w:numId w:val="0"/>
        </w:numPr>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制定法官助理、书记员及其他司法行政辅助人员工作职责细则。法官助理、书记员及其他司法行政辅助人员工作职责实施细则应当由最高人民法院制定，之所以如此，是因为法院人员分类改革后，涉及不同群体，每一种群体的利益和工作职责，都应当与其履行的工作任务相当，工作任务随着改革形势的发展还需要进行调整，能够处理好这一点的前提条件，熟悉我国多年的审判制度的历史实践，存在的问题和困难，并且进行过多年的研究和经验总结，相关资料的完整收集，能够做到这一点的，只有最高人民法院。作为最高人民法院在法院人员结构、特点等队伍建设方面，已经做了多年的研究，有比较丰富的研究成果，因此制定出来的实施细则，更具有实践性、理论性和可操作性。建议最高人民法院在制定法官助理、书记员及其他司法行政辅助人员工作职责实施细则时，考量以下方面的问题：第一对于法官助理的职责内容，应考虑法官可以分离出来交与法官助理和不能分离出来的内容交与法官助理的工作内容，并明确重述法官的权力，为此法官助理应有这样的一些职责：接受法官领导、协助法官开展庭审工作、受法官委托监督书记员工作、受法官委托组织调解案件、根据法官或者合议庭意见草拟裁判文书、代理法官协调与其他辅助人员工作、草拟审理报告、配合书记员校核法律文书、完成法官交办的其他工作；第二对于书记员的工作职责，以《人民法院组织法》第40条“……担任记录工作并办理有关审判的其他工作。”</w:t>
      </w:r>
      <w:r>
        <w:rPr>
          <w:rStyle w:val="13"/>
          <w:rFonts w:hint="eastAsia" w:asciiTheme="majorEastAsia" w:hAnsiTheme="majorEastAsia" w:eastAsiaTheme="majorEastAsia" w:cstheme="majorEastAsia"/>
          <w:sz w:val="28"/>
          <w:szCs w:val="28"/>
          <w:lang w:val="en-US" w:eastAsia="zh-CN"/>
        </w:rPr>
        <w:footnoteReference w:id="22"/>
      </w:r>
      <w:r>
        <w:rPr>
          <w:rFonts w:hint="eastAsia" w:asciiTheme="majorEastAsia" w:hAnsiTheme="majorEastAsia" w:eastAsiaTheme="majorEastAsia" w:cstheme="majorEastAsia"/>
          <w:sz w:val="28"/>
          <w:szCs w:val="28"/>
          <w:lang w:val="en-US" w:eastAsia="zh-CN"/>
        </w:rPr>
        <w:t>为基础，结合法官助理的工作职责的相互衔接，细化其工作职责内容；第三法警和后勤人员按照公务员法及人民警察法和法院工作的特殊性制定其工作职责。</w:t>
      </w:r>
    </w:p>
    <w:p>
      <w:pPr>
        <w:numPr>
          <w:ilvl w:val="0"/>
          <w:numId w:val="0"/>
        </w:numPr>
        <w:rPr>
          <w:rFonts w:hint="eastAsia" w:asciiTheme="majorEastAsia" w:hAnsiTheme="majorEastAsia" w:eastAsiaTheme="majorEastAsia" w:cstheme="maj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新宋体">
    <w:panose1 w:val="02010609030101010101"/>
    <w:charset w:val="86"/>
    <w:family w:val="auto"/>
    <w:pitch w:val="default"/>
    <w:sig w:usb0="00000003"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汉仪旗黑-55">
    <w:panose1 w:val="00020600040101010101"/>
    <w:charset w:val="86"/>
    <w:family w:val="auto"/>
    <w:pitch w:val="default"/>
    <w:sig w:usb0="A00002BF" w:usb1="18EF7CFA" w:usb2="00000016" w:usb3="00000000" w:csb0="00040000" w:csb1="00000000"/>
  </w:font>
  <w:font w:name="汉仪旗黑-55S">
    <w:panose1 w:val="00020600040101010101"/>
    <w:charset w:val="86"/>
    <w:family w:val="auto"/>
    <w:pitch w:val="default"/>
    <w:sig w:usb0="A00002BF" w:usb1="18EF7CFA" w:usb2="00000016" w:usb3="00000000" w:csb0="00040000" w:csb1="00000000"/>
  </w:font>
  <w:font w:name="Arial">
    <w:panose1 w:val="020B0604020202020204"/>
    <w:charset w:val="00"/>
    <w:family w:val="auto"/>
    <w:pitch w:val="default"/>
    <w:sig w:usb0="00007A87" w:usb1="80000000" w:usb2="00000008" w:usb3="00000000" w:csb0="400001FF" w:csb1="FFFF0000"/>
  </w:font>
  <w:font w:name="Calibri Light">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pPr>
      <w:r>
        <w:rPr>
          <w:rStyle w:val="13"/>
        </w:rPr>
        <w:footnoteRef/>
      </w:r>
      <w:r>
        <w:t xml:space="preserve"> </w:t>
      </w:r>
      <w:r>
        <w:rPr>
          <w:rFonts w:hint="eastAsia"/>
          <w:lang w:val="en-US" w:eastAsia="zh-CN"/>
        </w:rPr>
        <w:t>问卷调查时间为2016年10—11月，回收裁止时间为2017年1月30日。</w:t>
      </w:r>
    </w:p>
  </w:footnote>
  <w:footnote w:id="1">
    <w:p>
      <w:pPr>
        <w:pStyle w:val="2"/>
        <w:snapToGrid w:val="0"/>
      </w:pPr>
      <w:r>
        <w:rPr>
          <w:rStyle w:val="13"/>
        </w:rPr>
        <w:footnoteRef/>
      </w:r>
      <w:r>
        <w:t xml:space="preserve"> </w:t>
      </w:r>
      <w:r>
        <w:rPr>
          <w:rFonts w:hint="eastAsia"/>
          <w:lang w:eastAsia="zh-CN"/>
        </w:rPr>
        <w:t>参见江振春：“美国联邦最高法院与法官助理制度”，《南京大学学报》（哲学</w:t>
      </w:r>
      <w:r>
        <w:rPr>
          <w:rFonts w:hint="eastAsia" w:ascii="宋体" w:hAnsi="宋体" w:eastAsia="宋体" w:cs="宋体"/>
          <w:lang w:eastAsia="zh-CN"/>
        </w:rPr>
        <w:t>·人文科学·社会科学版</w:t>
      </w:r>
      <w:r>
        <w:rPr>
          <w:rFonts w:hint="eastAsia"/>
          <w:lang w:eastAsia="zh-CN"/>
        </w:rPr>
        <w:t>），</w:t>
      </w:r>
      <w:r>
        <w:rPr>
          <w:rFonts w:hint="eastAsia"/>
          <w:lang w:val="en-US" w:eastAsia="zh-CN"/>
        </w:rPr>
        <w:t>2010年第2期第37页。</w:t>
      </w:r>
    </w:p>
  </w:footnote>
  <w:footnote w:id="2">
    <w:p>
      <w:pPr>
        <w:pStyle w:val="2"/>
        <w:snapToGrid w:val="0"/>
      </w:pPr>
      <w:r>
        <w:rPr>
          <w:rStyle w:val="13"/>
        </w:rPr>
        <w:footnoteRef/>
      </w:r>
      <w:r>
        <w:t xml:space="preserve"> </w:t>
      </w:r>
      <w:r>
        <w:rPr>
          <w:rFonts w:hint="eastAsia"/>
          <w:lang w:eastAsia="zh-CN"/>
        </w:rPr>
        <w:t>同上注。</w:t>
      </w:r>
    </w:p>
  </w:footnote>
  <w:footnote w:id="3">
    <w:p>
      <w:pPr>
        <w:pStyle w:val="2"/>
        <w:snapToGrid w:val="0"/>
      </w:pPr>
      <w:r>
        <w:rPr>
          <w:rStyle w:val="13"/>
        </w:rPr>
        <w:footnoteRef/>
      </w:r>
      <w:r>
        <w:t xml:space="preserve"> </w:t>
      </w:r>
      <w:r>
        <w:rPr>
          <w:rFonts w:hint="eastAsia"/>
          <w:lang w:eastAsia="zh-CN"/>
        </w:rPr>
        <w:t>齐树洁主编：《英国司法制度》，厦门大学出版社，</w:t>
      </w:r>
      <w:r>
        <w:rPr>
          <w:rFonts w:hint="eastAsia"/>
          <w:lang w:val="en-US" w:eastAsia="zh-CN"/>
        </w:rPr>
        <w:t>2007年2月第2版</w:t>
      </w:r>
    </w:p>
  </w:footnote>
  <w:footnote w:id="4">
    <w:p>
      <w:pPr>
        <w:pStyle w:val="2"/>
        <w:snapToGrid w:val="0"/>
      </w:pPr>
      <w:r>
        <w:rPr>
          <w:rStyle w:val="13"/>
        </w:rPr>
        <w:footnoteRef/>
      </w:r>
      <w:r>
        <w:t xml:space="preserve"> </w:t>
      </w:r>
      <w:r>
        <w:rPr>
          <w:rFonts w:hint="eastAsia"/>
          <w:lang w:eastAsia="zh-CN"/>
        </w:rPr>
        <w:t>孙国明主编：《法官助理，人民法院出版社》，</w:t>
      </w:r>
      <w:r>
        <w:rPr>
          <w:rFonts w:hint="eastAsia"/>
          <w:lang w:val="en-US" w:eastAsia="zh-CN"/>
        </w:rPr>
        <w:t>2007年版，第240页。</w:t>
      </w:r>
    </w:p>
  </w:footnote>
  <w:footnote w:id="5">
    <w:p>
      <w:pPr>
        <w:pStyle w:val="2"/>
        <w:snapToGrid w:val="0"/>
      </w:pPr>
      <w:r>
        <w:rPr>
          <w:rStyle w:val="13"/>
        </w:rPr>
        <w:footnoteRef/>
      </w:r>
      <w:r>
        <w:t xml:space="preserve"> </w:t>
      </w:r>
      <w:r>
        <w:rPr>
          <w:rFonts w:hint="eastAsia"/>
          <w:lang w:eastAsia="zh-CN"/>
        </w:rPr>
        <w:t>陈志兴“让法官员额制‘根深叶茂’：怎样设计一个好的法官助理制度”，载《中国知识产权法学研究会</w:t>
      </w:r>
      <w:r>
        <w:rPr>
          <w:rFonts w:hint="eastAsia"/>
          <w:lang w:val="en-US" w:eastAsia="zh-CN"/>
        </w:rPr>
        <w:t>2015年论文集</w:t>
      </w:r>
      <w:r>
        <w:rPr>
          <w:rFonts w:hint="eastAsia"/>
          <w:lang w:eastAsia="zh-CN"/>
        </w:rPr>
        <w:t>》。</w:t>
      </w:r>
    </w:p>
  </w:footnote>
  <w:footnote w:id="6">
    <w:p>
      <w:pPr>
        <w:pStyle w:val="2"/>
        <w:snapToGrid w:val="0"/>
      </w:pPr>
      <w:r>
        <w:rPr>
          <w:rStyle w:val="13"/>
        </w:rPr>
        <w:footnoteRef/>
      </w:r>
      <w:r>
        <w:t xml:space="preserve"> </w:t>
      </w:r>
      <w:r>
        <w:rPr>
          <w:rFonts w:hint="eastAsia"/>
          <w:lang w:eastAsia="zh-CN"/>
        </w:rPr>
        <w:t>傅郁林：“以职那权界定为基础的审判员分类改革”，《现代法学》，</w:t>
      </w:r>
      <w:r>
        <w:rPr>
          <w:rFonts w:hint="eastAsia"/>
          <w:lang w:val="en-US" w:eastAsia="zh-CN"/>
        </w:rPr>
        <w:t>2015年第4期，第16页。</w:t>
      </w:r>
    </w:p>
  </w:footnote>
  <w:footnote w:id="7">
    <w:p>
      <w:pPr>
        <w:pStyle w:val="2"/>
        <w:snapToGrid w:val="0"/>
      </w:pPr>
      <w:r>
        <w:rPr>
          <w:rStyle w:val="13"/>
        </w:rPr>
        <w:footnoteRef/>
      </w:r>
      <w:r>
        <w:t xml:space="preserve"> </w:t>
      </w:r>
      <w:r>
        <w:rPr>
          <w:rFonts w:hint="eastAsia"/>
          <w:lang w:eastAsia="zh-CN"/>
        </w:rPr>
        <w:t>郃中林、田心则：“第三届海峡两岸暨澳门司法高层论坛综述”，《人民司法》（应用），</w:t>
      </w:r>
      <w:r>
        <w:rPr>
          <w:rFonts w:hint="eastAsia"/>
          <w:lang w:val="en-US" w:eastAsia="zh-CN"/>
        </w:rPr>
        <w:t>2016年第1期，第43页。</w:t>
      </w:r>
    </w:p>
  </w:footnote>
  <w:footnote w:id="8">
    <w:p>
      <w:pPr>
        <w:pStyle w:val="2"/>
        <w:snapToGrid w:val="0"/>
      </w:pPr>
      <w:r>
        <w:rPr>
          <w:rStyle w:val="13"/>
        </w:rPr>
        <w:footnoteRef/>
      </w:r>
      <w:r>
        <w:t xml:space="preserve"> </w:t>
      </w:r>
      <w:r>
        <w:rPr>
          <w:rFonts w:hint="eastAsia"/>
          <w:lang w:eastAsia="zh-CN"/>
        </w:rPr>
        <w:t>参见薛永慧：《从台湾法官与司法辅助人员的关系看大陆法官员额制改革》，《台湾研究集刊》，</w:t>
      </w:r>
      <w:r>
        <w:rPr>
          <w:rFonts w:hint="eastAsia"/>
          <w:lang w:val="en-US" w:eastAsia="zh-CN"/>
        </w:rPr>
        <w:t>2015年第6期，第79页。</w:t>
      </w:r>
    </w:p>
  </w:footnote>
  <w:footnote w:id="9">
    <w:p>
      <w:pPr>
        <w:pStyle w:val="2"/>
        <w:snapToGrid w:val="0"/>
      </w:pPr>
      <w:r>
        <w:rPr>
          <w:rStyle w:val="13"/>
        </w:rPr>
        <w:footnoteRef/>
      </w:r>
      <w:r>
        <w:t xml:space="preserve"> </w:t>
      </w:r>
      <w:r>
        <w:rPr>
          <w:rFonts w:hint="eastAsia"/>
          <w:lang w:eastAsia="zh-CN"/>
        </w:rPr>
        <w:t>杨鸿烈著：《中国法律发达史》，中国政法大学出版社，</w:t>
      </w:r>
      <w:r>
        <w:rPr>
          <w:rFonts w:hint="eastAsia"/>
          <w:lang w:val="en-US" w:eastAsia="zh-CN"/>
        </w:rPr>
        <w:t>2009年11月版，第20页。</w:t>
      </w:r>
    </w:p>
  </w:footnote>
  <w:footnote w:id="10">
    <w:p>
      <w:pPr>
        <w:pStyle w:val="2"/>
        <w:snapToGrid w:val="0"/>
      </w:pPr>
      <w:r>
        <w:rPr>
          <w:rStyle w:val="13"/>
        </w:rPr>
        <w:footnoteRef/>
      </w:r>
      <w:r>
        <w:t xml:space="preserve"> </w:t>
      </w:r>
      <w:r>
        <w:rPr>
          <w:rFonts w:hint="eastAsia"/>
          <w:lang w:eastAsia="zh-CN"/>
        </w:rPr>
        <w:t>《国语齐语》第六。</w:t>
      </w:r>
    </w:p>
  </w:footnote>
  <w:footnote w:id="11">
    <w:p>
      <w:pPr>
        <w:pStyle w:val="2"/>
        <w:snapToGrid w:val="0"/>
      </w:pPr>
      <w:r>
        <w:rPr>
          <w:rStyle w:val="13"/>
        </w:rPr>
        <w:footnoteRef/>
      </w:r>
      <w:r>
        <w:t xml:space="preserve"> </w:t>
      </w:r>
      <w:r>
        <w:rPr>
          <w:rFonts w:hint="eastAsia"/>
          <w:lang w:eastAsia="zh-CN"/>
        </w:rPr>
        <w:t>同上</w:t>
      </w:r>
      <w:r>
        <w:rPr>
          <w:rFonts w:hint="eastAsia"/>
          <w:lang w:val="en-US" w:eastAsia="zh-CN"/>
        </w:rPr>
        <w:t>9注，第218页。</w:t>
      </w:r>
    </w:p>
  </w:footnote>
  <w:footnote w:id="12">
    <w:p>
      <w:pPr>
        <w:pStyle w:val="2"/>
        <w:snapToGrid w:val="0"/>
      </w:pPr>
      <w:r>
        <w:rPr>
          <w:rStyle w:val="13"/>
        </w:rPr>
        <w:footnoteRef/>
      </w:r>
      <w:r>
        <w:t xml:space="preserve"> </w:t>
      </w:r>
      <w:r>
        <w:rPr>
          <w:rFonts w:hint="eastAsia"/>
          <w:lang w:eastAsia="zh-CN"/>
        </w:rPr>
        <w:t>同上</w:t>
      </w:r>
      <w:r>
        <w:rPr>
          <w:rFonts w:hint="eastAsia"/>
          <w:lang w:val="en-US" w:eastAsia="zh-CN"/>
        </w:rPr>
        <w:t>9注，第384页。</w:t>
      </w:r>
    </w:p>
  </w:footnote>
  <w:footnote w:id="13">
    <w:p>
      <w:pPr>
        <w:pStyle w:val="2"/>
        <w:snapToGrid w:val="0"/>
      </w:pPr>
      <w:r>
        <w:rPr>
          <w:rStyle w:val="13"/>
        </w:rPr>
        <w:footnoteRef/>
      </w:r>
      <w:r>
        <w:t xml:space="preserve"> </w:t>
      </w:r>
      <w:r>
        <w:rPr>
          <w:rFonts w:hint="eastAsia"/>
          <w:lang w:eastAsia="zh-CN"/>
        </w:rPr>
        <w:t>参见陈陟云</w:t>
      </w:r>
      <w:r>
        <w:rPr>
          <w:rFonts w:hint="eastAsia"/>
          <w:lang w:val="en-US" w:eastAsia="zh-CN"/>
        </w:rPr>
        <w:t xml:space="preserve"> 孙文波著：《法官员额问题研究》，中国民主法治出版社，2016年版第9页。</w:t>
      </w:r>
    </w:p>
  </w:footnote>
  <w:footnote w:id="14">
    <w:p>
      <w:pPr>
        <w:pStyle w:val="2"/>
        <w:snapToGrid w:val="0"/>
      </w:pPr>
      <w:r>
        <w:rPr>
          <w:rStyle w:val="13"/>
        </w:rPr>
        <w:footnoteRef/>
      </w:r>
      <w:r>
        <w:t xml:space="preserve"> </w:t>
      </w:r>
      <w:r>
        <w:rPr>
          <w:rFonts w:hint="eastAsia"/>
          <w:lang w:eastAsia="zh-CN"/>
        </w:rPr>
        <w:t>高权著：《审判管理学原理》，人民法院出版社，</w:t>
      </w:r>
      <w:r>
        <w:rPr>
          <w:rFonts w:hint="eastAsia"/>
          <w:lang w:val="en-US" w:eastAsia="zh-CN"/>
        </w:rPr>
        <w:t>2014年第1版，第10页。</w:t>
      </w:r>
    </w:p>
  </w:footnote>
  <w:footnote w:id="15">
    <w:p>
      <w:pPr>
        <w:pStyle w:val="2"/>
        <w:snapToGrid w:val="0"/>
      </w:pPr>
      <w:r>
        <w:rPr>
          <w:rStyle w:val="13"/>
        </w:rPr>
        <w:footnoteRef/>
      </w:r>
      <w:r>
        <w:t xml:space="preserve"> </w:t>
      </w:r>
      <w:r>
        <w:rPr>
          <w:rFonts w:hint="eastAsia"/>
          <w:lang w:eastAsia="zh-CN"/>
        </w:rPr>
        <w:t>同上注。</w:t>
      </w:r>
    </w:p>
  </w:footnote>
  <w:footnote w:id="16">
    <w:p>
      <w:pPr>
        <w:pStyle w:val="2"/>
        <w:snapToGrid w:val="0"/>
      </w:pPr>
      <w:r>
        <w:rPr>
          <w:rStyle w:val="13"/>
        </w:rPr>
        <w:footnoteRef/>
      </w:r>
      <w:r>
        <w:t xml:space="preserve"> </w:t>
      </w:r>
      <w:r>
        <w:rPr>
          <w:rFonts w:hint="eastAsia" w:ascii="宋体" w:hAnsi="宋体" w:eastAsia="宋体" w:cs="宋体"/>
        </w:rPr>
        <w:t>[</w:t>
      </w:r>
      <w:r>
        <w:rPr>
          <w:rFonts w:hint="eastAsia" w:ascii="宋体" w:hAnsi="宋体" w:eastAsia="宋体" w:cs="宋体"/>
          <w:lang w:eastAsia="zh-CN"/>
        </w:rPr>
        <w:t>德国</w:t>
      </w:r>
      <w:r>
        <w:rPr>
          <w:rFonts w:hint="eastAsia" w:ascii="宋体" w:hAnsi="宋体" w:eastAsia="宋体" w:cs="宋体"/>
        </w:rPr>
        <w:t>]</w:t>
      </w:r>
      <w:r>
        <w:rPr>
          <w:rFonts w:hint="eastAsia" w:ascii="宋体" w:hAnsi="宋体" w:eastAsia="宋体" w:cs="宋体"/>
          <w:lang w:eastAsia="zh-CN"/>
        </w:rPr>
        <w:t>尼克拉斯·卢曼著《权力》，瞿铁朋译</w:t>
      </w:r>
      <w:r>
        <w:rPr>
          <w:rFonts w:hint="eastAsia" w:ascii="宋体" w:hAnsi="宋体" w:eastAsia="宋体" w:cs="宋体"/>
          <w:lang w:val="en-US" w:eastAsia="zh-CN"/>
        </w:rPr>
        <w:t xml:space="preserve"> 上海人民出版社，2005年第1版，第10页。</w:t>
      </w:r>
    </w:p>
  </w:footnote>
  <w:footnote w:id="17">
    <w:p>
      <w:pPr>
        <w:pStyle w:val="2"/>
        <w:snapToGrid w:val="0"/>
      </w:pPr>
      <w:r>
        <w:rPr>
          <w:rStyle w:val="13"/>
        </w:rPr>
        <w:footnoteRef/>
      </w:r>
      <w:r>
        <w:t xml:space="preserve"> </w:t>
      </w:r>
      <w:r>
        <w:rPr>
          <w:rFonts w:hint="eastAsia"/>
          <w:lang w:eastAsia="zh-CN"/>
        </w:rPr>
        <w:t>同上第</w:t>
      </w:r>
      <w:r>
        <w:rPr>
          <w:rFonts w:hint="eastAsia"/>
          <w:lang w:val="en-US" w:eastAsia="zh-CN"/>
        </w:rPr>
        <w:t>14注，第14页。</w:t>
      </w:r>
    </w:p>
  </w:footnote>
  <w:footnote w:id="18">
    <w:p>
      <w:pPr>
        <w:pStyle w:val="2"/>
        <w:snapToGrid w:val="0"/>
      </w:pPr>
      <w:r>
        <w:rPr>
          <w:rStyle w:val="13"/>
        </w:rPr>
        <w:footnoteRef/>
      </w:r>
      <w:r>
        <w:t xml:space="preserve"> </w:t>
      </w:r>
      <w:r>
        <w:rPr>
          <w:rFonts w:hint="eastAsia"/>
          <w:lang w:eastAsia="zh-CN"/>
        </w:rPr>
        <w:t>这种意见可能存在与他人的利益输送，也可能是满足上级的某种意图。</w:t>
      </w:r>
    </w:p>
  </w:footnote>
  <w:footnote w:id="19">
    <w:p>
      <w:pPr>
        <w:pStyle w:val="2"/>
        <w:snapToGrid w:val="0"/>
      </w:pPr>
      <w:r>
        <w:rPr>
          <w:rStyle w:val="13"/>
        </w:rPr>
        <w:footnoteRef/>
      </w:r>
      <w:r>
        <w:t xml:space="preserve"> </w:t>
      </w:r>
      <w:r>
        <w:rPr>
          <w:rFonts w:hint="eastAsia"/>
          <w:lang w:eastAsia="zh-CN"/>
        </w:rPr>
        <w:t>详见德国宪法第</w:t>
      </w:r>
      <w:r>
        <w:rPr>
          <w:rFonts w:hint="eastAsia"/>
          <w:lang w:val="en-US" w:eastAsia="zh-CN"/>
        </w:rPr>
        <w:t>92条、97条。</w:t>
      </w:r>
    </w:p>
  </w:footnote>
  <w:footnote w:id="20">
    <w:p>
      <w:pPr>
        <w:pStyle w:val="2"/>
        <w:snapToGrid w:val="0"/>
      </w:pPr>
      <w:r>
        <w:rPr>
          <w:rStyle w:val="13"/>
        </w:rPr>
        <w:footnoteRef/>
      </w:r>
      <w:r>
        <w:t xml:space="preserve"> </w:t>
      </w:r>
      <w:r>
        <w:rPr>
          <w:rFonts w:hint="eastAsia"/>
          <w:lang w:eastAsia="zh-CN"/>
        </w:rPr>
        <w:t>齐树洁主编：《英国司法制度》，厦门大学出版社，</w:t>
      </w:r>
      <w:r>
        <w:rPr>
          <w:rFonts w:hint="eastAsia"/>
          <w:lang w:val="en-US" w:eastAsia="zh-CN"/>
        </w:rPr>
        <w:t>2007年版，第48页。</w:t>
      </w:r>
    </w:p>
  </w:footnote>
  <w:footnote w:id="21">
    <w:p>
      <w:pPr>
        <w:pStyle w:val="2"/>
        <w:snapToGrid w:val="0"/>
        <w:rPr>
          <w:rFonts w:hint="eastAsia"/>
          <w:lang w:val="en-US" w:eastAsia="zh-CN"/>
        </w:rPr>
      </w:pPr>
      <w:r>
        <w:rPr>
          <w:rStyle w:val="13"/>
        </w:rPr>
        <w:footnoteRef/>
      </w:r>
      <w:r>
        <w:t xml:space="preserve"> </w:t>
      </w:r>
      <w:r>
        <w:rPr>
          <w:rFonts w:hint="eastAsia"/>
          <w:lang w:eastAsia="zh-CN"/>
        </w:rPr>
        <w:t>第</w:t>
      </w:r>
      <w:r>
        <w:rPr>
          <w:rFonts w:hint="eastAsia"/>
          <w:lang w:val="en-US" w:eastAsia="zh-CN"/>
        </w:rPr>
        <w:t>34条规定“有选举权和被选举权的年满二十三岁的公民，可以被选举为人民法院院长，或者被任命为副院长、庭长、副庭长、审判员和助理审判员，但是被剥夺过政治权利的人除外。</w:t>
      </w:r>
    </w:p>
    <w:p>
      <w:pPr>
        <w:pStyle w:val="2"/>
        <w:snapToGrid w:val="0"/>
        <w:rPr>
          <w:rFonts w:hint="eastAsia"/>
          <w:lang w:val="en-US" w:eastAsia="zh-CN"/>
        </w:rPr>
      </w:pPr>
      <w:r>
        <w:rPr>
          <w:rFonts w:hint="eastAsia"/>
          <w:lang w:val="en-US" w:eastAsia="zh-CN"/>
        </w:rPr>
        <w:t>人民法院的审判人员必须具有法律专业知识。</w:t>
      </w:r>
    </w:p>
    <w:p>
      <w:pPr>
        <w:pStyle w:val="2"/>
        <w:snapToGrid w:val="0"/>
      </w:pPr>
      <w:r>
        <w:rPr>
          <w:rFonts w:hint="eastAsia"/>
          <w:lang w:val="en-US" w:eastAsia="zh-CN"/>
        </w:rPr>
        <w:t>”</w:t>
      </w:r>
    </w:p>
  </w:footnote>
  <w:footnote w:id="22">
    <w:p>
      <w:pPr>
        <w:pStyle w:val="2"/>
        <w:snapToGrid w:val="0"/>
      </w:pPr>
      <w:r>
        <w:rPr>
          <w:rStyle w:val="13"/>
        </w:rPr>
        <w:footnoteRef/>
      </w:r>
      <w:r>
        <w:t xml:space="preserve"> </w:t>
      </w:r>
      <w:r>
        <w:rPr>
          <w:rFonts w:hint="eastAsia"/>
          <w:lang w:eastAsia="zh-CN"/>
        </w:rPr>
        <w:t>详见《人民法院组织法》第</w:t>
      </w:r>
      <w:r>
        <w:rPr>
          <w:rFonts w:hint="eastAsia"/>
          <w:lang w:val="en-US" w:eastAsia="zh-CN"/>
        </w:rPr>
        <w:t>41条。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3EB62"/>
    <w:multiLevelType w:val="singleLevel"/>
    <w:tmpl w:val="58C3EB62"/>
    <w:lvl w:ilvl="0" w:tentative="0">
      <w:start w:val="1"/>
      <w:numFmt w:val="chineseCounting"/>
      <w:suff w:val="nothing"/>
      <w:lvlText w:val="（%1）"/>
      <w:lvlJc w:val="left"/>
    </w:lvl>
  </w:abstractNum>
  <w:abstractNum w:abstractNumId="1">
    <w:nsid w:val="58C3ED20"/>
    <w:multiLevelType w:val="singleLevel"/>
    <w:tmpl w:val="58C3ED20"/>
    <w:lvl w:ilvl="0" w:tentative="0">
      <w:start w:val="1"/>
      <w:numFmt w:val="chineseCounting"/>
      <w:suff w:val="nothing"/>
      <w:lvlText w:val="（%1）"/>
      <w:lvlJc w:val="left"/>
    </w:lvl>
  </w:abstractNum>
  <w:abstractNum w:abstractNumId="2">
    <w:nsid w:val="58C53E76"/>
    <w:multiLevelType w:val="singleLevel"/>
    <w:tmpl w:val="58C53E76"/>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53A7F"/>
    <w:rsid w:val="004A42F0"/>
    <w:rsid w:val="01561385"/>
    <w:rsid w:val="048D4EF3"/>
    <w:rsid w:val="04967857"/>
    <w:rsid w:val="066B151B"/>
    <w:rsid w:val="075A0509"/>
    <w:rsid w:val="07A855C6"/>
    <w:rsid w:val="07E278A4"/>
    <w:rsid w:val="08D11B4B"/>
    <w:rsid w:val="0A422E42"/>
    <w:rsid w:val="0A9A1E45"/>
    <w:rsid w:val="0AC3792A"/>
    <w:rsid w:val="0C9C481D"/>
    <w:rsid w:val="0D000A11"/>
    <w:rsid w:val="0D250C51"/>
    <w:rsid w:val="0EE0532F"/>
    <w:rsid w:val="0EFE1306"/>
    <w:rsid w:val="12DE56AF"/>
    <w:rsid w:val="14672098"/>
    <w:rsid w:val="14917234"/>
    <w:rsid w:val="17625E4C"/>
    <w:rsid w:val="17A35E01"/>
    <w:rsid w:val="17AD6864"/>
    <w:rsid w:val="1850798F"/>
    <w:rsid w:val="19540235"/>
    <w:rsid w:val="1D0850AF"/>
    <w:rsid w:val="1E8F30BB"/>
    <w:rsid w:val="2089628A"/>
    <w:rsid w:val="23962597"/>
    <w:rsid w:val="24225080"/>
    <w:rsid w:val="24283369"/>
    <w:rsid w:val="244C0523"/>
    <w:rsid w:val="292673A0"/>
    <w:rsid w:val="2BD6439C"/>
    <w:rsid w:val="2BDE387D"/>
    <w:rsid w:val="2CB246DB"/>
    <w:rsid w:val="2D7832A8"/>
    <w:rsid w:val="2DB54507"/>
    <w:rsid w:val="32713212"/>
    <w:rsid w:val="3295723A"/>
    <w:rsid w:val="329E7AE5"/>
    <w:rsid w:val="33763471"/>
    <w:rsid w:val="33CF2DB1"/>
    <w:rsid w:val="35A27E63"/>
    <w:rsid w:val="38377F92"/>
    <w:rsid w:val="38F33C14"/>
    <w:rsid w:val="395176A4"/>
    <w:rsid w:val="3A0E7BE4"/>
    <w:rsid w:val="3A497858"/>
    <w:rsid w:val="3CF61B5E"/>
    <w:rsid w:val="3D683ED0"/>
    <w:rsid w:val="3DAB2FAB"/>
    <w:rsid w:val="3DF77D58"/>
    <w:rsid w:val="3DFC524F"/>
    <w:rsid w:val="3E435F7D"/>
    <w:rsid w:val="3FEE4998"/>
    <w:rsid w:val="404923FD"/>
    <w:rsid w:val="40591994"/>
    <w:rsid w:val="406D7315"/>
    <w:rsid w:val="41832248"/>
    <w:rsid w:val="41C21652"/>
    <w:rsid w:val="44CE146F"/>
    <w:rsid w:val="4540731A"/>
    <w:rsid w:val="4810661B"/>
    <w:rsid w:val="48A32F72"/>
    <w:rsid w:val="48C409E1"/>
    <w:rsid w:val="49015A7D"/>
    <w:rsid w:val="49590C13"/>
    <w:rsid w:val="49FB1D0F"/>
    <w:rsid w:val="4B4619BE"/>
    <w:rsid w:val="4B5E7982"/>
    <w:rsid w:val="4BCD18A9"/>
    <w:rsid w:val="4CEE67E7"/>
    <w:rsid w:val="4DAF2036"/>
    <w:rsid w:val="4EBC55E1"/>
    <w:rsid w:val="4EF75D26"/>
    <w:rsid w:val="4F194DCF"/>
    <w:rsid w:val="4F501B16"/>
    <w:rsid w:val="506A1F63"/>
    <w:rsid w:val="50E860E9"/>
    <w:rsid w:val="51EA665F"/>
    <w:rsid w:val="520D0E64"/>
    <w:rsid w:val="52BB221D"/>
    <w:rsid w:val="54755D85"/>
    <w:rsid w:val="548C6F41"/>
    <w:rsid w:val="55373753"/>
    <w:rsid w:val="57D32102"/>
    <w:rsid w:val="586D17EA"/>
    <w:rsid w:val="5A527C61"/>
    <w:rsid w:val="5A542EEB"/>
    <w:rsid w:val="5D0A6176"/>
    <w:rsid w:val="5E58249F"/>
    <w:rsid w:val="5E7D60BC"/>
    <w:rsid w:val="5EBE555F"/>
    <w:rsid w:val="5EF22D1E"/>
    <w:rsid w:val="5FCB711F"/>
    <w:rsid w:val="5FF863D8"/>
    <w:rsid w:val="620442CF"/>
    <w:rsid w:val="62250937"/>
    <w:rsid w:val="63244922"/>
    <w:rsid w:val="635E178F"/>
    <w:rsid w:val="63A77B65"/>
    <w:rsid w:val="64637E72"/>
    <w:rsid w:val="65C64B5B"/>
    <w:rsid w:val="66667610"/>
    <w:rsid w:val="67B12A13"/>
    <w:rsid w:val="6B343233"/>
    <w:rsid w:val="6C12034D"/>
    <w:rsid w:val="6DA87BB3"/>
    <w:rsid w:val="6DE9355F"/>
    <w:rsid w:val="6EFC3922"/>
    <w:rsid w:val="6F9B5335"/>
    <w:rsid w:val="704A67B4"/>
    <w:rsid w:val="72771B27"/>
    <w:rsid w:val="72B504E4"/>
    <w:rsid w:val="72FD5CF7"/>
    <w:rsid w:val="73732F64"/>
    <w:rsid w:val="74BE28F8"/>
    <w:rsid w:val="754D7B0D"/>
    <w:rsid w:val="763A1E01"/>
    <w:rsid w:val="763F142B"/>
    <w:rsid w:val="76A53A7F"/>
    <w:rsid w:val="77007DA6"/>
    <w:rsid w:val="78893B9B"/>
    <w:rsid w:val="791A5A58"/>
    <w:rsid w:val="79400153"/>
    <w:rsid w:val="7ABC4097"/>
    <w:rsid w:val="7B5221C9"/>
    <w:rsid w:val="7BB90DAD"/>
    <w:rsid w:val="7CFE669D"/>
    <w:rsid w:val="7D4571CD"/>
    <w:rsid w:val="7DC53C73"/>
    <w:rsid w:val="7ECC187B"/>
    <w:rsid w:val="7FFC6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665C3"/>
      <w:u w:val="none"/>
    </w:rPr>
  </w:style>
  <w:style w:type="character" w:styleId="7">
    <w:name w:val="Emphasis"/>
    <w:basedOn w:val="4"/>
    <w:qFormat/>
    <w:uiPriority w:val="0"/>
  </w:style>
  <w:style w:type="character" w:styleId="8">
    <w:name w:val="HTML Definition"/>
    <w:basedOn w:val="4"/>
    <w:qFormat/>
    <w:uiPriority w:val="0"/>
  </w:style>
  <w:style w:type="character" w:styleId="9">
    <w:name w:val="HTML Variable"/>
    <w:basedOn w:val="4"/>
    <w:qFormat/>
    <w:uiPriority w:val="0"/>
  </w:style>
  <w:style w:type="character" w:styleId="10">
    <w:name w:val="Hyperlink"/>
    <w:basedOn w:val="4"/>
    <w:qFormat/>
    <w:uiPriority w:val="0"/>
    <w:rPr>
      <w:color w:val="3665C3"/>
      <w:u w:val="none"/>
    </w:rPr>
  </w:style>
  <w:style w:type="character" w:styleId="11">
    <w:name w:val="HTML Code"/>
    <w:basedOn w:val="4"/>
    <w:qFormat/>
    <w:uiPriority w:val="0"/>
    <w:rPr>
      <w:rFonts w:ascii="Courier New" w:hAnsi="Courier New"/>
      <w:sz w:val="20"/>
    </w:rPr>
  </w:style>
  <w:style w:type="character" w:styleId="12">
    <w:name w:val="HTML Cite"/>
    <w:basedOn w:val="4"/>
    <w:qFormat/>
    <w:uiPriority w:val="0"/>
  </w:style>
  <w:style w:type="character" w:styleId="13">
    <w:name w:val="footnote reference"/>
    <w:basedOn w:val="4"/>
    <w:qFormat/>
    <w:uiPriority w:val="0"/>
    <w:rPr>
      <w:vertAlign w:val="superscript"/>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法官助理管理权行使主体期待情况所占比例图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[工作簿1]Sheet1!$A$1:$A$8</c:f>
              <c:strCache>
                <c:ptCount val="8"/>
                <c:pt idx="0">
                  <c:v>法官</c:v>
                </c:pt>
                <c:pt idx="1">
                  <c:v>组织部门</c:v>
                </c:pt>
                <c:pt idx="2">
                  <c:v>院领导</c:v>
                </c:pt>
                <c:pt idx="3">
                  <c:v>法官 组织部门</c:v>
                </c:pt>
                <c:pt idx="4">
                  <c:v>法官 院领导</c:v>
                </c:pt>
                <c:pt idx="5">
                  <c:v>法官 组织部门 院领导</c:v>
                </c:pt>
                <c:pt idx="6">
                  <c:v>组织部门 院领导</c:v>
                </c:pt>
                <c:pt idx="7">
                  <c:v>其他</c:v>
                </c:pt>
              </c:strCache>
            </c:strRef>
          </c:cat>
          <c:val>
            <c:numRef>
              <c:f>[工作簿1]Sheet1!$B$1:$B$8</c:f>
              <c:numCache>
                <c:formatCode>0.00%</c:formatCode>
                <c:ptCount val="8"/>
                <c:pt idx="0">
                  <c:v>0.397</c:v>
                </c:pt>
                <c:pt idx="1">
                  <c:v>0.371</c:v>
                </c:pt>
                <c:pt idx="2" c:formatCode="0%">
                  <c:v>0.05</c:v>
                </c:pt>
                <c:pt idx="3">
                  <c:v>0.059</c:v>
                </c:pt>
                <c:pt idx="4" c:formatCode="0%">
                  <c:v>0</c:v>
                </c:pt>
                <c:pt idx="5">
                  <c:v>0.019</c:v>
                </c:pt>
                <c:pt idx="6">
                  <c:v>0.033</c:v>
                </c:pt>
                <c:pt idx="7" c:formatCode="0%">
                  <c:v>0.07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1200">
                <a:latin typeface="黑体" panose="02010600030101010101" charset="-122"/>
                <a:ea typeface="黑体" panose="02010600030101010101" charset="-122"/>
              </a:rPr>
              <a:t>法官助理选择管理自己的主体人数分布图</a:t>
            </a:r>
            <a:endParaRPr altLang="en-US" sz="1200">
              <a:latin typeface="黑体" panose="02010600030101010101" charset="-122"/>
              <a:ea typeface="黑体" panose="02010600030101010101" charset="-122"/>
            </a:endParaRPr>
          </a:p>
        </c:rich>
      </c:tx>
      <c:layout>
        <c:manualLayout>
          <c:xMode val="edge"/>
          <c:yMode val="edge"/>
          <c:x val="0.144583333333333"/>
          <c:y val="0.0277777777777778"/>
        </c:manualLayout>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delete val="1"/>
          </c:dLbls>
          <c:cat>
            <c:strRef>
              <c:f>[工作簿1]Sheet1!$A$1:$A$7</c:f>
              <c:strCache>
                <c:ptCount val="7"/>
                <c:pt idx="0">
                  <c:v>法官</c:v>
                </c:pt>
                <c:pt idx="1">
                  <c:v>组织部门</c:v>
                </c:pt>
                <c:pt idx="2">
                  <c:v>院领导</c:v>
                </c:pt>
                <c:pt idx="3">
                  <c:v>法官 组织部门</c:v>
                </c:pt>
                <c:pt idx="4">
                  <c:v>法官 院领导</c:v>
                </c:pt>
                <c:pt idx="5">
                  <c:v>法官 组织部门 院领导</c:v>
                </c:pt>
                <c:pt idx="6">
                  <c:v>组织部门 院领导</c:v>
                </c:pt>
              </c:strCache>
            </c:strRef>
          </c:cat>
          <c:val>
            <c:numRef>
              <c:f>[工作簿1]Sheet1!$B$1:$B$7</c:f>
              <c:numCache>
                <c:formatCode>General</c:formatCode>
                <c:ptCount val="7"/>
                <c:pt idx="0">
                  <c:v>84</c:v>
                </c:pt>
                <c:pt idx="1">
                  <c:v>151</c:v>
                </c:pt>
                <c:pt idx="2">
                  <c:v>17</c:v>
                </c:pt>
                <c:pt idx="3">
                  <c:v>26</c:v>
                </c:pt>
                <c:pt idx="4">
                  <c:v>0</c:v>
                </c:pt>
                <c:pt idx="5">
                  <c:v>7</c:v>
                </c:pt>
                <c:pt idx="6">
                  <c:v>2</c:v>
                </c:pt>
              </c:numCache>
            </c:numRef>
          </c:val>
        </c:ser>
        <c:dLbls>
          <c:showLegendKey val="0"/>
          <c:showVal val="0"/>
          <c:showCatName val="0"/>
          <c:showSerName val="0"/>
          <c:showPercent val="0"/>
          <c:showBubbleSize val="0"/>
        </c:dLbls>
        <c:gapWidth val="182"/>
        <c:overlap val="0"/>
        <c:axId val="750718722"/>
        <c:axId val="107096942"/>
      </c:barChart>
      <c:catAx>
        <c:axId val="750718722"/>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096942"/>
        <c:crosses val="autoZero"/>
        <c:auto val="1"/>
        <c:lblAlgn val="ctr"/>
        <c:lblOffset val="100"/>
        <c:noMultiLvlLbl val="0"/>
      </c:catAx>
      <c:valAx>
        <c:axId val="10709694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071872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法官助理选择的对书记员管理主体人数比对图</a:t>
            </a:r>
            <a:endParaRPr altLang="en-US"/>
          </a:p>
        </c:rich>
      </c:tx>
      <c:layout/>
      <c:overlay val="0"/>
      <c:spPr>
        <a:noFill/>
        <a:ln>
          <a:noFill/>
        </a:ln>
        <a:effectLst/>
      </c:spPr>
    </c:title>
    <c:autoTitleDeleted val="0"/>
    <c:plotArea>
      <c:layout/>
      <c:doughnut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[工作簿1]Sheet1!$A$1:$A$7</c:f>
              <c:strCache>
                <c:ptCount val="7"/>
                <c:pt idx="0">
                  <c:v>法官</c:v>
                </c:pt>
                <c:pt idx="1">
                  <c:v>组织部门</c:v>
                </c:pt>
                <c:pt idx="2">
                  <c:v>院领导</c:v>
                </c:pt>
                <c:pt idx="3">
                  <c:v>法官 组织部门</c:v>
                </c:pt>
                <c:pt idx="4">
                  <c:v>法官 院领导</c:v>
                </c:pt>
                <c:pt idx="5">
                  <c:v>法官 组织部门 院领导</c:v>
                </c:pt>
                <c:pt idx="6">
                  <c:v>组织部门 院领导</c:v>
                </c:pt>
              </c:strCache>
            </c:strRef>
          </c:cat>
          <c:val>
            <c:numRef>
              <c:f>[工作簿1]Sheet1!$B$1:$B$7</c:f>
              <c:numCache>
                <c:formatCode>General</c:formatCode>
                <c:ptCount val="7"/>
                <c:pt idx="0">
                  <c:v>84</c:v>
                </c:pt>
                <c:pt idx="1">
                  <c:v>102</c:v>
                </c:pt>
                <c:pt idx="2">
                  <c:v>16</c:v>
                </c:pt>
                <c:pt idx="3">
                  <c:v>30</c:v>
                </c:pt>
                <c:pt idx="4">
                  <c:v>0</c:v>
                </c:pt>
                <c:pt idx="5">
                  <c:v>6</c:v>
                </c:pt>
                <c:pt idx="6">
                  <c:v>6</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书记员选择的对自己管理的主体比对图</a:t>
            </a:r>
            <a:endParaRPr altLang="en-US"/>
          </a:p>
        </c:rich>
      </c:tx>
      <c:layout/>
      <c:overlay val="0"/>
      <c:spPr>
        <a:noFill/>
        <a:ln>
          <a:noFill/>
        </a:ln>
        <a:effectLst/>
      </c:spPr>
    </c:title>
    <c:autoTitleDeleted val="0"/>
    <c:plotArea>
      <c:layout/>
      <c:doughnut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[工作簿1]Sheet1!$A$1:$A$7</c:f>
              <c:strCache>
                <c:ptCount val="7"/>
                <c:pt idx="0">
                  <c:v>法官</c:v>
                </c:pt>
                <c:pt idx="1">
                  <c:v>组织部门</c:v>
                </c:pt>
                <c:pt idx="2">
                  <c:v>院领导</c:v>
                </c:pt>
                <c:pt idx="3">
                  <c:v>法官 组织部门</c:v>
                </c:pt>
                <c:pt idx="4">
                  <c:v>法官 院领导</c:v>
                </c:pt>
                <c:pt idx="5">
                  <c:v>法官 组织部门 院领导</c:v>
                </c:pt>
                <c:pt idx="6">
                  <c:v>组织部门 院领导</c:v>
                </c:pt>
              </c:strCache>
            </c:strRef>
          </c:cat>
          <c:val>
            <c:numRef>
              <c:f>[工作簿1]Sheet1!$B$1:$B$7</c:f>
              <c:numCache>
                <c:formatCode>General</c:formatCode>
                <c:ptCount val="7"/>
                <c:pt idx="0">
                  <c:v>114</c:v>
                </c:pt>
                <c:pt idx="1">
                  <c:v>151</c:v>
                </c:pt>
                <c:pt idx="2">
                  <c:v>23</c:v>
                </c:pt>
                <c:pt idx="3">
                  <c:v>36</c:v>
                </c:pt>
                <c:pt idx="4">
                  <c:v>0</c:v>
                </c:pt>
                <c:pt idx="5">
                  <c:v>0</c:v>
                </c:pt>
                <c:pt idx="6">
                  <c:v>0</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2017-02-25T13:07:00Z</dcterms:created>
  <dc:creator>Administrator</dc:creator>
  <cp:lastModifiedBy>Administrator</cp:lastModifiedBy>
  <dcterms:modified xsi:type="dcterms:W3CDTF">2017-04-28T15:10:49Z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