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再出发：员额制下法官权力配置的衍生逻辑</w:t>
      </w:r>
      <w:r>
        <w:rPr>
          <w:rFonts w:hint="eastAsia" w:ascii="黑体" w:hAnsi="黑体" w:eastAsia="黑体" w:cs="黑体"/>
          <w:sz w:val="32"/>
          <w:szCs w:val="32"/>
          <w:lang w:val="en-US" w:eastAsia="zh-CN"/>
        </w:rPr>
        <w:t>(修改稿)</w:t>
      </w:r>
    </w:p>
    <w:p>
      <w:pPr>
        <w:ind w:firstLine="600"/>
        <w:rPr>
          <w:rFonts w:hint="eastAsia" w:ascii="黑体" w:hAnsi="黑体" w:eastAsia="黑体" w:cs="黑体"/>
          <w:sz w:val="30"/>
          <w:szCs w:val="30"/>
          <w:lang w:eastAsia="zh-CN"/>
        </w:rPr>
      </w:pPr>
      <w:r>
        <w:rPr>
          <w:rFonts w:hint="eastAsia" w:ascii="黑体" w:hAnsi="黑体" w:eastAsia="黑体" w:cs="黑体"/>
          <w:sz w:val="30"/>
          <w:szCs w:val="30"/>
          <w:lang w:eastAsia="zh-CN"/>
        </w:rPr>
        <w:t>——以法官与“法官助理”、“书记员”、“其他辅助人员”关系为维度的考察</w:t>
      </w:r>
    </w:p>
    <w:p>
      <w:pPr>
        <w:ind w:firstLine="6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 xml:space="preserve">                  重庆市丰都县法院课题组</w:t>
      </w:r>
    </w:p>
    <w:p>
      <w:pPr>
        <w:ind w:firstLine="60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以审判为中心的司法改革在不断向前推进，所要达到的目标就是按照司法规律配置法官权力强化法官职责，通过案件审理实现公平正义，推动中国特色社会主义法治化建设，就当前而言，全国各地各级法院初步完成法官员额制改革工作，然而仅仅停留在此，没有后续的配套机制和法官权力清单，用旧瓶装新酒或者新瓶装旧酒仍然无法实现司法改革的目标，司法公正与司法效率仍然无法实现和提高，司法行政化的模式仍然不可能得到根本性的改变，反而可能因为法官相对减少而辅助机制的缺乏导致案多人少的矛盾更为突出，因此当务之急必须研究解决后续改革所涉及到的法官权力的科学配置，法官权力的运行机理，本课题正是从这一问题出发，通过实证及比较研究等方法，探索法官权力的配置清单及运行规律，重构相关制度，保障司法改革向深层次推进。</w:t>
      </w:r>
    </w:p>
    <w:p>
      <w:pPr>
        <w:numPr>
          <w:ilvl w:val="0"/>
          <w:numId w:val="0"/>
        </w:numPr>
        <w:ind w:firstLine="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 xml:space="preserve"> 一</w:t>
      </w:r>
      <w:r>
        <w:rPr>
          <w:rFonts w:hint="eastAsia" w:asciiTheme="majorEastAsia" w:hAnsiTheme="majorEastAsia" w:eastAsiaTheme="majorEastAsia" w:cstheme="majorEastAsia"/>
          <w:sz w:val="28"/>
          <w:szCs w:val="28"/>
          <w:lang w:eastAsia="zh-CN"/>
        </w:rPr>
        <w:t>、历史与现实：审判权行使的辅助运行机制。</w:t>
      </w:r>
    </w:p>
    <w:p>
      <w:pPr>
        <w:numPr>
          <w:ilvl w:val="0"/>
          <w:numId w:val="1"/>
        </w:numPr>
        <w:ind w:firstLine="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法治发达国家的法官辅助人员制度的起源与走向。</w:t>
      </w:r>
    </w:p>
    <w:p>
      <w:pPr>
        <w:numPr>
          <w:ilvl w:val="0"/>
          <w:numId w:val="0"/>
        </w:numPr>
        <w:rPr>
          <w:rFonts w:hint="eastAsia" w:ascii="宋体" w:hAnsi="宋体" w:eastAsia="宋体" w:cs="宋体"/>
          <w:sz w:val="28"/>
          <w:szCs w:val="28"/>
          <w:lang w:val="en-US" w:eastAsia="zh-CN"/>
        </w:rPr>
      </w:pPr>
      <w:r>
        <w:rPr>
          <w:rFonts w:hint="eastAsia" w:asciiTheme="majorEastAsia" w:hAnsiTheme="majorEastAsia" w:eastAsiaTheme="majorEastAsia" w:cstheme="majorEastAsia"/>
          <w:sz w:val="28"/>
          <w:szCs w:val="28"/>
          <w:lang w:val="en-US" w:eastAsia="zh-CN"/>
        </w:rPr>
        <w:t xml:space="preserve">     1、英美法系法官辅助制度以雇佣关系为特色。法官霍勒斯</w:t>
      </w:r>
      <w:r>
        <w:rPr>
          <w:rFonts w:hint="eastAsia" w:ascii="宋体" w:hAnsi="宋体" w:eastAsia="宋体" w:cs="宋体"/>
          <w:sz w:val="28"/>
          <w:szCs w:val="28"/>
          <w:lang w:val="en-US" w:eastAsia="zh-CN"/>
        </w:rPr>
        <w:t>·格雷1875年因不堪案件重负,自己出钱雇佣哈佛大学法学院的高材生路易斯·布兰代斯协助自己工作，</w:t>
      </w:r>
      <w:r>
        <w:rPr>
          <w:rStyle w:val="4"/>
          <w:rFonts w:hint="eastAsia" w:ascii="宋体" w:hAnsi="宋体" w:eastAsia="宋体" w:cs="宋体"/>
          <w:sz w:val="28"/>
          <w:szCs w:val="28"/>
          <w:lang w:val="en-US" w:eastAsia="zh-CN"/>
        </w:rPr>
        <w:footnoteReference w:id="0"/>
      </w:r>
      <w:r>
        <w:rPr>
          <w:rFonts w:hint="eastAsia" w:ascii="宋体" w:hAnsi="宋体" w:eastAsia="宋体" w:cs="宋体"/>
          <w:sz w:val="28"/>
          <w:szCs w:val="28"/>
          <w:lang w:val="en-US" w:eastAsia="zh-CN"/>
        </w:rPr>
        <w:t>开创了法官助理制度先河。慢慢开始在全美国法院推广。</w:t>
      </w:r>
      <w:r>
        <w:rPr>
          <w:rStyle w:val="4"/>
          <w:rFonts w:hint="eastAsia" w:ascii="宋体" w:hAnsi="宋体" w:eastAsia="宋体" w:cs="宋体"/>
          <w:sz w:val="28"/>
          <w:szCs w:val="28"/>
          <w:lang w:val="en-US" w:eastAsia="zh-CN"/>
        </w:rPr>
        <w:footnoteReference w:id="1"/>
      </w:r>
      <w:r>
        <w:rPr>
          <w:rFonts w:hint="eastAsia" w:ascii="宋体" w:hAnsi="宋体" w:eastAsia="宋体" w:cs="宋体"/>
          <w:sz w:val="28"/>
          <w:szCs w:val="28"/>
          <w:lang w:val="en-US" w:eastAsia="zh-CN"/>
        </w:rPr>
        <w:t>其主要的工作是审阅上诉状，撰写诉讼文书或者摘要法院记录，选出案件中某些问题作法律研究，有时还帮助法官处理一些个人事务。1919年联邦最高法院开始为大法官配备2名助理—1名“速记助理”，1名“法官助理”，分工明确化，“法官助理”不再从事整理资料，速记等日常行政事务，而是从事讨论案件、核对引文、编辑法律意见并提出修改意见等法律事务。</w:t>
      </w:r>
      <w:r>
        <w:rPr>
          <w:rStyle w:val="4"/>
          <w:rFonts w:hint="eastAsia" w:ascii="宋体" w:hAnsi="宋体" w:eastAsia="宋体" w:cs="宋体"/>
          <w:sz w:val="28"/>
          <w:szCs w:val="28"/>
          <w:lang w:val="en-US" w:eastAsia="zh-CN"/>
        </w:rPr>
        <w:footnoteReference w:id="2"/>
      </w:r>
      <w:r>
        <w:rPr>
          <w:rFonts w:hint="eastAsia" w:ascii="宋体" w:hAnsi="宋体" w:eastAsia="宋体" w:cs="宋体"/>
          <w:sz w:val="28"/>
          <w:szCs w:val="28"/>
          <w:lang w:val="en-US" w:eastAsia="zh-CN"/>
        </w:rPr>
        <w:t>后法官助理的职能进一步延伸，起草法院判决意见书。英国的法官助理有两种类型，一是准法官型，相当于我国的助理审判员，由大法官以女王的名义任命，工作内容由大法官根据业务庭的工作量进行安排，有案件审判权。另外一种法官助理就是辅助人员，其中又分为法务助理和法院官员（court officers）,法务助理的主要职责是为法官提供法律意见，但不参与裁判案件，</w:t>
      </w:r>
      <w:r>
        <w:rPr>
          <w:rStyle w:val="4"/>
          <w:rFonts w:hint="eastAsia" w:ascii="宋体" w:hAnsi="宋体" w:eastAsia="宋体" w:cs="宋体"/>
          <w:sz w:val="28"/>
          <w:szCs w:val="28"/>
          <w:lang w:val="en-US" w:eastAsia="zh-CN"/>
        </w:rPr>
        <w:footnoteReference w:id="3"/>
      </w:r>
      <w:r>
        <w:rPr>
          <w:rFonts w:hint="eastAsia" w:ascii="宋体" w:hAnsi="宋体" w:eastAsia="宋体" w:cs="宋体"/>
          <w:sz w:val="28"/>
          <w:szCs w:val="28"/>
          <w:lang w:val="en-US" w:eastAsia="zh-CN"/>
        </w:rPr>
        <w:t>法院官员主要是为法官提供行政事务性支持。</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2、大陆法系法官辅助人员以制度明确职责法官行使部分管理权为特点。</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德国司法辅助官与法官之间职责分明。德国司法辅助官制度产生于1923年，1957年德国在宪法上正式确立司法辅助官的地位</w:t>
      </w:r>
      <w:r>
        <w:rPr>
          <w:rStyle w:val="4"/>
          <w:rFonts w:hint="eastAsia" w:asciiTheme="majorEastAsia" w:hAnsiTheme="majorEastAsia" w:eastAsiaTheme="majorEastAsia" w:cstheme="majorEastAsia"/>
          <w:sz w:val="28"/>
          <w:szCs w:val="28"/>
          <w:lang w:val="en-US" w:eastAsia="zh-CN"/>
        </w:rPr>
        <w:footnoteReference w:id="4"/>
      </w:r>
      <w:r>
        <w:rPr>
          <w:rFonts w:hint="eastAsia" w:asciiTheme="majorEastAsia" w:hAnsiTheme="majorEastAsia" w:eastAsiaTheme="majorEastAsia" w:cstheme="majorEastAsia"/>
          <w:sz w:val="28"/>
          <w:szCs w:val="28"/>
          <w:lang w:val="en-US" w:eastAsia="zh-CN"/>
        </w:rPr>
        <w:t>。主要职责是协助法官做好判决以外的，与审理案件有关的辅助性工作，在其职权范围内具有相对的独立性。</w:t>
      </w:r>
      <w:r>
        <w:rPr>
          <w:rStyle w:val="4"/>
          <w:rFonts w:hint="eastAsia" w:asciiTheme="majorEastAsia" w:hAnsiTheme="majorEastAsia" w:eastAsiaTheme="majorEastAsia" w:cstheme="majorEastAsia"/>
          <w:sz w:val="28"/>
          <w:szCs w:val="28"/>
          <w:lang w:val="en-US" w:eastAsia="zh-CN"/>
        </w:rPr>
        <w:footnoteReference w:id="5"/>
      </w:r>
      <w:r>
        <w:rPr>
          <w:rFonts w:hint="eastAsia" w:asciiTheme="majorEastAsia" w:hAnsiTheme="majorEastAsia" w:eastAsiaTheme="majorEastAsia" w:cstheme="majorEastAsia"/>
          <w:sz w:val="28"/>
          <w:szCs w:val="28"/>
          <w:lang w:val="en-US" w:eastAsia="zh-CN"/>
        </w:rPr>
        <w:t>日本的法官辅助工作主要由书记官和调查官来完成。书记官除承担法庭记录及文书制作外，还接受法官命令对必要事项进行调查，发出支付令，决定保全，调解；调查官的职责是负责裁判所需要的法令、判例、其他资料等，概况接受法官的命令。</w:t>
      </w:r>
      <w:r>
        <w:rPr>
          <w:rStyle w:val="4"/>
          <w:rFonts w:hint="eastAsia" w:asciiTheme="majorEastAsia" w:hAnsiTheme="majorEastAsia" w:eastAsiaTheme="majorEastAsia" w:cstheme="majorEastAsia"/>
          <w:sz w:val="28"/>
          <w:szCs w:val="28"/>
          <w:lang w:val="en-US" w:eastAsia="zh-CN"/>
        </w:rPr>
        <w:footnoteReference w:id="6"/>
      </w:r>
    </w:p>
    <w:p>
      <w:pPr>
        <w:numPr>
          <w:ilvl w:val="0"/>
          <w:numId w:val="2"/>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澳门台湾地区的法官辅助人员制度。</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在澳门司法辅助人员与司法行政人员分工明确，司法辅助人员为案件提供各项司法辅助服务，而司法行政人员是提供行政事务性服务。</w:t>
      </w:r>
      <w:r>
        <w:rPr>
          <w:rStyle w:val="4"/>
          <w:rFonts w:hint="eastAsia" w:asciiTheme="majorEastAsia" w:hAnsiTheme="majorEastAsia" w:eastAsiaTheme="majorEastAsia" w:cstheme="majorEastAsia"/>
          <w:sz w:val="28"/>
          <w:szCs w:val="28"/>
          <w:lang w:val="en-US" w:eastAsia="zh-CN"/>
        </w:rPr>
        <w:footnoteReference w:id="7"/>
      </w:r>
      <w:r>
        <w:rPr>
          <w:rFonts w:hint="eastAsia" w:asciiTheme="majorEastAsia" w:hAnsiTheme="majorEastAsia" w:eastAsiaTheme="majorEastAsia" w:cstheme="majorEastAsia"/>
          <w:sz w:val="28"/>
          <w:szCs w:val="28"/>
          <w:lang w:val="en-US" w:eastAsia="zh-CN"/>
        </w:rPr>
        <w:t>司法辅助人员的管理与惩戒由法官委员会负责，其他行政人员管理由终审法院院长办公室负责。台湾法官是依法独立行使审判权。而法官助理和书记官的职责在于承法官之命，协助法官办理诉讼业务，法官助理侧重于与实体与审判密切相关的程序和法律问题，而书记官侧重于纯粹的程序性事务。</w:t>
      </w:r>
      <w:r>
        <w:rPr>
          <w:rStyle w:val="4"/>
          <w:rFonts w:hint="eastAsia" w:asciiTheme="majorEastAsia" w:hAnsiTheme="majorEastAsia" w:eastAsiaTheme="majorEastAsia" w:cstheme="majorEastAsia"/>
          <w:sz w:val="28"/>
          <w:szCs w:val="28"/>
          <w:lang w:val="en-US" w:eastAsia="zh-CN"/>
        </w:rPr>
        <w:footnoteReference w:id="8"/>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p>
    <w:p>
      <w:pPr>
        <w:numPr>
          <w:ilvl w:val="0"/>
          <w:numId w:val="1"/>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我国古代司法官的辅助模式。</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法官辅助制度从史料中可以得到考证。《百官志》说；“司 校尉一人，比二千石，本注曰：‘孝武帝初置持节，掌察举百官以下及京师近郡犯法者。元帝去节，成帝省，建武中复置，并领一州。’从事史十二人。本注曰：‘都官从事，主察举百官犯法者。其余部郡从事，每郡各一人，主督促文书，察举非法，皆自辟除，故通为百石云。’假佐二十五人。”。以此可以证明在孝武帝时“法官”就有辅助官员了。南朝宋时期在《宋书</w:t>
      </w:r>
      <w:r>
        <w:rPr>
          <w:rFonts w:hint="eastAsia" w:ascii="宋体" w:hAnsi="宋体" w:eastAsia="宋体" w:cs="宋体"/>
          <w:sz w:val="28"/>
          <w:szCs w:val="28"/>
          <w:lang w:val="en-US" w:eastAsia="zh-CN"/>
        </w:rPr>
        <w:t>·百官志</w:t>
      </w:r>
      <w:r>
        <w:rPr>
          <w:rFonts w:hint="eastAsia" w:asciiTheme="majorEastAsia" w:hAnsiTheme="majorEastAsia" w:eastAsiaTheme="majorEastAsia" w:cstheme="majorEastAsia"/>
          <w:sz w:val="28"/>
          <w:szCs w:val="28"/>
          <w:lang w:val="en-US" w:eastAsia="zh-CN"/>
        </w:rPr>
        <w:t>》中对也有过记载，“廷尉一人，丞一人，掌刑辟。廷尉正一人，廷尉监一人，廷尉评一人，廷尉律博士一人。”，这里的“律博士”就是廷尉的高级法律助理，用现代的称谓就是法官助理。不仅如此，随着时代的变迁，古代“法官”的助理制度，慢慢还得到了加强，《隋书</w:t>
      </w:r>
      <w:r>
        <w:rPr>
          <w:rFonts w:hint="eastAsia" w:ascii="宋体" w:hAnsi="宋体" w:eastAsia="宋体" w:cs="宋体"/>
          <w:sz w:val="28"/>
          <w:szCs w:val="28"/>
          <w:lang w:val="en-US" w:eastAsia="zh-CN"/>
        </w:rPr>
        <w:t>·百官志</w:t>
      </w:r>
      <w:r>
        <w:rPr>
          <w:rFonts w:hint="eastAsia" w:asciiTheme="majorEastAsia" w:hAnsiTheme="majorEastAsia" w:eastAsiaTheme="majorEastAsia" w:cstheme="majorEastAsia"/>
          <w:sz w:val="28"/>
          <w:szCs w:val="28"/>
          <w:lang w:val="en-US" w:eastAsia="zh-CN"/>
        </w:rPr>
        <w:t>》：“高祖既受命，改周之六官。其所制名，多依前代之法……置大理寺，大理寺卿各一人，丞二人，主簿、录事各二人，大理寺不统署。又有正监评各一人，司直十人，律博士八人，明法二十人……”。</w:t>
      </w:r>
      <w:r>
        <w:rPr>
          <w:rStyle w:val="4"/>
          <w:rFonts w:hint="eastAsia" w:asciiTheme="majorEastAsia" w:hAnsiTheme="majorEastAsia" w:eastAsiaTheme="majorEastAsia" w:cstheme="majorEastAsia"/>
          <w:sz w:val="28"/>
          <w:szCs w:val="28"/>
          <w:lang w:val="en-US" w:eastAsia="zh-CN"/>
        </w:rPr>
        <w:footnoteReference w:id="9"/>
      </w:r>
      <w:r>
        <w:rPr>
          <w:rFonts w:hint="eastAsia" w:asciiTheme="majorEastAsia" w:hAnsiTheme="majorEastAsia" w:eastAsiaTheme="majorEastAsia" w:cstheme="majorEastAsia"/>
          <w:sz w:val="28"/>
          <w:szCs w:val="28"/>
          <w:lang w:val="en-US" w:eastAsia="zh-CN"/>
        </w:rPr>
        <w:t>后司法辅助人员的职责慢慢也有了制度上构建。如辽代《刑法志》：“圣宗尝敕诸处刑狱，有冤不能申雪者，听诣御史台陈诉，委官覆问；往时大理寺狱诉，凡关覆奏者，以翰林学士、给事中、政事舍人详决，至是始置少卿及正主之。”。</w:t>
      </w:r>
      <w:r>
        <w:rPr>
          <w:rStyle w:val="4"/>
          <w:rFonts w:hint="eastAsia" w:asciiTheme="majorEastAsia" w:hAnsiTheme="majorEastAsia" w:eastAsiaTheme="majorEastAsia" w:cstheme="majorEastAsia"/>
          <w:sz w:val="28"/>
          <w:szCs w:val="28"/>
          <w:lang w:val="en-US" w:eastAsia="zh-CN"/>
        </w:rPr>
        <w:footnoteReference w:id="10"/>
      </w:r>
      <w:r>
        <w:rPr>
          <w:rFonts w:hint="eastAsia" w:asciiTheme="majorEastAsia" w:hAnsiTheme="majorEastAsia" w:eastAsiaTheme="majorEastAsia" w:cstheme="majorEastAsia"/>
          <w:sz w:val="28"/>
          <w:szCs w:val="28"/>
          <w:lang w:val="en-US" w:eastAsia="zh-CN"/>
        </w:rPr>
        <w:t>虽然这里主要是说的上诉案件的程序，但是也不难清楚地窥出，司法辅助人员的职能分工在制度上的塑造。元、明、清时代司法官的辅助制度仍然得到继承。</w:t>
      </w:r>
    </w:p>
    <w:p>
      <w:pPr>
        <w:numPr>
          <w:ilvl w:val="0"/>
          <w:numId w:val="0"/>
        </w:numP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（三）现实法官辅助人员配置存在的问题。1999年最高人民法院在“一五改革纲要”中提出“结合人民法院组织法的修改，高级法院可以对法官配备法官助理和取消助理审判员工作试点，探索经验。”</w:t>
      </w:r>
      <w:r>
        <w:rPr>
          <w:rStyle w:val="4"/>
          <w:rFonts w:hint="eastAsia" w:asciiTheme="majorEastAsia" w:hAnsiTheme="majorEastAsia" w:eastAsiaTheme="majorEastAsia" w:cstheme="majorEastAsia"/>
          <w:sz w:val="28"/>
          <w:szCs w:val="28"/>
          <w:lang w:val="en-US" w:eastAsia="zh-CN"/>
        </w:rPr>
        <w:footnoteReference w:id="11"/>
      </w:r>
      <w:r>
        <w:rPr>
          <w:rFonts w:hint="eastAsia" w:asciiTheme="majorEastAsia" w:hAnsiTheme="majorEastAsia" w:eastAsiaTheme="majorEastAsia" w:cstheme="majorEastAsia"/>
          <w:sz w:val="28"/>
          <w:szCs w:val="28"/>
          <w:lang w:val="en-US" w:eastAsia="zh-CN"/>
        </w:rPr>
        <w:t>,2002年最高人民法院在《关于加强法官队伍职业化建设的若干意见》中明确提出法官助理的职责是“从事审判业务辅助工作”</w:t>
      </w:r>
      <w:r>
        <w:rPr>
          <w:rStyle w:val="4"/>
          <w:rFonts w:hint="eastAsia" w:asciiTheme="majorEastAsia" w:hAnsiTheme="majorEastAsia" w:eastAsiaTheme="majorEastAsia" w:cstheme="majorEastAsia"/>
          <w:sz w:val="28"/>
          <w:szCs w:val="28"/>
          <w:lang w:val="en-US" w:eastAsia="zh-CN"/>
        </w:rPr>
        <w:footnoteReference w:id="12"/>
      </w:r>
      <w:r>
        <w:rPr>
          <w:rFonts w:hint="eastAsia" w:asciiTheme="majorEastAsia" w:hAnsiTheme="majorEastAsia" w:eastAsiaTheme="majorEastAsia" w:cstheme="majorEastAsia"/>
          <w:sz w:val="28"/>
          <w:szCs w:val="28"/>
          <w:lang w:val="en-US" w:eastAsia="zh-CN"/>
        </w:rPr>
        <w:t>，2004年最高法院在“二五改革纲要”中提出在“试点经验的基础上，逐步建立法官助理制度。”</w:t>
      </w:r>
      <w:r>
        <w:rPr>
          <w:rStyle w:val="4"/>
          <w:rFonts w:hint="eastAsia" w:asciiTheme="majorEastAsia" w:hAnsiTheme="majorEastAsia" w:eastAsiaTheme="majorEastAsia" w:cstheme="majorEastAsia"/>
          <w:sz w:val="28"/>
          <w:szCs w:val="28"/>
          <w:lang w:val="en-US" w:eastAsia="zh-CN"/>
        </w:rPr>
        <w:footnoteReference w:id="13"/>
      </w:r>
      <w:r>
        <w:rPr>
          <w:rFonts w:hint="eastAsia" w:asciiTheme="majorEastAsia" w:hAnsiTheme="majorEastAsia" w:eastAsiaTheme="majorEastAsia" w:cstheme="majorEastAsia"/>
          <w:sz w:val="28"/>
          <w:szCs w:val="28"/>
          <w:lang w:val="en-US" w:eastAsia="zh-CN"/>
        </w:rPr>
        <w:t>，从1999年到2009年的部分法院试点探索的情况看，除广东省个别法院取得一定的成效外，其他法院基本没有取得成效，后处于停滞状态。</w:t>
      </w:r>
      <w:r>
        <w:rPr>
          <w:rStyle w:val="4"/>
          <w:rFonts w:hint="eastAsia" w:asciiTheme="majorEastAsia" w:hAnsiTheme="majorEastAsia" w:eastAsiaTheme="majorEastAsia" w:cstheme="majorEastAsia"/>
          <w:sz w:val="28"/>
          <w:szCs w:val="28"/>
          <w:lang w:val="en-US" w:eastAsia="zh-CN"/>
        </w:rPr>
        <w:footnoteReference w:id="14"/>
      </w:r>
      <w:r>
        <w:rPr>
          <w:rFonts w:hint="eastAsia" w:asciiTheme="majorEastAsia" w:hAnsiTheme="majorEastAsia" w:eastAsiaTheme="majorEastAsia" w:cstheme="majorEastAsia"/>
          <w:sz w:val="28"/>
          <w:szCs w:val="28"/>
          <w:lang w:val="en-US" w:eastAsia="zh-CN"/>
        </w:rPr>
        <w:t>产生这一问题的原因有学者总结为“制度创新与制定法冲突”</w:t>
      </w:r>
      <w:r>
        <w:rPr>
          <w:rStyle w:val="4"/>
          <w:rFonts w:hint="eastAsia" w:asciiTheme="majorEastAsia" w:hAnsiTheme="majorEastAsia" w:eastAsiaTheme="majorEastAsia" w:cstheme="majorEastAsia"/>
          <w:sz w:val="28"/>
          <w:szCs w:val="28"/>
          <w:lang w:val="en-US" w:eastAsia="zh-CN"/>
        </w:rPr>
        <w:footnoteReference w:id="15"/>
      </w:r>
      <w:r>
        <w:rPr>
          <w:rFonts w:hint="eastAsia" w:asciiTheme="majorEastAsia" w:hAnsiTheme="majorEastAsia" w:eastAsiaTheme="majorEastAsia" w:cstheme="majorEastAsia"/>
          <w:sz w:val="28"/>
          <w:szCs w:val="28"/>
          <w:lang w:val="en-US" w:eastAsia="zh-CN"/>
        </w:rPr>
        <w:t>，也有研究者归纳为“立法支撑的缺失，全局部署的不足，制度呼应的落空。”，</w:t>
      </w:r>
      <w:r>
        <w:rPr>
          <w:rStyle w:val="4"/>
          <w:rFonts w:hint="eastAsia" w:asciiTheme="majorEastAsia" w:hAnsiTheme="majorEastAsia" w:eastAsiaTheme="majorEastAsia" w:cstheme="majorEastAsia"/>
          <w:sz w:val="28"/>
          <w:szCs w:val="28"/>
          <w:lang w:val="en-US" w:eastAsia="zh-CN"/>
        </w:rPr>
        <w:footnoteReference w:id="16"/>
      </w:r>
      <w:r>
        <w:rPr>
          <w:rFonts w:hint="eastAsia" w:asciiTheme="majorEastAsia" w:hAnsiTheme="majorEastAsia" w:eastAsiaTheme="majorEastAsia" w:cstheme="majorEastAsia"/>
          <w:sz w:val="28"/>
          <w:szCs w:val="28"/>
          <w:lang w:val="en-US" w:eastAsia="zh-CN"/>
        </w:rPr>
        <w:t>本课题组认为除以上原因外，更为深层次的原因是，基础理论供给不足，法院内部权力体系架构不合理，人员分类后的职责分工不明，管理体系创新不足，司法行政化模式依然故我。2014年新一轮司法改革，一该往日由公检法三机关单边突破，为中央司法改革领导小组统一推进，中央深改组通过了《关于司法体制改革试点若干问题的框架意见》，最高法院立即跟进，2015年2月出台了《关于全面深化人民法院改革的意见——人民法院第四个五年改革纲要（2014-2018）》。本课题正是以深化体制改革为契机，力求通过对审判权与审判管理权及司法行政权关系的研究，创新法院的权力架构体系，理清法官与辅助人员职责划分，实现职责对接，并以创新的制度视角来审视现有制度，为修改宪法、人民法院组织法、法官法等提供修改建议。</w:t>
      </w:r>
    </w:p>
    <w:p>
      <w:pPr>
        <w:numPr>
          <w:ilvl w:val="0"/>
          <w:numId w:val="0"/>
        </w:numPr>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二、问题剖析：法官员额制下审判权运行中的突出问题及历史渊源。</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一）强势的司法行政管理权仍然挤占着法官独立行使审判权空间。从全国法院目前形势看，虽然法官员额制改革基本完成，各级法院确定了员额内法官，员额内法官从形式上具备了独立行使审判权的外观，但是由于审判权独立行使的配套制度没有建立起来，有学者概括为“规则层面准备明显不足，改革后审判辅助人员的职能、权限和责任及其与员额制法官之间如何界分，是改革策略上的一大败笔。”</w:t>
      </w:r>
      <w:r>
        <w:rPr>
          <w:rStyle w:val="4"/>
          <w:rFonts w:hint="eastAsia" w:asciiTheme="majorEastAsia" w:hAnsiTheme="majorEastAsia" w:eastAsiaTheme="majorEastAsia" w:cstheme="majorEastAsia"/>
          <w:sz w:val="28"/>
          <w:szCs w:val="28"/>
          <w:lang w:val="en-US" w:eastAsia="zh-CN"/>
        </w:rPr>
        <w:footnoteReference w:id="17"/>
      </w:r>
      <w:r>
        <w:rPr>
          <w:rFonts w:hint="eastAsia" w:asciiTheme="majorEastAsia" w:hAnsiTheme="majorEastAsia" w:eastAsiaTheme="majorEastAsia" w:cstheme="majorEastAsia"/>
          <w:sz w:val="28"/>
          <w:szCs w:val="28"/>
          <w:lang w:val="en-US" w:eastAsia="zh-CN"/>
        </w:rPr>
        <w:t>审判权在运行过程中仍然存在很多障碍，其中的司法行政管理权权力界限不明，行使主体在制度上缺乏规范，产生的权力体系仍然是行政权的“金字塔”运行模式，院长、副院长、庭长、副庭长仍然按照行政职务的高低或明或暗控制着审判权的运行，“在强调院、庭长保障案件质量尤其是重点案件质量的责任之下，不可避免地使行政权界入过程，并使审判活动中的行政元素得到强化。”</w:t>
      </w:r>
      <w:r>
        <w:rPr>
          <w:rStyle w:val="4"/>
          <w:rFonts w:hint="eastAsia" w:asciiTheme="majorEastAsia" w:hAnsiTheme="majorEastAsia" w:eastAsiaTheme="majorEastAsia" w:cstheme="majorEastAsia"/>
          <w:sz w:val="28"/>
          <w:szCs w:val="28"/>
          <w:lang w:val="en-US" w:eastAsia="zh-CN"/>
        </w:rPr>
        <w:footnoteReference w:id="18"/>
      </w:r>
      <w:r>
        <w:rPr>
          <w:rFonts w:hint="eastAsia" w:asciiTheme="majorEastAsia" w:hAnsiTheme="majorEastAsia" w:eastAsiaTheme="majorEastAsia" w:cstheme="majorEastAsia"/>
          <w:sz w:val="28"/>
          <w:szCs w:val="28"/>
          <w:lang w:val="en-US" w:eastAsia="zh-CN"/>
        </w:rPr>
        <w:t>如很多法院仍然坚持着指标考核制度，上下级法院通过指标考核决定着院长、副院长、庭长、副庭长行政职务的升迁，为了取得“政绩”，院长、副院长通过指标考核业务庭的庭长、副庭长、主任等，庭长、主任等又通过指标考核法官、司法行政人员等，法官在这种行政管理“金字塔”的模式下，处于底层，为了完成指标考核，不得不违心、背离司法规律暗中进行案件“汇报”，如部分法院由院长或者副院长或者庭长主持的“专业法官会议”、“上下级法院审判长联席会议”等就是其主要的表现形式。这种“汇报”不仅仅发生在法官与院庭长之间，而且还常常发生在上下两级法院领导之间，上下两级法官之间，其结果是法官独立行使审判权流于形式。对上下级法院审判关系问题，虽然最高法院2011年颁发《关于上下级人民法院审判业务关系的若干意见》进行解决，“可在目前的法院内外部环境下，上下级法院行政化的问题仍然难以有效解决”</w:t>
      </w:r>
      <w:r>
        <w:rPr>
          <w:rStyle w:val="4"/>
          <w:rFonts w:hint="eastAsia" w:asciiTheme="majorEastAsia" w:hAnsiTheme="majorEastAsia" w:eastAsiaTheme="majorEastAsia" w:cstheme="majorEastAsia"/>
          <w:sz w:val="28"/>
          <w:szCs w:val="28"/>
          <w:lang w:val="en-US" w:eastAsia="zh-CN"/>
        </w:rPr>
        <w:footnoteReference w:id="19"/>
      </w:r>
      <w:r>
        <w:rPr>
          <w:rFonts w:hint="eastAsia" w:asciiTheme="majorEastAsia" w:hAnsiTheme="majorEastAsia" w:eastAsiaTheme="majorEastAsia" w:cstheme="majorEastAsia"/>
          <w:sz w:val="28"/>
          <w:szCs w:val="28"/>
          <w:lang w:val="en-US" w:eastAsia="zh-CN"/>
        </w:rPr>
        <w:t>。</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二）司法行政管理权与审判权界限不明导致法官独立行使审判权困难。在旧有的体制下，司法行政管理权几乎是包罗万象，没有边界，“审判权高度集中的管理模式，使人民法院依法独立行使审判权的重心掌握在审判管理者的手上，忽视合议庭等审判组织在审判活动中的独立作用，导致合议庭等审判组织的审判权不能充分行使”</w:t>
      </w:r>
      <w:r>
        <w:rPr>
          <w:rStyle w:val="4"/>
          <w:rFonts w:hint="eastAsia" w:asciiTheme="majorEastAsia" w:hAnsiTheme="majorEastAsia" w:eastAsiaTheme="majorEastAsia" w:cstheme="majorEastAsia"/>
          <w:sz w:val="28"/>
          <w:szCs w:val="28"/>
          <w:lang w:val="en-US" w:eastAsia="zh-CN"/>
        </w:rPr>
        <w:footnoteReference w:id="20"/>
      </w:r>
      <w:r>
        <w:rPr>
          <w:rFonts w:hint="eastAsia" w:asciiTheme="majorEastAsia" w:hAnsiTheme="majorEastAsia" w:eastAsiaTheme="majorEastAsia" w:cstheme="majorEastAsia"/>
          <w:sz w:val="28"/>
          <w:szCs w:val="28"/>
          <w:lang w:val="en-US" w:eastAsia="zh-CN"/>
        </w:rPr>
        <w:t>而审判权无论从理论上和实践中都没有形成共识，制度层面更是缺乏，这样没有界分的权力，自然是前者如鱼得水，后者举步维艰，法官很多情况经常处于尴尬境地，经常是对书记员都指挥不动，更不说其他辅助人员，无奈之下很多辅助性事务工作，如送达、通知等事务性工作，法官仍然是“事必躬亲”。在员额制下，法官数量相对减少，案件相对增加，责任强化的压力下，法官要吗“5+2”、“白+黑”拼命完成审判任务，可这样无法延续的生命透支又能坚持多久呢？因此必须将目前司法行政管理权中不属于其权限范围的权力剥离出来，权归原主划入法官审判权中去，明确司法行政管理权与审判权界限，让审判权真正在独立行使的轨道上运行。</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三）员额制法官与其他人员关系不明,亟待制度落地。员额制法官是法院真正意义上的法官，在原有旧体制上，具有法官身份而没有进入员额的法官如何转换身份，进入法官辅助人员队伍，没有制度安排，其职责更是缺乏后续的制度构造，由于原平等的法官身份被改革除去，降格为其他行政人员或者法官助理或者书记员，心里上的失衡，待遇上的差异，必然产生与员额制法官关系紧张，这些都亟待新的司法制度跟进，明确他们之间的关系，划定他们之间权、责、利的范围，消除矛盾，达到制度下的再平衡。对此有学者主张，法院人员分类改革的前提是“对四级法院司法职权分层定位缓解精英司法与亲民的紧张关系。”，</w:t>
      </w:r>
      <w:r>
        <w:rPr>
          <w:rStyle w:val="4"/>
          <w:rFonts w:hint="eastAsia" w:asciiTheme="majorEastAsia" w:hAnsiTheme="majorEastAsia" w:eastAsiaTheme="majorEastAsia" w:cstheme="majorEastAsia"/>
          <w:sz w:val="28"/>
          <w:szCs w:val="28"/>
          <w:lang w:val="en-US" w:eastAsia="zh-CN"/>
        </w:rPr>
        <w:footnoteReference w:id="21"/>
      </w:r>
      <w:r>
        <w:rPr>
          <w:rFonts w:hint="eastAsia" w:asciiTheme="majorEastAsia" w:hAnsiTheme="majorEastAsia" w:eastAsiaTheme="majorEastAsia" w:cstheme="majorEastAsia"/>
          <w:sz w:val="28"/>
          <w:szCs w:val="28"/>
          <w:lang w:val="en-US" w:eastAsia="zh-CN"/>
        </w:rPr>
        <w:t>“对审判权与裁判权进行解析，区分必须由法官行使的权限与审判辅助人员代行的权限，以此为依据确定改革后审判职与辅助职职责范围”，“建立审判人员分类与法官责任配套的标准评价日常体系”</w:t>
      </w:r>
      <w:r>
        <w:rPr>
          <w:rStyle w:val="4"/>
          <w:rFonts w:hint="eastAsia" w:asciiTheme="majorEastAsia" w:hAnsiTheme="majorEastAsia" w:eastAsiaTheme="majorEastAsia" w:cstheme="majorEastAsia"/>
          <w:sz w:val="28"/>
          <w:szCs w:val="28"/>
          <w:lang w:val="en-US" w:eastAsia="zh-CN"/>
        </w:rPr>
        <w:footnoteReference w:id="22"/>
      </w:r>
      <w:r>
        <w:rPr>
          <w:rFonts w:hint="eastAsia" w:asciiTheme="majorEastAsia" w:hAnsiTheme="majorEastAsia" w:eastAsiaTheme="majorEastAsia" w:cstheme="majorEastAsia"/>
          <w:sz w:val="28"/>
          <w:szCs w:val="28"/>
          <w:lang w:val="en-US" w:eastAsia="zh-CN"/>
        </w:rPr>
        <w:t>。对于原有体制下的书记员和新配备的法官助理，在法官的管理权限上，必须以“审判为中心，”进行重新构建，明确法官与院、庭长的新型关系，明确法官对法官助理及书记员的指挥权限，确定法官职责范围，形成高效的案件审理单元系统。从全国目前的改革试点法院情况看，普遍缺乏相关的制度探索，“在试点过程中大部分法院并未严格按照分类管理推进，依然沿用传统审判模式，法官、法官助理和书记员分工不清，职责混同，法官依然要处理大量事务性工作，未能实现专业化分工。”</w:t>
      </w:r>
      <w:r>
        <w:rPr>
          <w:rStyle w:val="4"/>
          <w:rFonts w:hint="eastAsia" w:asciiTheme="majorEastAsia" w:hAnsiTheme="majorEastAsia" w:eastAsiaTheme="majorEastAsia" w:cstheme="majorEastAsia"/>
          <w:sz w:val="28"/>
          <w:szCs w:val="28"/>
          <w:lang w:val="en-US" w:eastAsia="zh-CN"/>
        </w:rPr>
        <w:footnoteReference w:id="23"/>
      </w:r>
      <w:r>
        <w:rPr>
          <w:rFonts w:hint="eastAsia" w:asciiTheme="majorEastAsia" w:hAnsiTheme="majorEastAsia" w:eastAsiaTheme="majorEastAsia" w:cstheme="majorEastAsia"/>
          <w:sz w:val="28"/>
          <w:szCs w:val="28"/>
          <w:lang w:val="en-US" w:eastAsia="zh-CN"/>
        </w:rPr>
        <w:t>，大部分试点法院精力都集中在员额比例，法官与法官助理及书记员的搭配比例，法官的职级待遇的探索论证上。也正是缺乏员额法官与其他人员的新型关系制度，使目前的审判效率仍然低下，与司法改革的预期目标差距甚远，甚至出现员额制法官在不堪重负的繁重繁杂工作及案件责任追究等多重压力下，申请退出员额法官或者申请调出法院的现象。</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四）审判权与审判管理权和司法行政管理权三种权力概念不明缺乏基础理论导引以致法院内部权力混同。在学术界，对于审判权与审判管理权的概念，以及相互之间的渊源关系都缺乏研究，其与司法行政管理权的关系更是模糊不清，如胡云藤教授认为，法官个人、审判组织行使的实体性质的审判权，还是审判权所派生的审判管理权都是法院整体审判权的一部分，是一种权力的两种表现形式。</w:t>
      </w:r>
      <w:r>
        <w:rPr>
          <w:rStyle w:val="4"/>
          <w:rFonts w:hint="eastAsia" w:asciiTheme="majorEastAsia" w:hAnsiTheme="majorEastAsia" w:eastAsiaTheme="majorEastAsia" w:cstheme="majorEastAsia"/>
          <w:sz w:val="28"/>
          <w:szCs w:val="28"/>
          <w:lang w:val="en-US" w:eastAsia="zh-CN"/>
        </w:rPr>
        <w:footnoteReference w:id="24"/>
      </w:r>
      <w:r>
        <w:rPr>
          <w:rFonts w:hint="eastAsia" w:asciiTheme="majorEastAsia" w:hAnsiTheme="majorEastAsia" w:eastAsiaTheme="majorEastAsia" w:cstheme="majorEastAsia"/>
          <w:sz w:val="28"/>
          <w:szCs w:val="28"/>
          <w:lang w:val="en-US" w:eastAsia="zh-CN"/>
        </w:rPr>
        <w:t>而龙宗智教授认为，“审判活动是法官在诉讼程序过程中形成心证、认定事实并适用法律的活动”，“审判管理则是对审判活动的调控与监督。”</w:t>
      </w:r>
      <w:r>
        <w:rPr>
          <w:rStyle w:val="4"/>
          <w:rFonts w:hint="eastAsia" w:asciiTheme="majorEastAsia" w:hAnsiTheme="majorEastAsia" w:eastAsiaTheme="majorEastAsia" w:cstheme="majorEastAsia"/>
          <w:sz w:val="28"/>
          <w:szCs w:val="28"/>
          <w:lang w:val="en-US" w:eastAsia="zh-CN"/>
        </w:rPr>
        <w:footnoteReference w:id="25"/>
      </w:r>
      <w:r>
        <w:rPr>
          <w:rFonts w:hint="eastAsia" w:asciiTheme="majorEastAsia" w:hAnsiTheme="majorEastAsia" w:eastAsiaTheme="majorEastAsia" w:cstheme="majorEastAsia"/>
          <w:sz w:val="28"/>
          <w:szCs w:val="28"/>
          <w:lang w:val="en-US" w:eastAsia="zh-CN"/>
        </w:rPr>
        <w:t>，前者产生审判权，后者产生审判管理权，并认定这是两种权力，作用领域、行使方式以及运行机制不同。</w:t>
      </w:r>
      <w:r>
        <w:rPr>
          <w:rStyle w:val="4"/>
          <w:rFonts w:hint="eastAsia" w:asciiTheme="majorEastAsia" w:hAnsiTheme="majorEastAsia" w:eastAsiaTheme="majorEastAsia" w:cstheme="majorEastAsia"/>
          <w:sz w:val="28"/>
          <w:szCs w:val="28"/>
          <w:lang w:val="en-US" w:eastAsia="zh-CN"/>
        </w:rPr>
        <w:footnoteReference w:id="26"/>
      </w:r>
      <w:r>
        <w:rPr>
          <w:rFonts w:hint="eastAsia" w:asciiTheme="majorEastAsia" w:hAnsiTheme="majorEastAsia" w:eastAsiaTheme="majorEastAsia" w:cstheme="majorEastAsia"/>
          <w:sz w:val="28"/>
          <w:szCs w:val="28"/>
          <w:lang w:val="en-US" w:eastAsia="zh-CN"/>
        </w:rPr>
        <w:t>也有学者将审判管理权划入司法行政管理权范畴。以此，可以看出不同的学者，从不同的视角看待审判权、审理管理权、司法行政权以及它们之间的关系，得出的结论是不一致的，同时也看出我国学者对以上三种权力，存在理论研究上的不足，然而正是这个不足导致司法改革中法院审判人员分类改革在权力配置，职责定位存在混乱，关系不明确，因此还必须从权力本身着手，并研究权力在审判领域的表现形式，再划分出审判权、审判管理权、司法行政权的权力界限，并落实这些权力享有主体，理清职责范围，深化司法改革。</w:t>
      </w:r>
    </w:p>
    <w:p>
      <w:pPr>
        <w:numPr>
          <w:ilvl w:val="0"/>
          <w:numId w:val="0"/>
        </w:numPr>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三、愿景展示：法官、书记员、法官助理对法官权力清单运行方式的心里表达。</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为了查明全国法院司法改革中各级法院不同群体的改革期待，现实问题，后续改革路径安排情况，本课题组采取重点选择部分试点司法改革法院及结合随机选择部分非试点改革法院方法进行问卷调查，共计向全国</w:t>
      </w:r>
      <w:r>
        <w:rPr>
          <w:rFonts w:hint="eastAsia" w:asciiTheme="majorEastAsia" w:hAnsiTheme="majorEastAsia" w:eastAsiaTheme="majorEastAsia" w:cstheme="majorEastAsia"/>
          <w:sz w:val="28"/>
          <w:szCs w:val="28"/>
          <w:lang w:val="en-US" w:eastAsia="zh-CN"/>
        </w:rPr>
        <w:t>200个中基层各发出了同一套6张问卷调查表，每一套可选择法官18人、法官助理18人、书记员18人进行不同内容的调查，调查形式采取自由表达的隐名自填方式，从回收的反馈表上可以清楚地看到了不同法院不同群体的心里愿望。回收的调查情况见表一。</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表一</w:t>
      </w:r>
    </w:p>
    <w:p>
      <w:pPr>
        <w:numPr>
          <w:ilvl w:val="0"/>
          <w:numId w:val="0"/>
        </w:numPr>
        <w:ind w:firstLine="560" w:firstLineChars="200"/>
      </w:pPr>
      <w:r>
        <w:drawing>
          <wp:inline distT="0" distB="0" distL="114300" distR="114300">
            <wp:extent cx="5271135" cy="3759835"/>
            <wp:effectExtent l="0" t="0" r="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1135" cy="3759835"/>
                    </a:xfrm>
                    <a:prstGeom prst="rect">
                      <a:avLst/>
                    </a:prstGeom>
                    <a:noFill/>
                    <a:ln w="9525">
                      <a:noFill/>
                    </a:ln>
                  </pic:spPr>
                </pic:pic>
              </a:graphicData>
            </a:graphic>
          </wp:inline>
        </w:drawing>
      </w:r>
    </w:p>
    <w:p>
      <w:pPr>
        <w:numPr>
          <w:ilvl w:val="0"/>
          <w:numId w:val="0"/>
        </w:numPr>
        <w:ind w:firstLine="560" w:firstLineChars="200"/>
        <w:rPr>
          <w:rFonts w:hint="eastAsia"/>
          <w:sz w:val="28"/>
          <w:szCs w:val="28"/>
          <w:lang w:val="en-US" w:eastAsia="zh-CN"/>
        </w:rPr>
      </w:pPr>
      <w:r>
        <w:rPr>
          <w:rFonts w:hint="eastAsia"/>
          <w:sz w:val="28"/>
          <w:szCs w:val="28"/>
          <w:lang w:val="en-US" w:eastAsia="zh-CN"/>
        </w:rPr>
        <w:t>从表一的情况看一些问卷虽然没有能预期收回，但是却也反映出一些员额法官、法官助理、书记员及被选中参与调查的法院，可能存在的状态，第一种是很多法院电话联系我们课题小组，“我们法院员额制还没有结束，正在进行中”，“我们法院刚刚结束法官员额的确定工作，但是法官助理还没有进行选任”，因此导致问卷调查没有达到3600名员额法官、法官助理、书记员的大数据展开，</w:t>
      </w:r>
      <w:r>
        <w:rPr>
          <w:rStyle w:val="4"/>
          <w:rFonts w:hint="eastAsia"/>
          <w:sz w:val="28"/>
          <w:szCs w:val="28"/>
          <w:lang w:val="en-US" w:eastAsia="zh-CN"/>
        </w:rPr>
        <w:footnoteReference w:id="27"/>
      </w:r>
      <w:r>
        <w:rPr>
          <w:rFonts w:hint="eastAsia"/>
          <w:sz w:val="28"/>
          <w:szCs w:val="28"/>
          <w:lang w:val="en-US" w:eastAsia="zh-CN"/>
        </w:rPr>
        <w:t>第二种是被问卷调查的相关人员刚刚被确认为员额法官或者法官助理，对于涉及法官权力运行的形式缺乏思考而没有作答，没有将“问卷表”邮寄回本课题组。但是尽管如此，回收到的调查表仍然比较全面，具有较大的数据性，因为涉及全国东、中、西部绝大多数地区法院的数百名法官、法官助理、书记员的作答，反映出了不同群体对下一步深化相关配套机制改革的心理期待。同时因为抽样的随机性和地域的广泛性而产生了典型的代表性特征，从数理统计学上说具有有效性，其观点也凸显了现实法院不同群体的声音。</w:t>
      </w:r>
    </w:p>
    <w:p>
      <w:pPr>
        <w:numPr>
          <w:ilvl w:val="0"/>
          <w:numId w:val="0"/>
        </w:numPr>
        <w:ind w:firstLine="560" w:firstLineChars="200"/>
        <w:rPr>
          <w:rFonts w:hint="eastAsia"/>
          <w:sz w:val="28"/>
          <w:szCs w:val="28"/>
          <w:lang w:val="en-US" w:eastAsia="zh-CN"/>
        </w:rPr>
      </w:pPr>
      <w:r>
        <w:rPr>
          <w:rFonts w:hint="eastAsia"/>
          <w:sz w:val="28"/>
          <w:szCs w:val="28"/>
          <w:lang w:val="en-US" w:eastAsia="zh-CN"/>
        </w:rPr>
        <w:t>（一）法官-法官助理-书记员选择的管理主体。</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1、</w:t>
      </w:r>
      <w:r>
        <w:rPr>
          <w:rFonts w:hint="eastAsia" w:asciiTheme="majorEastAsia" w:hAnsiTheme="majorEastAsia" w:eastAsiaTheme="majorEastAsia" w:cstheme="majorEastAsia"/>
          <w:sz w:val="28"/>
          <w:szCs w:val="28"/>
          <w:lang w:eastAsia="zh-CN"/>
        </w:rPr>
        <w:t>法官期待对法官助理及书记员的管理权。对于员额制法官在问卷中表现出积极心态，期待审判权衍生出的管理权回归，以此提高审判效率，适应司法改革需求（见表二</w:t>
      </w:r>
      <w:r>
        <w:rPr>
          <w:rFonts w:hint="eastAsia" w:ascii="宋体" w:hAnsi="宋体" w:eastAsia="宋体" w:cs="宋体"/>
          <w:sz w:val="28"/>
          <w:szCs w:val="28"/>
          <w:lang w:eastAsia="zh-CN"/>
        </w:rPr>
        <w:t>&lt;</w:t>
      </w:r>
      <w:r>
        <w:rPr>
          <w:rFonts w:hint="eastAsia" w:asciiTheme="majorEastAsia" w:hAnsiTheme="majorEastAsia" w:eastAsiaTheme="majorEastAsia" w:cstheme="majorEastAsia"/>
          <w:sz w:val="28"/>
          <w:szCs w:val="28"/>
          <w:lang w:val="en-US" w:eastAsia="zh-CN"/>
        </w:rPr>
        <w:t>法院人员参与问卷调查情况反馈统计表</w:t>
      </w:r>
      <w:r>
        <w:rPr>
          <w:rFonts w:hint="eastAsia" w:ascii="宋体" w:hAnsi="宋体" w:eastAsia="宋体" w:cs="宋体"/>
          <w:sz w:val="28"/>
          <w:szCs w:val="28"/>
          <w:lang w:val="en-US" w:eastAsia="zh-CN"/>
        </w:rPr>
        <w:t>&gt;）。</w:t>
      </w:r>
    </w:p>
    <w:p>
      <w:pPr>
        <w:numPr>
          <w:ilvl w:val="0"/>
          <w:numId w:val="0"/>
        </w:numPr>
        <w:rPr>
          <w:rFonts w:hint="eastAsia" w:asciiTheme="majorEastAsia" w:hAnsiTheme="majorEastAsia" w:eastAsiaTheme="majorEastAsia" w:cstheme="majorEastAsia"/>
          <w:sz w:val="28"/>
          <w:szCs w:val="28"/>
          <w:lang w:eastAsia="zh-CN"/>
        </w:rPr>
      </w:pP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表二</w:t>
      </w:r>
    </w:p>
    <w:p>
      <w:pPr>
        <w:ind w:firstLine="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法院人员参与问卷调查情况反馈表</w:t>
      </w:r>
    </w:p>
    <w:p>
      <w:pPr>
        <w:rPr>
          <w:rFonts w:hint="eastAsia"/>
          <w:lang w:val="en-US" w:eastAsia="zh-CN"/>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3"/>
        <w:gridCol w:w="827"/>
        <w:gridCol w:w="1059"/>
        <w:gridCol w:w="867"/>
        <w:gridCol w:w="1019"/>
        <w:gridCol w:w="958"/>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2863" w:type="dxa"/>
            <w:vMerge w:val="restart"/>
            <w:tcBorders>
              <w:right w:val="single" w:color="auto" w:sz="4" w:space="0"/>
            </w:tcBorders>
            <mc:AlternateContent>
              <mc:Choice Requires="wpsCustomData">
                <wpsCustomData:diagonals>
                  <wpsCustomData:diagonal from="30000" to="10000">
                    <wpsCustomData:border w:val="single" w:color="auto" w:sz="4" w:space="0"/>
                  </wpsCustomData:diagonal>
                </wpsCustomData:diagonals>
              </mc:Choice>
            </mc:AlternateContent>
          </w:tcPr>
          <w:p>
            <w:pPr>
              <w:snapToGrid w:val="0"/>
              <w:spacing w:line="240" w:lineRule="auto"/>
              <w:rPr>
                <w:rFonts w:hint="eastAsia"/>
                <w:vertAlign w:val="baseline"/>
                <w:lang w:val="en-US" w:eastAsia="zh-CN"/>
              </w:rPr>
            </w:pPr>
          </w:p>
          <w:p>
            <w:pPr>
              <w:snapToGrid w:val="0"/>
              <w:spacing w:line="240" w:lineRule="auto"/>
              <mc:AlternateContent>
                <mc:Choice Requires="wpsCustomData">
                  <wpsCustomData:diagonalParaType/>
                </mc:Choice>
              </mc:AlternateContent>
              <w:rPr>
                <w:rFonts w:hint="eastAsia"/>
                <w:vertAlign w:val="baseline"/>
                <w:lang w:val="en-US" w:eastAsia="zh-CN"/>
              </w:rPr>
            </w:pPr>
            <w:r>
              <w:rPr>
                <w:rFonts w:hint="eastAsia"/>
                <w:vertAlign w:val="baseline"/>
                <w:lang w:val="en-US" w:eastAsia="zh-CN"/>
              </w:rPr>
              <w:t>选择的管理主体</w:t>
            </w:r>
          </w:p>
          <w:p>
            <w:pPr>
              <w:rPr>
                <w:rFonts w:hint="eastAsia"/>
                <w:vertAlign w:val="baseline"/>
                <w:lang w:val="en-US" w:eastAsia="zh-CN"/>
              </w:rPr>
            </w:pPr>
            <w:r>
              <w:rPr>
                <w:rFonts w:hint="eastAsia"/>
                <w:vertAlign w:val="baseline"/>
                <w:lang w:val="en-US" w:eastAsia="zh-CN"/>
              </w:rPr>
              <w:t>类别</w:t>
            </w:r>
          </w:p>
        </w:tc>
        <w:tc>
          <w:tcPr>
            <w:tcW w:w="5659" w:type="dxa"/>
            <w:gridSpan w:val="6"/>
            <w:tcBorders>
              <w:top w:val="single" w:color="auto" w:sz="4" w:space="0"/>
              <w:left w:val="single" w:color="auto" w:sz="4" w:space="0"/>
              <w:bottom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 xml:space="preserve">                被问卷人员类别及针对对象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2863" w:type="dxa"/>
            <w:vMerge w:val="continue"/>
            <w:tcBorders>
              <w:bottom w:val="single" w:color="auto" w:sz="4" w:space="0"/>
              <w:right w:val="single" w:color="auto" w:sz="4" w:space="0"/>
            </w:tcBorders>
          </w:tcPr>
          <w:p>
            <w:pPr>
              <w:rPr>
                <w:rFonts w:hint="eastAsia"/>
                <w:vertAlign w:val="baseline"/>
                <w:lang w:val="en-US" w:eastAsia="zh-CN"/>
              </w:rPr>
            </w:pPr>
          </w:p>
        </w:tc>
        <w:tc>
          <w:tcPr>
            <w:tcW w:w="1886" w:type="dxa"/>
            <w:gridSpan w:val="2"/>
            <w:tcBorders>
              <w:top w:val="single" w:color="auto" w:sz="4" w:space="0"/>
              <w:left w:val="single" w:color="auto" w:sz="4" w:space="0"/>
              <w:bottom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员额制法官</w:t>
            </w:r>
            <w:r>
              <w:rPr>
                <w:rFonts w:hint="default" w:ascii="Arial" w:hAnsi="Arial" w:cs="Arial"/>
                <w:vertAlign w:val="baseline"/>
                <w:lang w:val="en-US" w:eastAsia="zh-CN"/>
              </w:rPr>
              <w:t>↓</w:t>
            </w:r>
          </w:p>
        </w:tc>
        <w:tc>
          <w:tcPr>
            <w:tcW w:w="1886" w:type="dxa"/>
            <w:gridSpan w:val="2"/>
            <w:tcBorders>
              <w:top w:val="single" w:color="auto" w:sz="4" w:space="0"/>
              <w:left w:val="single" w:color="auto" w:sz="4" w:space="0"/>
              <w:bottom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法官助理</w:t>
            </w:r>
            <w:r>
              <w:rPr>
                <w:rFonts w:hint="default" w:ascii="Arial" w:hAnsi="Arial" w:cs="Arial"/>
                <w:vertAlign w:val="baseline"/>
                <w:lang w:val="en-US" w:eastAsia="zh-CN"/>
              </w:rPr>
              <w:t>↓</w:t>
            </w:r>
          </w:p>
        </w:tc>
        <w:tc>
          <w:tcPr>
            <w:tcW w:w="1887" w:type="dxa"/>
            <w:gridSpan w:val="2"/>
            <w:tcBorders>
              <w:top w:val="single" w:color="auto" w:sz="4" w:space="0"/>
              <w:left w:val="single" w:color="auto" w:sz="4" w:space="0"/>
              <w:bottom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书记员</w:t>
            </w:r>
            <w:r>
              <w:rPr>
                <w:rFonts w:hint="default" w:ascii="Arial" w:hAnsi="Arial" w:cs="Arial"/>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863" w:type="dxa"/>
            <w:vMerge w:val="continue"/>
            <w:tcBorders>
              <w:bottom w:val="single" w:color="auto" w:sz="4" w:space="0"/>
              <w:right w:val="single" w:color="auto" w:sz="4" w:space="0"/>
            </w:tcBorders>
          </w:tcPr>
          <w:p>
            <w:pPr>
              <w:rPr>
                <w:rFonts w:hint="eastAsia"/>
                <w:vertAlign w:val="baseline"/>
                <w:lang w:val="en-US" w:eastAsia="zh-CN"/>
              </w:rPr>
            </w:pPr>
          </w:p>
        </w:tc>
        <w:tc>
          <w:tcPr>
            <w:tcW w:w="827" w:type="dxa"/>
            <w:tcBorders>
              <w:top w:val="single" w:color="auto" w:sz="4" w:space="0"/>
              <w:left w:val="single" w:color="auto" w:sz="4" w:space="0"/>
              <w:bottom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法官助理</w:t>
            </w:r>
          </w:p>
        </w:tc>
        <w:tc>
          <w:tcPr>
            <w:tcW w:w="1059" w:type="dxa"/>
            <w:tcBorders>
              <w:top w:val="single" w:color="auto" w:sz="4" w:space="0"/>
              <w:left w:val="single" w:color="auto" w:sz="4" w:space="0"/>
              <w:bottom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书记员</w:t>
            </w:r>
          </w:p>
        </w:tc>
        <w:tc>
          <w:tcPr>
            <w:tcW w:w="867" w:type="dxa"/>
            <w:tcBorders>
              <w:top w:val="single" w:color="auto" w:sz="4" w:space="0"/>
              <w:left w:val="single" w:color="auto" w:sz="4" w:space="0"/>
              <w:bottom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法官助理</w:t>
            </w:r>
          </w:p>
        </w:tc>
        <w:tc>
          <w:tcPr>
            <w:tcW w:w="1019" w:type="dxa"/>
            <w:tcBorders>
              <w:top w:val="single" w:color="auto" w:sz="4" w:space="0"/>
              <w:left w:val="single" w:color="auto" w:sz="4" w:space="0"/>
              <w:bottom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书记员</w:t>
            </w:r>
          </w:p>
        </w:tc>
        <w:tc>
          <w:tcPr>
            <w:tcW w:w="958" w:type="dxa"/>
            <w:tcBorders>
              <w:top w:val="single" w:color="auto" w:sz="4" w:space="0"/>
              <w:left w:val="single" w:color="auto" w:sz="4" w:space="0"/>
              <w:bottom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法官助理</w:t>
            </w:r>
          </w:p>
        </w:tc>
        <w:tc>
          <w:tcPr>
            <w:tcW w:w="929" w:type="dxa"/>
            <w:tcBorders>
              <w:top w:val="single" w:color="auto" w:sz="4" w:space="0"/>
              <w:left w:val="single" w:color="auto" w:sz="4" w:space="0"/>
              <w:bottom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书记员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2863" w:type="dxa"/>
            <w:tcBorders>
              <w:top w:val="single" w:color="auto" w:sz="4" w:space="0"/>
              <w:right w:val="single" w:color="auto" w:sz="4" w:space="0"/>
            </w:tcBorders>
          </w:tcPr>
          <w:p>
            <w:pPr>
              <w:snapToGrid w:val="0"/>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法官</w:t>
            </w:r>
          </w:p>
        </w:tc>
        <w:tc>
          <w:tcPr>
            <w:tcW w:w="827" w:type="dxa"/>
            <w:tcBorders>
              <w:top w:val="single" w:color="auto" w:sz="4" w:space="0"/>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168</w:t>
            </w:r>
          </w:p>
        </w:tc>
        <w:tc>
          <w:tcPr>
            <w:tcW w:w="1059" w:type="dxa"/>
            <w:tcBorders>
              <w:top w:val="single" w:color="auto" w:sz="4" w:space="0"/>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168</w:t>
            </w:r>
          </w:p>
        </w:tc>
        <w:tc>
          <w:tcPr>
            <w:tcW w:w="867" w:type="dxa"/>
            <w:tcBorders>
              <w:top w:val="single" w:color="auto" w:sz="4" w:space="0"/>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84</w:t>
            </w:r>
          </w:p>
        </w:tc>
        <w:tc>
          <w:tcPr>
            <w:tcW w:w="1019" w:type="dxa"/>
            <w:tcBorders>
              <w:top w:val="single" w:color="auto" w:sz="4" w:space="0"/>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84</w:t>
            </w:r>
          </w:p>
        </w:tc>
        <w:tc>
          <w:tcPr>
            <w:tcW w:w="958" w:type="dxa"/>
            <w:tcBorders>
              <w:top w:val="single" w:color="auto" w:sz="4" w:space="0"/>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112</w:t>
            </w:r>
          </w:p>
        </w:tc>
        <w:tc>
          <w:tcPr>
            <w:tcW w:w="929" w:type="dxa"/>
            <w:tcBorders>
              <w:top w:val="single" w:color="auto" w:sz="4" w:space="0"/>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2863" w:type="dxa"/>
            <w:tcBorders>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组织部门</w:t>
            </w:r>
          </w:p>
        </w:tc>
        <w:tc>
          <w:tcPr>
            <w:tcW w:w="827"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157</w:t>
            </w:r>
          </w:p>
        </w:tc>
        <w:tc>
          <w:tcPr>
            <w:tcW w:w="1059"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163</w:t>
            </w:r>
          </w:p>
        </w:tc>
        <w:tc>
          <w:tcPr>
            <w:tcW w:w="867"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151</w:t>
            </w:r>
          </w:p>
        </w:tc>
        <w:tc>
          <w:tcPr>
            <w:tcW w:w="1019"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102</w:t>
            </w:r>
          </w:p>
        </w:tc>
        <w:tc>
          <w:tcPr>
            <w:tcW w:w="958"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98</w:t>
            </w:r>
          </w:p>
        </w:tc>
        <w:tc>
          <w:tcPr>
            <w:tcW w:w="929"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863" w:type="dxa"/>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院领导</w:t>
            </w:r>
          </w:p>
        </w:tc>
        <w:tc>
          <w:tcPr>
            <w:tcW w:w="827" w:type="dxa"/>
            <w:tcBorders>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21</w:t>
            </w:r>
          </w:p>
        </w:tc>
        <w:tc>
          <w:tcPr>
            <w:tcW w:w="1059" w:type="dxa"/>
            <w:tcBorders>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24</w:t>
            </w:r>
          </w:p>
        </w:tc>
        <w:tc>
          <w:tcPr>
            <w:tcW w:w="867"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17</w:t>
            </w:r>
          </w:p>
        </w:tc>
        <w:tc>
          <w:tcPr>
            <w:tcW w:w="1019"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16</w:t>
            </w:r>
          </w:p>
        </w:tc>
        <w:tc>
          <w:tcPr>
            <w:tcW w:w="958"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26</w:t>
            </w:r>
          </w:p>
        </w:tc>
        <w:tc>
          <w:tcPr>
            <w:tcW w:w="929"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63" w:type="dxa"/>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法官 组织部门</w:t>
            </w:r>
          </w:p>
        </w:tc>
        <w:tc>
          <w:tcPr>
            <w:tcW w:w="827" w:type="dxa"/>
            <w:tcBorders>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25</w:t>
            </w:r>
          </w:p>
        </w:tc>
        <w:tc>
          <w:tcPr>
            <w:tcW w:w="1059" w:type="dxa"/>
            <w:tcBorders>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19</w:t>
            </w:r>
          </w:p>
        </w:tc>
        <w:tc>
          <w:tcPr>
            <w:tcW w:w="867"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26</w:t>
            </w:r>
          </w:p>
        </w:tc>
        <w:tc>
          <w:tcPr>
            <w:tcW w:w="1019"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30</w:t>
            </w:r>
          </w:p>
        </w:tc>
        <w:tc>
          <w:tcPr>
            <w:tcW w:w="958"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28</w:t>
            </w:r>
          </w:p>
        </w:tc>
        <w:tc>
          <w:tcPr>
            <w:tcW w:w="929"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63" w:type="dxa"/>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法官 院领导</w:t>
            </w:r>
          </w:p>
        </w:tc>
        <w:tc>
          <w:tcPr>
            <w:tcW w:w="827" w:type="dxa"/>
            <w:tcBorders>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0</w:t>
            </w:r>
          </w:p>
        </w:tc>
        <w:tc>
          <w:tcPr>
            <w:tcW w:w="1059" w:type="dxa"/>
            <w:tcBorders>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0</w:t>
            </w:r>
          </w:p>
        </w:tc>
        <w:tc>
          <w:tcPr>
            <w:tcW w:w="867"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0</w:t>
            </w:r>
          </w:p>
        </w:tc>
        <w:tc>
          <w:tcPr>
            <w:tcW w:w="1019"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0</w:t>
            </w:r>
          </w:p>
        </w:tc>
        <w:tc>
          <w:tcPr>
            <w:tcW w:w="958"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0</w:t>
            </w:r>
          </w:p>
        </w:tc>
        <w:tc>
          <w:tcPr>
            <w:tcW w:w="929"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863" w:type="dxa"/>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法官 组织部门 院领导</w:t>
            </w:r>
          </w:p>
        </w:tc>
        <w:tc>
          <w:tcPr>
            <w:tcW w:w="827" w:type="dxa"/>
            <w:tcBorders>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8</w:t>
            </w:r>
          </w:p>
        </w:tc>
        <w:tc>
          <w:tcPr>
            <w:tcW w:w="1059" w:type="dxa"/>
            <w:tcBorders>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8</w:t>
            </w:r>
          </w:p>
        </w:tc>
        <w:tc>
          <w:tcPr>
            <w:tcW w:w="867"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w:t>
            </w:r>
          </w:p>
        </w:tc>
        <w:tc>
          <w:tcPr>
            <w:tcW w:w="1019"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w:t>
            </w:r>
          </w:p>
        </w:tc>
        <w:tc>
          <w:tcPr>
            <w:tcW w:w="958"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0</w:t>
            </w:r>
          </w:p>
        </w:tc>
        <w:tc>
          <w:tcPr>
            <w:tcW w:w="929"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863" w:type="dxa"/>
          </w:tcPr>
          <w:p>
            <w:pPr>
              <w:rPr>
                <w:rFonts w:hint="eastAsia"/>
                <w:vertAlign w:val="baseline"/>
                <w:lang w:val="en-US" w:eastAsia="zh-CN"/>
              </w:rPr>
            </w:pPr>
            <w:r>
              <w:rPr>
                <w:rFonts w:hint="eastAsia"/>
                <w:vertAlign w:val="baseline"/>
                <w:lang w:val="en-US" w:eastAsia="zh-CN"/>
              </w:rPr>
              <w:t>组织部门 院领导</w:t>
            </w:r>
          </w:p>
        </w:tc>
        <w:tc>
          <w:tcPr>
            <w:tcW w:w="827" w:type="dxa"/>
            <w:tcBorders>
              <w:right w:val="single" w:color="auto" w:sz="4" w:space="0"/>
            </w:tcBorders>
          </w:tcPr>
          <w:p>
            <w:pPr>
              <w:rPr>
                <w:rFonts w:hint="eastAsia"/>
                <w:vertAlign w:val="baseline"/>
                <w:lang w:val="en-US" w:eastAsia="zh-CN"/>
              </w:rPr>
            </w:pPr>
            <w:r>
              <w:rPr>
                <w:rFonts w:hint="eastAsia"/>
                <w:vertAlign w:val="baseline"/>
                <w:lang w:val="en-US" w:eastAsia="zh-CN"/>
              </w:rPr>
              <w:t>14</w:t>
            </w:r>
          </w:p>
        </w:tc>
        <w:tc>
          <w:tcPr>
            <w:tcW w:w="1059" w:type="dxa"/>
            <w:tcBorders>
              <w:right w:val="single" w:color="auto" w:sz="4" w:space="0"/>
            </w:tcBorders>
          </w:tcPr>
          <w:p>
            <w:pPr>
              <w:rPr>
                <w:rFonts w:hint="eastAsia"/>
                <w:vertAlign w:val="baseline"/>
                <w:lang w:val="en-US" w:eastAsia="zh-CN"/>
              </w:rPr>
            </w:pPr>
            <w:r>
              <w:rPr>
                <w:rFonts w:hint="eastAsia"/>
                <w:vertAlign w:val="baseline"/>
                <w:lang w:val="en-US" w:eastAsia="zh-CN"/>
              </w:rPr>
              <w:t>14</w:t>
            </w:r>
          </w:p>
        </w:tc>
        <w:tc>
          <w:tcPr>
            <w:tcW w:w="867" w:type="dxa"/>
            <w:tcBorders>
              <w:left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2</w:t>
            </w:r>
          </w:p>
        </w:tc>
        <w:tc>
          <w:tcPr>
            <w:tcW w:w="1019" w:type="dxa"/>
            <w:tcBorders>
              <w:left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6</w:t>
            </w:r>
          </w:p>
        </w:tc>
        <w:tc>
          <w:tcPr>
            <w:tcW w:w="958" w:type="dxa"/>
            <w:tcBorders>
              <w:left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8</w:t>
            </w:r>
          </w:p>
        </w:tc>
        <w:tc>
          <w:tcPr>
            <w:tcW w:w="929" w:type="dxa"/>
            <w:tcBorders>
              <w:left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0</w:t>
            </w:r>
          </w:p>
        </w:tc>
      </w:tr>
    </w:tbl>
    <w:p>
      <w:pPr>
        <w:rPr>
          <w:rFonts w:hint="eastAsia"/>
          <w:lang w:val="en-US" w:eastAsia="zh-CN"/>
        </w:rPr>
      </w:pPr>
    </w:p>
    <w:p>
      <w:pPr>
        <w:numPr>
          <w:ilvl w:val="0"/>
          <w:numId w:val="0"/>
        </w:numPr>
        <w:ind w:firstLine="0" w:firstLineChars="200"/>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结合统计表一、二可以清楚地看到法官希望法官助理由法官行使管理权的为39.7%；由组织部门行使管理权的为37.1%；由院领导行使管理权的为5%；由</w:t>
      </w:r>
      <w:r>
        <w:rPr>
          <w:rFonts w:hint="eastAsia" w:ascii="宋体" w:hAnsi="宋体" w:eastAsia="宋体" w:cs="宋体"/>
          <w:sz w:val="28"/>
          <w:szCs w:val="28"/>
          <w:vertAlign w:val="baseline"/>
          <w:lang w:val="en-US" w:eastAsia="zh-CN"/>
        </w:rPr>
        <w:t>法官 组织部门共同行使管理权的5.9%：由法官 组织部门 院领导共同行使管理权的为1.9%；由组织部门 院领导共同行使管理权的为3.3%；由法官 院领导共同行使管理权的为0；持其他意见不愿意表明的为7%，图示如下：</w:t>
      </w:r>
    </w:p>
    <w:p>
      <w:pPr>
        <w:numPr>
          <w:ilvl w:val="0"/>
          <w:numId w:val="0"/>
        </w:numPr>
        <w:ind w:firstLine="0" w:firstLineChars="200"/>
        <w:rPr>
          <w:rFonts w:hint="eastAsia" w:ascii="宋体" w:hAnsi="宋体" w:eastAsia="宋体" w:cs="宋体"/>
          <w:sz w:val="28"/>
          <w:szCs w:val="28"/>
          <w:vertAlign w:val="baseline"/>
          <w:lang w:val="en-US" w:eastAsia="zh-CN"/>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0"/>
        </w:numPr>
        <w:ind w:firstLine="0" w:firstLineChars="200"/>
        <w:rPr>
          <w:rFonts w:hint="eastAsia" w:ascii="宋体" w:hAnsi="宋体" w:eastAsia="宋体" w:cs="宋体"/>
          <w:sz w:val="28"/>
          <w:szCs w:val="28"/>
          <w:vertAlign w:val="baseline"/>
          <w:lang w:val="en-US" w:eastAsia="zh-CN"/>
        </w:rPr>
      </w:pPr>
      <w:r>
        <w:rPr>
          <w:rFonts w:hint="eastAsia" w:asciiTheme="majorEastAsia" w:hAnsiTheme="majorEastAsia" w:eastAsiaTheme="majorEastAsia" w:cstheme="majorEastAsia"/>
          <w:sz w:val="28"/>
          <w:szCs w:val="28"/>
          <w:lang w:val="en-US" w:eastAsia="zh-CN"/>
        </w:rPr>
        <w:t>从以上图表可以清楚地看出，法官对于法官助理行使管理权的主体主要有两种不同观点，一种是由法官自己管理，这是最多的一种意见，其次是由法院组织部门管理，其余的管理方式都属于少数不同意见，为什么实证是这样的结果？课题组认为可以作以下解读：法官行使对法官助理的管理权，对于提高审判效率来说应该说是最好的方式，因为法官直接行使管理大权，避免了中转环节，指令一发出立即达到法官助理，法官的意志立即转换为法官助理的意志，法官助理的辅助行为立即产生，并且在达不到法官要求的情况下，还可以继续新的指令，直到其行为符合法官的意志为止，审判效率自然得到提升，案件质量也会因为庭审前后准备充分而节省了耗费在杂务上的法官的有限时间，这节省的时间被法官充分用到了案件事实的充分把握及裁判结论的充分论证上，从而得到提升，因此多数法官选择了第一种管理法官助理的方式；至于选择第二种对法官助理的管理方式也有很大一部分，其原因应该是多方面的，主要的原因是刚刚入额的法官很多是年轻法官，缺少管理经验，存在畏惧年长法官助理，怕管不好承担管理责任，不如不要管理权为上策，这种心态的员额法官，在反馈的调查表中基本得到验证，只是在选择管理主体时为什么选择法院组织部门，而很少选择</w:t>
      </w:r>
      <w:r>
        <w:rPr>
          <w:rFonts w:hint="eastAsia" w:ascii="宋体" w:hAnsi="宋体" w:eastAsia="宋体" w:cs="宋体"/>
          <w:sz w:val="28"/>
          <w:szCs w:val="28"/>
          <w:lang w:val="en-US" w:eastAsia="zh-CN"/>
        </w:rPr>
        <w:t>院领导、</w:t>
      </w:r>
      <w:r>
        <w:rPr>
          <w:rFonts w:hint="eastAsia" w:ascii="宋体" w:hAnsi="宋体" w:eastAsia="宋体" w:cs="宋体"/>
          <w:sz w:val="28"/>
          <w:szCs w:val="28"/>
          <w:vertAlign w:val="baseline"/>
          <w:lang w:val="en-US" w:eastAsia="zh-CN"/>
        </w:rPr>
        <w:t>法官 组织部门、法官 组织部门 院领导共同四种形式呢？需要进一步分析，在这些年轻法官看来，法院组织部门是用制度在管理，虽然不如自己管理直接和有效率，但是通过组织部门转达意见，实现自己间接管理目的还是可能的，这样既摆脱了管理责任，又可能实现自己的意图，因此成了部分年轻法官的第二选择，之所以很少选择另外三种管理形式，是因为这三种形式都有行政领导的直接参与，这样的形式完全是行政管理的金字塔形式，法官在这样的司法行政化模式下，法官助理可能根本就听法官的意见，辅助行为可能就沦为徒有虚名的形式，为此多数法官不选择这些管理法官助理的方式。</w:t>
      </w:r>
    </w:p>
    <w:p>
      <w:pPr>
        <w:numPr>
          <w:ilvl w:val="0"/>
          <w:numId w:val="0"/>
        </w:numPr>
        <w:ind w:firstLine="0" w:firstLineChars="20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 xml:space="preserve">  2、书记员多数赞同法官对助理行使管理权。从表二可以清晰地看出多数持法官自己来管理自己的助理，书记员很清楚由法官管理助理，方便法官协调与自己这个群体的关系，工作上的协调配合便于提高审判效率，也有利于绩效考核。次之的意见仍然持法院组织部门行使管理权，持这一观点的书记员群体，可能的理由是法官能否管理好助理，或者是基于法院组织部门的旧有的组织制度文化惯性产生的影响，但是绝大多数书记员对于其他带有行政化色彩的管理模式仍然持反对的意见。</w:t>
      </w:r>
    </w:p>
    <w:p>
      <w:pPr>
        <w:numPr>
          <w:ilvl w:val="0"/>
          <w:numId w:val="0"/>
        </w:numPr>
        <w:ind w:firstLine="0" w:firstLineChars="20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 xml:space="preserve">  3、法官助理多数选择组织部门管理自己，次之选择是由法官管理自己。以上可以将表二转换成对比图，观察得更为清楚（见下图）。</w:t>
      </w:r>
    </w:p>
    <w:p>
      <w:pPr>
        <w:numPr>
          <w:ilvl w:val="0"/>
          <w:numId w:val="0"/>
        </w:numPr>
        <w:ind w:firstLine="0" w:firstLineChars="200"/>
      </w:pPr>
      <w:r>
        <w:drawing>
          <wp:inline distT="0" distB="0" distL="114300" distR="114300">
            <wp:extent cx="4572000" cy="2743200"/>
            <wp:effectExtent l="4445" t="4445" r="1460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numPr>
          <w:ilvl w:val="0"/>
          <w:numId w:val="0"/>
        </w:numPr>
        <w:ind w:firstLine="0" w:firstLineChars="200"/>
        <w:rPr>
          <w:rFonts w:hint="eastAsia"/>
          <w:sz w:val="28"/>
          <w:szCs w:val="28"/>
          <w:lang w:eastAsia="zh-CN"/>
        </w:rPr>
      </w:pPr>
      <w:r>
        <w:rPr>
          <w:rFonts w:hint="eastAsia"/>
          <w:sz w:val="28"/>
          <w:szCs w:val="28"/>
          <w:lang w:eastAsia="zh-CN"/>
        </w:rPr>
        <w:t>法官助理之所以多数选择法院组织部门管理自己，次之选择法官来管理自己，原因不外乎是担心法官加重自己的辅助工作，或者出于其他个人因素的考虑，从较多数法官助理选择法官来管理自己就可以得到证明，也可能认为组织部门管理自己对于今后的晋升更为公平合理。同时从图表可以看出其他的旧有行政管理模式绝大多数法官助理仍然持反对意见。</w:t>
      </w:r>
    </w:p>
    <w:p>
      <w:pPr>
        <w:numPr>
          <w:ilvl w:val="0"/>
          <w:numId w:val="0"/>
        </w:numPr>
        <w:ind w:firstLine="0" w:firstLineChars="200"/>
        <w:rPr>
          <w:rFonts w:hint="eastAsia"/>
          <w:sz w:val="28"/>
          <w:szCs w:val="28"/>
          <w:lang w:eastAsia="zh-CN"/>
        </w:rPr>
      </w:pPr>
      <w:r>
        <w:rPr>
          <w:rFonts w:hint="eastAsia"/>
          <w:sz w:val="28"/>
          <w:szCs w:val="28"/>
          <w:lang w:val="en-US" w:eastAsia="zh-CN"/>
        </w:rPr>
        <w:t xml:space="preserve">  4、</w:t>
      </w:r>
      <w:r>
        <w:rPr>
          <w:rFonts w:hint="eastAsia"/>
          <w:sz w:val="28"/>
          <w:szCs w:val="28"/>
          <w:lang w:eastAsia="zh-CN"/>
        </w:rPr>
        <w:t>法官助理较多赞同书记员的管理权由组织部门行使，次之选择由法官行使管理权。从表二可以得出上面结论，其余的管理模式</w:t>
      </w:r>
      <w:r>
        <w:rPr>
          <w:rFonts w:hint="eastAsia" w:ascii="宋体" w:hAnsi="宋体" w:eastAsia="宋体" w:cs="宋体"/>
          <w:sz w:val="28"/>
          <w:szCs w:val="28"/>
          <w:lang w:val="en-US" w:eastAsia="zh-CN"/>
        </w:rPr>
        <w:t>领导、</w:t>
      </w:r>
      <w:r>
        <w:rPr>
          <w:rFonts w:hint="eastAsia" w:ascii="宋体" w:hAnsi="宋体" w:eastAsia="宋体" w:cs="宋体"/>
          <w:sz w:val="28"/>
          <w:szCs w:val="28"/>
          <w:vertAlign w:val="baseline"/>
          <w:lang w:val="en-US" w:eastAsia="zh-CN"/>
        </w:rPr>
        <w:t>法官 组织部门、法官 组织部门 院领导四种形式被绝大多数法官助理抛弃（见下对比图）。</w:t>
      </w:r>
    </w:p>
    <w:p>
      <w:pPr>
        <w:numPr>
          <w:ilvl w:val="0"/>
          <w:numId w:val="0"/>
        </w:numPr>
        <w:ind w:firstLine="0" w:firstLineChars="200"/>
      </w:pP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0"/>
        </w:numPr>
        <w:ind w:firstLine="0" w:firstLineChars="20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从比例图可以看出，法官助理是选择法官或者是选择组织部门来管理书记员两种选择比较纠结，结果是后者微多。</w:t>
      </w:r>
    </w:p>
    <w:p>
      <w:pPr>
        <w:numPr>
          <w:ilvl w:val="0"/>
          <w:numId w:val="0"/>
        </w:numPr>
        <w:ind w:firstLine="0" w:firstLineChars="20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 xml:space="preserve">  5、书记员多数选择组织部门来行使对自己的管理权，次之选择法官对自己行使管理权。这个结论仍然可从表二得出，图示如下。从图示比例情况仍然可以看出书记员对以上两种选择如何是好仍存纠结，导致两种选择的人数相差不是很大。可其他几种管理模式，几乎被绝大多数书记员抛弃，也可从中得出旧有的行政化司法行政管理模式受到厌恶。</w:t>
      </w:r>
    </w:p>
    <w:p>
      <w:pPr>
        <w:numPr>
          <w:ilvl w:val="0"/>
          <w:numId w:val="0"/>
        </w:numPr>
        <w:ind w:firstLine="0" w:firstLineChars="200"/>
      </w:pPr>
      <w:r>
        <w:drawing>
          <wp:inline distT="0" distB="0" distL="114300" distR="114300">
            <wp:extent cx="4572000" cy="274320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0"/>
        </w:numPr>
        <w:ind w:firstLine="0" w:firstLineChars="200"/>
        <w:rPr>
          <w:rFonts w:hint="eastAsia"/>
          <w:sz w:val="28"/>
          <w:szCs w:val="28"/>
          <w:lang w:val="en-US" w:eastAsia="zh-CN"/>
        </w:rPr>
      </w:pPr>
      <w:r>
        <w:rPr>
          <w:rFonts w:hint="eastAsia"/>
          <w:sz w:val="28"/>
          <w:szCs w:val="28"/>
          <w:lang w:val="en-US" w:eastAsia="zh-CN"/>
        </w:rPr>
        <w:t>从以上实证数据分析不难得出法官、法官助理、书记员这法院的三大群体对于法官助理及书记员由谁了行使审判管理权，存在主要的两种不同意见，一种意见为法官行使管理权，一种为法院组织部门行使管理权，持这两种不同意见的人数相差不多，那种意见更为合理或者其他模式更具合理性，必须进行价值理论上的判断分析及实践考证，本课题将在后面部分进行理论上的证明。</w:t>
      </w:r>
    </w:p>
    <w:p>
      <w:pPr>
        <w:numPr>
          <w:ilvl w:val="0"/>
          <w:numId w:val="0"/>
        </w:numPr>
        <w:ind w:firstLine="0" w:firstLineChars="200"/>
        <w:rPr>
          <w:rFonts w:hint="eastAsia"/>
          <w:sz w:val="28"/>
          <w:szCs w:val="28"/>
          <w:lang w:val="en-US" w:eastAsia="zh-CN"/>
        </w:rPr>
      </w:pPr>
      <w:r>
        <w:rPr>
          <w:rFonts w:hint="eastAsia"/>
          <w:sz w:val="28"/>
          <w:szCs w:val="28"/>
          <w:lang w:val="en-US" w:eastAsia="zh-CN"/>
        </w:rPr>
        <w:t xml:space="preserve">  （二）在法院不同群体中怎样划定法官的权力范围。</w:t>
      </w:r>
    </w:p>
    <w:p>
      <w:pPr>
        <w:numPr>
          <w:ilvl w:val="0"/>
          <w:numId w:val="0"/>
        </w:numPr>
        <w:ind w:firstLine="0" w:firstLineChars="200"/>
        <w:rPr>
          <w:rFonts w:hint="eastAsia"/>
          <w:sz w:val="28"/>
          <w:szCs w:val="28"/>
          <w:lang w:val="en-US" w:eastAsia="zh-CN"/>
        </w:rPr>
      </w:pPr>
      <w:r>
        <w:rPr>
          <w:rFonts w:hint="eastAsia"/>
          <w:sz w:val="28"/>
          <w:szCs w:val="28"/>
          <w:lang w:val="en-US" w:eastAsia="zh-CN"/>
        </w:rPr>
        <w:t>对于法院不同群体怎样划定法官的权力问题，我们课题组也在法官、法官助理二大主要群体中分别进行了问卷调查，调查情况分析如下。</w:t>
      </w:r>
    </w:p>
    <w:p>
      <w:pPr>
        <w:numPr>
          <w:ilvl w:val="0"/>
          <w:numId w:val="0"/>
        </w:numPr>
        <w:ind w:firstLine="0" w:firstLineChars="200"/>
        <w:rPr>
          <w:rFonts w:hint="eastAsia"/>
          <w:sz w:val="28"/>
          <w:szCs w:val="28"/>
          <w:lang w:val="en-US" w:eastAsia="zh-CN"/>
        </w:rPr>
      </w:pPr>
      <w:r>
        <w:rPr>
          <w:rFonts w:hint="eastAsia"/>
          <w:sz w:val="28"/>
          <w:szCs w:val="28"/>
          <w:lang w:val="en-US" w:eastAsia="zh-CN"/>
        </w:rPr>
        <w:t xml:space="preserve">   1、法官坚持应当享有独立审判案件及相当的职业保障权和管理权。为了了解法官对于权力的期待，我们设定了问卷调查表，对于法官的反馈如表三。</w:t>
      </w:r>
    </w:p>
    <w:p>
      <w:pPr>
        <w:ind w:firstLine="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 xml:space="preserve">    表三</w:t>
      </w:r>
    </w:p>
    <w:p>
      <w:pPr>
        <w:rPr>
          <w:rFonts w:hint="eastAsia" w:ascii="黑体" w:hAnsi="黑体" w:eastAsia="黑体" w:cs="黑体"/>
          <w:sz w:val="30"/>
          <w:szCs w:val="30"/>
          <w:lang w:val="en-US" w:eastAsia="zh-CN"/>
        </w:rPr>
      </w:pPr>
    </w:p>
    <w:tbl>
      <w:tblPr>
        <w:tblStyle w:val="6"/>
        <w:tblW w:w="5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8"/>
        <w:gridCol w:w="700"/>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3408" w:type="dxa"/>
            <mc:AlternateContent>
              <mc:Choice Requires="wpsCustomData">
                <wpsCustomData:diagonals>
                  <wpsCustomData:diagonal from="30000" to="10000">
                    <wpsCustomData:border w:val="single" w:color="auto" w:sz="4" w:space="0"/>
                  </wpsCustomData:diagonal>
                </wpsCustomData:diagonals>
              </mc:Choice>
            </mc:AlternateContent>
          </w:tcPr>
          <w:p>
            <w:pPr>
              <w:snapToGrid w:val="0"/>
              <w:spacing w:line="240" w:lineRule="auto"/>
              <w:rPr>
                <w:rFonts w:hint="eastAsia" w:ascii="黑体" w:hAnsi="黑体" w:eastAsia="黑体" w:cs="黑体"/>
                <w:sz w:val="21"/>
                <w:szCs w:val="21"/>
                <w:vertAlign w:val="baseline"/>
                <w:lang w:val="en-US" w:eastAsia="zh-CN"/>
              </w:rPr>
            </w:pPr>
          </w:p>
          <w:p>
            <w:pPr>
              <w:snapToGrid w:val="0"/>
              <w:spacing w:line="240" w:lineRule="auto"/>
              <mc:AlternateContent>
                <mc:Choice Requires="wpsCustomData">
                  <wpsCustomData:diagonalParaType/>
                </mc:Choice>
              </mc:AlternateContent>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法官该当的权力与义务内容</w:t>
            </w:r>
          </w:p>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被问卷对象</w:t>
            </w:r>
          </w:p>
        </w:tc>
        <w:tc>
          <w:tcPr>
            <w:tcW w:w="700"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法官</w:t>
            </w:r>
          </w:p>
        </w:tc>
        <w:tc>
          <w:tcPr>
            <w:tcW w:w="1244"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占参与被问卷法官总数423的百分比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独立审判案件</w:t>
            </w:r>
          </w:p>
        </w:tc>
        <w:tc>
          <w:tcPr>
            <w:tcW w:w="700"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398</w:t>
            </w:r>
          </w:p>
        </w:tc>
        <w:tc>
          <w:tcPr>
            <w:tcW w:w="1244"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领导法官助理工作</w:t>
            </w:r>
          </w:p>
        </w:tc>
        <w:tc>
          <w:tcPr>
            <w:tcW w:w="700"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363</w:t>
            </w:r>
          </w:p>
        </w:tc>
        <w:tc>
          <w:tcPr>
            <w:tcW w:w="1244"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领导书记员工作</w:t>
            </w:r>
          </w:p>
        </w:tc>
        <w:tc>
          <w:tcPr>
            <w:tcW w:w="700"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358</w:t>
            </w:r>
          </w:p>
        </w:tc>
        <w:tc>
          <w:tcPr>
            <w:tcW w:w="1244"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获得优厚报酬权</w:t>
            </w:r>
          </w:p>
        </w:tc>
        <w:tc>
          <w:tcPr>
            <w:tcW w:w="700"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377</w:t>
            </w:r>
          </w:p>
        </w:tc>
        <w:tc>
          <w:tcPr>
            <w:tcW w:w="1244"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本人及近亲属人身及财产权益受特别保护</w:t>
            </w:r>
          </w:p>
        </w:tc>
        <w:tc>
          <w:tcPr>
            <w:tcW w:w="700"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311</w:t>
            </w:r>
          </w:p>
        </w:tc>
        <w:tc>
          <w:tcPr>
            <w:tcW w:w="1244"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享有司法豁免权</w:t>
            </w:r>
          </w:p>
        </w:tc>
        <w:tc>
          <w:tcPr>
            <w:tcW w:w="700"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322</w:t>
            </w:r>
          </w:p>
        </w:tc>
        <w:tc>
          <w:tcPr>
            <w:tcW w:w="1244"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享有职业培训及参与学术活动权</w:t>
            </w:r>
          </w:p>
        </w:tc>
        <w:tc>
          <w:tcPr>
            <w:tcW w:w="700"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398</w:t>
            </w:r>
          </w:p>
        </w:tc>
        <w:tc>
          <w:tcPr>
            <w:tcW w:w="1244"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法定节假日休息权</w:t>
            </w:r>
          </w:p>
        </w:tc>
        <w:tc>
          <w:tcPr>
            <w:tcW w:w="700"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401</w:t>
            </w:r>
          </w:p>
        </w:tc>
        <w:tc>
          <w:tcPr>
            <w:tcW w:w="1244"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依法接受法律监督</w:t>
            </w:r>
          </w:p>
        </w:tc>
        <w:tc>
          <w:tcPr>
            <w:tcW w:w="700"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415</w:t>
            </w:r>
          </w:p>
        </w:tc>
        <w:tc>
          <w:tcPr>
            <w:tcW w:w="1244"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98.1%</w:t>
            </w:r>
          </w:p>
        </w:tc>
      </w:tr>
    </w:tbl>
    <w:p>
      <w:pPr>
        <w:numPr>
          <w:ilvl w:val="0"/>
          <w:numId w:val="0"/>
        </w:numPr>
        <w:ind w:firstLine="0" w:firstLineChars="200"/>
        <w:rPr>
          <w:rFonts w:hint="eastAsia"/>
          <w:sz w:val="28"/>
          <w:szCs w:val="28"/>
          <w:lang w:val="en-US" w:eastAsia="zh-CN"/>
        </w:rPr>
      </w:pPr>
      <w:r>
        <w:rPr>
          <w:rFonts w:hint="eastAsia"/>
          <w:sz w:val="28"/>
          <w:szCs w:val="28"/>
          <w:lang w:val="en-US" w:eastAsia="zh-CN"/>
        </w:rPr>
        <w:t>从员额制法官的问卷调查表明，法官特别期待拥有独立审判案件、领导法官助理工作、领导书记员工作、获得优厚报酬、本人和近亲属人身及财产受到特别保护、享有司法豁免、享有职业培训及参与学术活动、法定节假日休息的权利，同时也乐意和自觉接受法律监督。同时还补证了一个实证问题，即在上文中，对于书记员和法官助理行使抽象的管理权时，法官是选择自己？还是选择法院组织部门？比较纠结的相当部分法官，在明确具体的审判管理工作面前，由纠结反对转化为赞同法官自己来行使对书记员及法官助理的管理权，所占法官比例达到了法官80%以上的绝大多数。</w:t>
      </w:r>
    </w:p>
    <w:p>
      <w:pPr>
        <w:numPr>
          <w:ilvl w:val="0"/>
          <w:numId w:val="0"/>
        </w:numPr>
        <w:ind w:firstLine="0" w:firstLineChars="200"/>
        <w:rPr>
          <w:rFonts w:hint="eastAsia"/>
          <w:sz w:val="28"/>
          <w:szCs w:val="28"/>
          <w:lang w:val="en-US" w:eastAsia="zh-CN"/>
        </w:rPr>
      </w:pPr>
      <w:r>
        <w:rPr>
          <w:rFonts w:hint="eastAsia"/>
          <w:sz w:val="28"/>
          <w:szCs w:val="28"/>
          <w:lang w:val="en-US" w:eastAsia="zh-CN"/>
        </w:rPr>
        <w:t xml:space="preserve">   2、法官助理在具体的职责面前，对法官权力的认识由情绪化转变为理性化。见法官助理职责调查表（表四）。</w:t>
      </w:r>
    </w:p>
    <w:p>
      <w:pPr>
        <w:ind w:firstLine="0" w:firstLineChars="200"/>
        <w:rPr>
          <w:rFonts w:hint="eastAsia" w:ascii="黑体" w:hAnsi="黑体" w:eastAsia="黑体" w:cs="黑体"/>
          <w:sz w:val="30"/>
          <w:szCs w:val="30"/>
          <w:lang w:val="en-US" w:eastAsia="zh-CN"/>
        </w:rPr>
      </w:pPr>
    </w:p>
    <w:p>
      <w:pP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 xml:space="preserve">       表四</w:t>
      </w:r>
    </w:p>
    <w:p>
      <w:pPr>
        <w:rPr>
          <w:rFonts w:hint="eastAsia" w:ascii="黑体" w:hAnsi="黑体" w:eastAsia="黑体" w:cs="黑体"/>
          <w:sz w:val="30"/>
          <w:szCs w:val="30"/>
          <w:lang w:val="en-US" w:eastAsia="zh-CN"/>
        </w:rPr>
      </w:pPr>
    </w:p>
    <w:tbl>
      <w:tblPr>
        <w:tblStyle w:val="6"/>
        <w:tblW w:w="5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8"/>
        <w:gridCol w:w="1007"/>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3408" w:type="dxa"/>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rPr>
                <w:rFonts w:hint="eastAsia" w:ascii="黑体" w:hAnsi="黑体" w:eastAsia="黑体" w:cs="黑体"/>
                <w:sz w:val="30"/>
                <w:szCs w:val="30"/>
                <w:vertAlign w:val="baseline"/>
                <w:lang w:val="en-US" w:eastAsia="zh-CN"/>
              </w:rPr>
            </w:pPr>
          </w:p>
          <w:p>
            <w:pPr>
              <w:snapToGrid w:val="0"/>
              <w:spacing w:line="240" w:lineRule="auto"/>
              <mc:AlternateContent>
                <mc:Choice Requires="wpsCustomData">
                  <wpsCustomData:diagonalParaType/>
                </mc:Choice>
              </mc:AlternateContent>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法官助理该当的义务内容</w:t>
            </w:r>
          </w:p>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被问卷对象</w:t>
            </w:r>
          </w:p>
        </w:tc>
        <w:tc>
          <w:tcPr>
            <w:tcW w:w="100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法官助理</w:t>
            </w:r>
          </w:p>
        </w:tc>
        <w:tc>
          <w:tcPr>
            <w:tcW w:w="151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占法官助理参与问卷人数365人的百分比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接受法官领导</w:t>
            </w:r>
          </w:p>
        </w:tc>
        <w:tc>
          <w:tcPr>
            <w:tcW w:w="100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264</w:t>
            </w:r>
          </w:p>
        </w:tc>
        <w:tc>
          <w:tcPr>
            <w:tcW w:w="151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协助法官开展庭审工作</w:t>
            </w:r>
          </w:p>
        </w:tc>
        <w:tc>
          <w:tcPr>
            <w:tcW w:w="100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296</w:t>
            </w:r>
          </w:p>
        </w:tc>
        <w:tc>
          <w:tcPr>
            <w:tcW w:w="151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受法官委托监督书记员工作</w:t>
            </w:r>
          </w:p>
        </w:tc>
        <w:tc>
          <w:tcPr>
            <w:tcW w:w="100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181</w:t>
            </w:r>
          </w:p>
        </w:tc>
        <w:tc>
          <w:tcPr>
            <w:tcW w:w="151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受法官委托组织调解案件</w:t>
            </w:r>
          </w:p>
        </w:tc>
        <w:tc>
          <w:tcPr>
            <w:tcW w:w="100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250</w:t>
            </w:r>
          </w:p>
        </w:tc>
        <w:tc>
          <w:tcPr>
            <w:tcW w:w="151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根据法官或者合议庭意见草拟裁判文书</w:t>
            </w:r>
          </w:p>
        </w:tc>
        <w:tc>
          <w:tcPr>
            <w:tcW w:w="100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247</w:t>
            </w:r>
          </w:p>
        </w:tc>
        <w:tc>
          <w:tcPr>
            <w:tcW w:w="151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代理法官协调与其他辅助人员工作</w:t>
            </w:r>
          </w:p>
        </w:tc>
        <w:tc>
          <w:tcPr>
            <w:tcW w:w="100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218</w:t>
            </w:r>
          </w:p>
        </w:tc>
        <w:tc>
          <w:tcPr>
            <w:tcW w:w="151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草拟审理报告</w:t>
            </w:r>
          </w:p>
        </w:tc>
        <w:tc>
          <w:tcPr>
            <w:tcW w:w="100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236</w:t>
            </w:r>
          </w:p>
        </w:tc>
        <w:tc>
          <w:tcPr>
            <w:tcW w:w="151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3408" w:type="dxa"/>
          </w:tcPr>
          <w:p>
            <w:pPr>
              <w:rPr>
                <w:rFonts w:hint="eastAsia" w:ascii="黑体" w:hAnsi="黑体" w:eastAsia="黑体" w:cs="黑体"/>
                <w:sz w:val="30"/>
                <w:szCs w:val="30"/>
                <w:vertAlign w:val="baseline"/>
                <w:lang w:val="en-US" w:eastAsia="zh-CN"/>
              </w:rPr>
            </w:pPr>
            <w:r>
              <w:rPr>
                <w:rFonts w:hint="eastAsia" w:ascii="黑体" w:hAnsi="黑体" w:eastAsia="黑体" w:cs="黑体"/>
                <w:sz w:val="21"/>
                <w:szCs w:val="21"/>
                <w:vertAlign w:val="baseline"/>
                <w:lang w:val="en-US" w:eastAsia="zh-CN"/>
              </w:rPr>
              <w:t>配合书记员校核法律文书</w:t>
            </w:r>
          </w:p>
        </w:tc>
        <w:tc>
          <w:tcPr>
            <w:tcW w:w="100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237</w:t>
            </w:r>
          </w:p>
        </w:tc>
        <w:tc>
          <w:tcPr>
            <w:tcW w:w="151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3408" w:type="dxa"/>
          </w:tcPr>
          <w:p>
            <w:pPr>
              <w:rPr>
                <w:rFonts w:hint="eastAsia" w:ascii="黑体" w:hAnsi="黑体" w:eastAsia="黑体" w:cs="黑体"/>
                <w:sz w:val="30"/>
                <w:szCs w:val="30"/>
                <w:vertAlign w:val="baseline"/>
                <w:lang w:val="en-US" w:eastAsia="zh-CN"/>
              </w:rPr>
            </w:pPr>
            <w:r>
              <w:rPr>
                <w:rFonts w:hint="eastAsia" w:ascii="黑体" w:hAnsi="黑体" w:eastAsia="黑体" w:cs="黑体"/>
                <w:sz w:val="21"/>
                <w:szCs w:val="21"/>
                <w:vertAlign w:val="baseline"/>
                <w:lang w:val="en-US" w:eastAsia="zh-CN"/>
              </w:rPr>
              <w:t>完成法官交办的其他工作</w:t>
            </w:r>
          </w:p>
        </w:tc>
        <w:tc>
          <w:tcPr>
            <w:tcW w:w="100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245</w:t>
            </w:r>
          </w:p>
        </w:tc>
        <w:tc>
          <w:tcPr>
            <w:tcW w:w="151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67.1%</w:t>
            </w:r>
          </w:p>
        </w:tc>
      </w:tr>
    </w:tbl>
    <w:p>
      <w:pPr>
        <w:numPr>
          <w:ilvl w:val="0"/>
          <w:numId w:val="0"/>
        </w:numPr>
        <w:rPr>
          <w:rFonts w:hint="eastAsia"/>
          <w:sz w:val="28"/>
          <w:szCs w:val="28"/>
          <w:lang w:val="en-US" w:eastAsia="zh-CN"/>
        </w:rPr>
      </w:pPr>
    </w:p>
    <w:p>
      <w:pPr>
        <w:numPr>
          <w:ilvl w:val="0"/>
          <w:numId w:val="0"/>
        </w:numPr>
        <w:ind w:firstLine="0" w:firstLineChars="200"/>
        <w:rPr>
          <w:rFonts w:hint="eastAsia"/>
          <w:sz w:val="28"/>
          <w:szCs w:val="28"/>
          <w:lang w:val="en-US" w:eastAsia="zh-CN"/>
        </w:rPr>
      </w:pPr>
      <w:r>
        <w:rPr>
          <w:rFonts w:hint="eastAsia"/>
          <w:sz w:val="28"/>
          <w:szCs w:val="28"/>
          <w:lang w:val="en-US" w:eastAsia="zh-CN"/>
        </w:rPr>
        <w:t>对于法官助理究竟有些什么职责，我们通过问卷的形式继续进行了调查，调查情况如上表，从表中可以清楚地看出，法官助理态度的转变情况，在表二中仅84人赞同法官对法官助理行使管理权，占参与被问卷法官助理人数365人的23%，现增加到72.3%，其原因除上文中分析的原因外，应当还有一个原因，就是法官助理在认识自己应当干的工作即职责上，法官管理自己是其工作需要，情绪化的反对后就是理性对待，接受司法改革的现实，因此从多数反对到多数赞同法官行使对自己的管理权。法官助理心里在理性化为自己定位后，清楚了自己的职责范围：协助法官开展庭审工作，是法官助理设置的第一要义，法官的工作就是以审判为中心展开的，需要协助的工作主要内容就在其中，因此得到绝大多数法官助理的赞同。受法官委托监督书记员工作，相对来说赞同要比前者少，但过半数仍然赞同。受法官委托组织调解案件，这是对协助法官审判工作的具体展开，因此也得到多数法官助理的赞同。根据法官或者合议庭意见草拟裁判文书，法官裁判案件的主要体现就是制作裁判文书，其应有的职责属于法官，但是在大量案件面前，法官力不从心，只能将裁判文书形式要件部分，如部首部分或者格式化部分交由法官助理完成，以此节省时间，同时对于事实认定和裁判理由部分，法官可以通过口述等形式指导法官助理来完成初稿，最后由自己精心修改完成定稿，后签发交书记员打印发送当事人，因为其具有合理性，因此也得到了法官助理过2/3的认同。代理法官协调与其他辅助人员工作、草拟审理报告、配合书记员校核法律文书、完成法官交办的其他工作，这些需要法官助理完成的职责事项内容都得到法官助理过半数人的赞同。</w:t>
      </w:r>
    </w:p>
    <w:p>
      <w:pPr>
        <w:numPr>
          <w:ilvl w:val="0"/>
          <w:numId w:val="0"/>
        </w:numPr>
        <w:ind w:firstLine="0" w:firstLineChars="200"/>
        <w:rPr>
          <w:rFonts w:hint="eastAsia"/>
          <w:sz w:val="28"/>
          <w:szCs w:val="28"/>
          <w:lang w:val="en-US" w:eastAsia="zh-CN"/>
        </w:rPr>
      </w:pPr>
      <w:r>
        <w:rPr>
          <w:rFonts w:hint="eastAsia"/>
          <w:sz w:val="28"/>
          <w:szCs w:val="28"/>
          <w:lang w:val="en-US" w:eastAsia="zh-CN"/>
        </w:rPr>
        <w:t>对于法官助理的职责内容，从制度的规范意义上说，是法官助理的义务，从义务的反向说，却是法官的权力内容。</w:t>
      </w:r>
    </w:p>
    <w:p>
      <w:pPr>
        <w:numPr>
          <w:ilvl w:val="0"/>
          <w:numId w:val="0"/>
        </w:numPr>
        <w:ind w:firstLine="0" w:firstLineChars="200"/>
        <w:rPr>
          <w:rFonts w:hint="eastAsia" w:ascii="宋体" w:hAnsi="宋体" w:eastAsia="宋体" w:cs="宋体"/>
          <w:sz w:val="28"/>
          <w:szCs w:val="28"/>
          <w:lang w:val="en-US" w:eastAsia="zh-CN"/>
        </w:rPr>
      </w:pPr>
      <w:r>
        <w:rPr>
          <w:rFonts w:hint="eastAsia"/>
          <w:sz w:val="28"/>
          <w:szCs w:val="28"/>
          <w:lang w:val="en-US" w:eastAsia="zh-CN"/>
        </w:rPr>
        <w:t>综上所述，问卷调查从法官抽象的权力为逻辑起点到法官具体权力内容的过程展开与深入，法官对于自己行使对法官助理和书记员的管理权渐渐从主要两种分歧：“法官行使”、“法院组织部门行使”到基本趋于绝大多数赞同法官对法官助理和书记员行使管理权意见。法官助理也由于具体工作职责的明确，从多数反对到多数赞同法官对自己及书记员行使管理权，这一渐渐的发展变化，产生一种结果：赞同法官行使对法官助理和书记员行使管理权成了法院主要群体的多数，这一点从表一、表二、表三的百分比的叠加会看得更为清晰，赞同法官对法官助理行使管理权占整个参与被调查群体的百分比：｛</w:t>
      </w:r>
      <w:r>
        <w:rPr>
          <w:rFonts w:hint="eastAsia" w:ascii="宋体" w:hAnsi="宋体" w:eastAsia="宋体" w:cs="宋体"/>
          <w:sz w:val="28"/>
          <w:szCs w:val="28"/>
          <w:lang w:val="en-US" w:eastAsia="zh-CN"/>
        </w:rPr>
        <w:t>[</w:t>
      </w:r>
      <w:r>
        <w:rPr>
          <w:rFonts w:hint="eastAsia"/>
          <w:sz w:val="28"/>
          <w:szCs w:val="28"/>
          <w:lang w:val="en-US" w:eastAsia="zh-CN"/>
        </w:rPr>
        <w:t>85.8%（法官）+73.3%(法官助理）+32.2%（112/348书记员）｝</w:t>
      </w:r>
      <w:r>
        <w:rPr>
          <w:rFonts w:hint="eastAsia" w:ascii="黑体" w:hAnsi="黑体" w:eastAsia="黑体" w:cs="黑体"/>
          <w:sz w:val="28"/>
          <w:szCs w:val="28"/>
          <w:lang w:val="en-US" w:eastAsia="zh-CN"/>
        </w:rPr>
        <w:t>÷3=63.8%；</w:t>
      </w:r>
      <w:r>
        <w:rPr>
          <w:rFonts w:hint="eastAsia"/>
          <w:sz w:val="28"/>
          <w:szCs w:val="28"/>
          <w:lang w:val="en-US" w:eastAsia="zh-CN"/>
        </w:rPr>
        <w:t>赞同法官对书记员行使管理权占整个参与被调查群体的百分比：｛</w:t>
      </w:r>
      <w:r>
        <w:rPr>
          <w:rFonts w:hint="eastAsia" w:ascii="宋体" w:hAnsi="宋体" w:eastAsia="宋体" w:cs="宋体"/>
          <w:sz w:val="28"/>
          <w:szCs w:val="28"/>
          <w:lang w:val="en-US" w:eastAsia="zh-CN"/>
        </w:rPr>
        <w:t>[</w:t>
      </w:r>
      <w:r>
        <w:rPr>
          <w:rFonts w:hint="eastAsia"/>
          <w:sz w:val="28"/>
          <w:szCs w:val="28"/>
          <w:lang w:val="en-US" w:eastAsia="zh-CN"/>
        </w:rPr>
        <w:t>84.6%（法官）+50%(法官助理）+32.8%（114/348书记员）｝</w:t>
      </w:r>
      <w:r>
        <w:rPr>
          <w:rFonts w:hint="eastAsia" w:ascii="黑体" w:hAnsi="黑体" w:eastAsia="黑体" w:cs="黑体"/>
          <w:sz w:val="28"/>
          <w:szCs w:val="28"/>
          <w:lang w:val="en-US" w:eastAsia="zh-CN"/>
        </w:rPr>
        <w:t>÷3=.55.8%。</w:t>
      </w:r>
      <w:r>
        <w:rPr>
          <w:rFonts w:hint="eastAsia" w:ascii="宋体" w:hAnsi="宋体" w:eastAsia="宋体" w:cs="宋体"/>
          <w:sz w:val="28"/>
          <w:szCs w:val="28"/>
          <w:lang w:val="en-US" w:eastAsia="zh-CN"/>
        </w:rPr>
        <w:t>法官的权利清单实证的结果是：</w:t>
      </w:r>
      <w:r>
        <w:rPr>
          <w:rFonts w:hint="eastAsia"/>
          <w:sz w:val="28"/>
          <w:szCs w:val="28"/>
          <w:lang w:val="en-US" w:eastAsia="zh-CN"/>
        </w:rPr>
        <w:t>领导法官助理工作、领导书记员工作、获得优厚报酬、本人和近亲属人身及财产受到特别保护、享有司法豁免、享有职业培训及参与学术活动、法定节假日休息的权利。法官与法官助理及书记员的关系不是横向之间的协调关系，而是纵向上管理与被管理关系。</w:t>
      </w:r>
    </w:p>
    <w:p>
      <w:pPr>
        <w:numPr>
          <w:ilvl w:val="0"/>
          <w:numId w:val="0"/>
        </w:numPr>
        <w:ind w:firstLine="0" w:firstLineChars="200"/>
        <w:rPr>
          <w:rFonts w:hint="eastAsia"/>
          <w:sz w:val="28"/>
          <w:szCs w:val="28"/>
          <w:lang w:val="en-US" w:eastAsia="zh-CN"/>
        </w:rPr>
      </w:pPr>
      <w:r>
        <w:rPr>
          <w:rFonts w:hint="eastAsia"/>
          <w:sz w:val="28"/>
          <w:szCs w:val="28"/>
          <w:lang w:val="en-US" w:eastAsia="zh-CN"/>
        </w:rPr>
        <w:t>虽然这里选择的实证群体有其局限性，仅仅选择了法院主要构成群体作为问卷对象，问卷内容也有一定的局限性，但是却能够代表他们的意见，并且这个群体至始至终却是司法改革的践行者，这个群体内部的关系调整制度能否适合，他们具有相当重要的话语权，制度能否执行到位，他们的意志因素具有决定性作用。因此作为法院群体司法改革员额制的后续制度安排——法官、法官助理、书记员的新型关系制度构建时，制度的顶层设计者应当吸收他们的意见。对于以上实证的结果，本课题组还将用比较法和历史法进行更进一步论证。</w:t>
      </w:r>
    </w:p>
    <w:p>
      <w:pPr>
        <w:numPr>
          <w:ilvl w:val="0"/>
          <w:numId w:val="0"/>
        </w:numPr>
        <w:rPr>
          <w:rFonts w:hint="eastAsia"/>
          <w:sz w:val="28"/>
          <w:szCs w:val="28"/>
          <w:lang w:val="en-US" w:eastAsia="zh-CN"/>
        </w:rPr>
      </w:pPr>
    </w:p>
    <w:p>
      <w:pPr>
        <w:numPr>
          <w:ilvl w:val="0"/>
          <w:numId w:val="0"/>
        </w:numPr>
        <w:ind w:firstLine="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四、审判权运行逻辑：法官权力清单嵌入运行的范式论证。</w:t>
      </w:r>
    </w:p>
    <w:p>
      <w:pPr>
        <w:numPr>
          <w:ilvl w:val="0"/>
          <w:numId w:val="3"/>
        </w:numPr>
        <w:ind w:firstLine="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法官权力畅通运行的理论问题。法官权力的核心是审判权，审判权是权力中的一种，理清审判权，首先有必要理清权力本身这个概念。“权力是指在某种社会关系中，一方社会主体作为权力拥有者促使另外一方社会主体作为对象服从前者意志的力量。权力意味着权力主体行动自由，也意味着权力对象受到制约。”</w:t>
      </w:r>
      <w:r>
        <w:rPr>
          <w:rStyle w:val="4"/>
          <w:rFonts w:hint="eastAsia" w:asciiTheme="majorEastAsia" w:hAnsiTheme="majorEastAsia" w:eastAsiaTheme="majorEastAsia" w:cstheme="majorEastAsia"/>
          <w:sz w:val="28"/>
          <w:szCs w:val="28"/>
          <w:lang w:eastAsia="zh-CN"/>
        </w:rPr>
        <w:footnoteReference w:id="28"/>
      </w:r>
      <w:r>
        <w:rPr>
          <w:rFonts w:hint="eastAsia" w:asciiTheme="majorEastAsia" w:hAnsiTheme="majorEastAsia" w:eastAsiaTheme="majorEastAsia" w:cstheme="majorEastAsia"/>
          <w:sz w:val="28"/>
          <w:szCs w:val="28"/>
          <w:lang w:eastAsia="zh-CN"/>
        </w:rPr>
        <w:t>，权力其外在表现为权力主体依赖某种权力资源使权力对象服从权力主体意志的活动；其内在表现为在特定关系与情势约束下发挥作用的力量。权力与权利的区别是前者是中性的概念，后者强调的是正当性，对某种正当利益的获得与控制。两者的联系是权力关系可以转化为权利关系。所以有学者认为“权利就是被认为正当的权力。”</w:t>
      </w:r>
      <w:r>
        <w:rPr>
          <w:rStyle w:val="4"/>
          <w:rFonts w:hint="eastAsia" w:asciiTheme="majorEastAsia" w:hAnsiTheme="majorEastAsia" w:eastAsiaTheme="majorEastAsia" w:cstheme="majorEastAsia"/>
          <w:sz w:val="28"/>
          <w:szCs w:val="28"/>
          <w:lang w:eastAsia="zh-CN"/>
        </w:rPr>
        <w:footnoteReference w:id="29"/>
      </w:r>
      <w:r>
        <w:rPr>
          <w:rFonts w:hint="eastAsia" w:asciiTheme="majorEastAsia" w:hAnsiTheme="majorEastAsia" w:eastAsiaTheme="majorEastAsia" w:cstheme="majorEastAsia"/>
          <w:sz w:val="28"/>
          <w:szCs w:val="28"/>
          <w:lang w:eastAsia="zh-CN"/>
        </w:rPr>
        <w:t>。定义了权力，就不难定义审判权。从动态上看，审判权的存在是以实体上和程序上存在法律关系为前提的，仅有实体上的法律关系，没有当事人的违法犯罪和纠纷发生，也不能产生动态的审判权，因此纠纷发生或者违法犯罪的事实发生也是审判权动态产生的条件。纠纷发生或者违法犯罪事实发生后，作为法官主体（包括法官集合主体合议庭、审委会）针对其他主体——当事人和诉讼参与人就产生了一种控制的力量，这个力量的意志来源法律，其产生的权力就是审判权。审判权由两部分构成一是事实判断权，二是程序和实体问题的结论决定权，“审判权的内容——认定事实，适用法律”</w:t>
      </w:r>
      <w:r>
        <w:rPr>
          <w:rStyle w:val="4"/>
          <w:rFonts w:hint="eastAsia" w:asciiTheme="majorEastAsia" w:hAnsiTheme="majorEastAsia" w:eastAsiaTheme="majorEastAsia" w:cstheme="majorEastAsia"/>
          <w:sz w:val="28"/>
          <w:szCs w:val="28"/>
          <w:lang w:eastAsia="zh-CN"/>
        </w:rPr>
        <w:footnoteReference w:id="30"/>
      </w:r>
      <w:r>
        <w:rPr>
          <w:rFonts w:hint="eastAsia" w:asciiTheme="majorEastAsia" w:hAnsiTheme="majorEastAsia" w:eastAsiaTheme="majorEastAsia" w:cstheme="majorEastAsia"/>
          <w:sz w:val="28"/>
          <w:szCs w:val="28"/>
          <w:lang w:eastAsia="zh-CN"/>
        </w:rPr>
        <w:t>，审判权是司法的核心权力。审判权的运行目标是化解诉讼纠纷，实现司法公平正义，从而推动社会在法治轨道上运行。审判权的科学理性运行，应当是符合司法规律的运行，这个规律就是在审判的各种各样阶段，法官至始至终亲力亲为案件，独立判断事实，独立依法裁判，不受任何行政机关及来自于其他社会组织和个人的干扰。为此为了保障法官依法独立行使审判权，就相应需要针对审判权科学合理运行的保障体系，随着保障体系的建立，就产生两种再生的权力体系，我们可以称为二级权力体系，这个二级权力体系，分为两个向度，一是审判管理权，对于审判管理权，从事司法理论研究工作多年的胡云藤教授有过论述，“审判管理权从属于审判权，因为其具有管理职能形成对审判权的监督制约，因而具有服务和制约审判权的双重功能”</w:t>
      </w:r>
      <w:r>
        <w:rPr>
          <w:rStyle w:val="4"/>
          <w:rFonts w:hint="eastAsia" w:asciiTheme="majorEastAsia" w:hAnsiTheme="majorEastAsia" w:eastAsiaTheme="majorEastAsia" w:cstheme="majorEastAsia"/>
          <w:sz w:val="28"/>
          <w:szCs w:val="28"/>
          <w:lang w:eastAsia="zh-CN"/>
        </w:rPr>
        <w:footnoteReference w:id="31"/>
      </w:r>
      <w:r>
        <w:rPr>
          <w:rFonts w:hint="eastAsia" w:asciiTheme="majorEastAsia" w:hAnsiTheme="majorEastAsia" w:eastAsiaTheme="majorEastAsia" w:cstheme="majorEastAsia"/>
          <w:sz w:val="28"/>
          <w:szCs w:val="28"/>
          <w:lang w:eastAsia="zh-CN"/>
        </w:rPr>
        <w:t>；二是司法行政管理权，司法行政管理主要是从事法院行政事务性质的管理，如财务管理，人事管理等政务管理，其之所以存在仍然是以审判权的存在为依托，其派生后服务于审判权，为审判权正常运行提供人财物保障。审判管理权应当由谁行使？司法行政管理权又应当由谁行使呢？目前的困难就是没有解决好两种权力行使的主体问题，以至在制度体系上，把两种权力合二为一，变成一种权力——司法行政权，这种混同导致审判权被异化，异化的结果是“审者不判，判者不审”，大部分错案就因此而产生，错案产生后又无法追究责任人，日复一日，恶性循环，司法公信力受到严重伤害。最高法院的多次司法改革就是围绕解决这个问题展开，回归“由审理者裁判，由裁判者负责”这个符合司法规律的权力体系上，因此应当将作为保障审判权独立行使的二级权力系统，进行理论上和制度上的分离与重构。以下就二级权力系统的构建问题进行必要的论证。</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1、审判管理权应当属于法官。</w:t>
      </w:r>
    </w:p>
    <w:p>
      <w:pPr>
        <w:numPr>
          <w:ilvl w:val="0"/>
          <w:numId w:val="0"/>
        </w:numPr>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sz w:val="28"/>
          <w:szCs w:val="28"/>
          <w:lang w:val="en-US" w:eastAsia="zh-CN"/>
        </w:rPr>
        <w:t>审判管理有广义和狭义之分，前者的管理内容宽泛，是指人民法院中的管理者为了实现管理目标，对审判活动进行计划、组织、领导、控制和创新活动的总称。</w:t>
      </w:r>
      <w:r>
        <w:rPr>
          <w:rStyle w:val="4"/>
          <w:rFonts w:hint="eastAsia" w:asciiTheme="majorEastAsia" w:hAnsiTheme="majorEastAsia" w:eastAsiaTheme="majorEastAsia" w:cstheme="majorEastAsia"/>
          <w:sz w:val="28"/>
          <w:szCs w:val="28"/>
          <w:lang w:val="en-US" w:eastAsia="zh-CN"/>
        </w:rPr>
        <w:footnoteReference w:id="32"/>
      </w:r>
      <w:r>
        <w:rPr>
          <w:rFonts w:hint="eastAsia" w:asciiTheme="majorEastAsia" w:hAnsiTheme="majorEastAsia" w:eastAsiaTheme="majorEastAsia" w:cstheme="majorEastAsia"/>
          <w:sz w:val="28"/>
          <w:szCs w:val="28"/>
          <w:lang w:val="en-US" w:eastAsia="zh-CN"/>
        </w:rPr>
        <w:t>后者是指对审判业务的管理，</w:t>
      </w:r>
      <w:r>
        <w:rPr>
          <w:rStyle w:val="4"/>
          <w:rFonts w:hint="eastAsia" w:asciiTheme="majorEastAsia" w:hAnsiTheme="majorEastAsia" w:eastAsiaTheme="majorEastAsia" w:cstheme="majorEastAsia"/>
          <w:sz w:val="28"/>
          <w:szCs w:val="28"/>
          <w:lang w:val="en-US" w:eastAsia="zh-CN"/>
        </w:rPr>
        <w:footnoteReference w:id="33"/>
      </w:r>
      <w:r>
        <w:rPr>
          <w:rFonts w:hint="eastAsia" w:asciiTheme="majorEastAsia" w:hAnsiTheme="majorEastAsia" w:eastAsiaTheme="majorEastAsia" w:cstheme="majorEastAsia"/>
          <w:sz w:val="28"/>
          <w:szCs w:val="28"/>
          <w:lang w:val="en-US" w:eastAsia="zh-CN"/>
        </w:rPr>
        <w:t>广义的审判管理包括业务管理、政务管理、人事管理，狭义的审判管理主要指审判业务的管理。审判管理是审判与管理的融合，兼有判断与行政属性，是有限判断，有限行政。有限行政是实现判断这一审判权的手段，目的是保障审判权独立运行。因此审判管理权是审判权再生的权力，是为审判权有效，正当行使服务的权力，</w:t>
      </w:r>
      <w:r>
        <w:rPr>
          <w:rFonts w:hint="eastAsia" w:asciiTheme="majorEastAsia" w:hAnsiTheme="majorEastAsia" w:eastAsiaTheme="majorEastAsia" w:cstheme="majorEastAsia"/>
          <w:color w:val="auto"/>
          <w:sz w:val="28"/>
          <w:szCs w:val="28"/>
          <w:lang w:val="en-US" w:eastAsia="zh-CN"/>
        </w:rPr>
        <w:t>没有审判权就不存在审判管理权。</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狭义的审判管理权行使的主要主体应当是法官。法治的基本要求是有良好的法律，并且法律被普遍遵守和执行。我国治国的基本方略就是推行法治。法律被普遍遵守和执行，对于法律被普遍遵守而言，有自觉遵守，与被动遵守之分，前者主要指公民、行政机关、其他组织的自觉遵守，被动遵守指通过司法和行政执法活动，调整矫正不适法的行为。为此立法、行政、司法是法治实现的三架马车，相对独立运行，而又互相监督。司法运行的相对独立，主要体现就是由司法机关中的侦查机关、检察机关、审判机关独立行使侦查权、检察权、审判权。审判机关是否独立行使审判权因此成为判断法治化程度的主要标志之一。法院独立行使审判权，是通过法官独立审判案件实现的，由此法官是否独立行使审判权，又成了法院独立行使审判权的主要标志。审判权是如何独立行使的呢？必须从审判权的动态运行进行考察。从法院的行政、刑事、民事三大审判的程序运行，不难寻找其共同规律，审判是庭审为中心展开的，庭审前的程序称为准备程序，或者说预备程序，这个阶段的工作主要是起诉书的审查、送达、诉讼权利义务的告知、开庭时间的确定、公告等工作，紧接着的就是开庭审理，这是中心阶段，后就是最后裁判工作，裁判由全面审查证据认定案件事实，确定法律关系性质，查找适用的法律，拟制裁判文书，宣判及送达裁判文书，这三个阶段构成了审判活动的全部内容。这三个阶段工作内容的完成，都是法官亲自完成或者部分工作在其领导、指导、监督下由书记员和法官助理完成的，因此法官是审判的行为者和主导者，是审判权的独立行使主体。法官在行使审判权的过程中，对书记员及法官助理事务性工作的领导、指导、监督成了保障审判权实现的必要工作，也正是法官的这一“领导、指导、监督”产生了审判管理权，由此看来法官也是审判管理权的行使主体。之所以如此，我们还可以从权力本身来解读这个问题。“所有权力的一个基本前提是，与掌握权力的他人选择相关存在的不确定性。不管由于什么原因，他人自己支配的不止一种选择。当他实施自己的选择时，他可以产生与排除他伙伴方的不确定性。”，</w:t>
      </w:r>
      <w:r>
        <w:rPr>
          <w:rStyle w:val="4"/>
          <w:rFonts w:hint="eastAsia" w:asciiTheme="majorEastAsia" w:hAnsiTheme="majorEastAsia" w:eastAsiaTheme="majorEastAsia" w:cstheme="majorEastAsia"/>
          <w:sz w:val="28"/>
          <w:szCs w:val="28"/>
          <w:lang w:val="en-US" w:eastAsia="zh-CN"/>
        </w:rPr>
        <w:footnoteReference w:id="34"/>
      </w:r>
      <w:r>
        <w:rPr>
          <w:rFonts w:hint="eastAsia" w:asciiTheme="majorEastAsia" w:hAnsiTheme="majorEastAsia" w:eastAsiaTheme="majorEastAsia" w:cstheme="majorEastAsia"/>
          <w:sz w:val="28"/>
          <w:szCs w:val="28"/>
          <w:lang w:val="en-US" w:eastAsia="zh-CN"/>
        </w:rPr>
        <w:t>审判权及审判管理权属于权力，当然拥有这一权力特征，上面对审判活动不同阶段的考察，清楚地看出，每一个阶段的事务安排，都是法官依照程序法的规定，进行选择和排除进行的，法官自然应当是审判权及审判管理权的掌握者。</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2、审判行政管理权属于相关组织。在上面论及审判权和审判管理权时，有另外一个相关的权力没有提及，这个权力就是审判行政管理权，这个权力体系非常完善，有一个金字塔似的权力结构体系，最上层是代表最高领导层的中央，其常设机关就是中央政法委员会，以下各地方是各级政法委员会，领导司法机关的工作，分工不同的司法机关有党委或者党组，各机关还内设有庭、处、所、办公室等机构，这些组织在人财物上进行着领导与控制，也进行一些事务性的管理工作，如拟定管理目标与分配工作任务，由于历史和体制的原因，与审判管理权产生了交叉与混同，以至于很多人就此认为这就是审判管理权，其实这是一种因权力界限不明产生的误读，没有沥清这种权力的本质属性，其实以上机关或者机构的权力，应当是司法行政管理权。对于具体的审判机关而言，就是审判行政管理权。审判行政管理权是制指人民法院为了保证审判工作的顺利进行，对审判行政事务性工作进行的计划、组织、领导、控制和创新的活动。</w:t>
      </w:r>
      <w:r>
        <w:rPr>
          <w:rStyle w:val="4"/>
          <w:rFonts w:hint="eastAsia" w:asciiTheme="majorEastAsia" w:hAnsiTheme="majorEastAsia" w:eastAsiaTheme="majorEastAsia" w:cstheme="majorEastAsia"/>
          <w:sz w:val="28"/>
          <w:szCs w:val="28"/>
          <w:lang w:val="en-US" w:eastAsia="zh-CN"/>
        </w:rPr>
        <w:footnoteReference w:id="35"/>
      </w:r>
      <w:r>
        <w:rPr>
          <w:rFonts w:hint="eastAsia" w:asciiTheme="majorEastAsia" w:hAnsiTheme="majorEastAsia" w:eastAsiaTheme="majorEastAsia" w:cstheme="majorEastAsia"/>
          <w:sz w:val="28"/>
          <w:szCs w:val="28"/>
          <w:lang w:val="en-US" w:eastAsia="zh-CN"/>
        </w:rPr>
        <w:t>在审判机关，辅助审判工作很多，管理工作相对也较多，主要有人事管理、财务管理、档案管理、文件管理、会议管理等，审判行政管理权的行使主体是科层结构组成的院长、副院长、庭长、副庭长、主任等，管理的方式主要是通过法律、指示、命令来实现的。其特点是服务性，政策性，强制性，服务性是指审判行政管理是为审判权及审判管理权正当行使服务的；政策性指管理是按照中央和上级法院文件精神进行的；强制性是指享有审判行政管理权的人员按照权力等级大小，服从上级指示、命令，执行拟定任务。因此审判行政管理权与审判权及审判管理权的区别是明显的，一是权力享有的主体不同，前者是法官，后者是不同级别的行政人员；二是权力内容不同，前者是裁判权和延伸的权力，后者法院行政事务的管理权，是为前者服务的。我国的审判机关脱胎于全能型衙门式政府，导致审判管理行政化现象严重，一是审判机构的行政化，法院设院长、副院长，审判业务庭设庭长、副庭长；二是审判运行行政化，审判权在庭长的直接领导下和院领导的间接或者直接领导下进行。其结果是行政管理权直接干预审判权和审判管理权，导致独立审判形同虚设，以至成了部分错案发生的主要原因。为此，应当理清审判权与审判管理权及审判行政管理权的界限，让不同权力“物归原主”。</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3、法官审判管理权的配置。上文已经对审判管理权的渊源问题进行了必要的论证，审判管理权隶属于审判权，是服务于审判权的权力，因此行使审判管理权离不开法官这个主体。在以审判为中心，法官员额制后如何构建审判权力运行体系，是一个司法改革的新问题，也是一个理论难题，以下从权力运行和配置的理论模型进行分析与选择。</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（1）权力运行的两种主要模式。</w:t>
      </w:r>
      <w:r>
        <w:rPr>
          <w:rStyle w:val="4"/>
          <w:rFonts w:hint="eastAsia" w:asciiTheme="majorEastAsia" w:hAnsiTheme="majorEastAsia" w:eastAsiaTheme="majorEastAsia" w:cstheme="majorEastAsia"/>
          <w:sz w:val="28"/>
          <w:szCs w:val="28"/>
          <w:lang w:val="en-US" w:eastAsia="zh-CN"/>
        </w:rPr>
        <w:footnoteReference w:id="36"/>
      </w:r>
      <w:r>
        <w:rPr>
          <w:rFonts w:hint="eastAsia" w:ascii="黑体" w:hAnsi="黑体" w:eastAsia="黑体" w:cs="黑体"/>
          <w:sz w:val="28"/>
          <w:szCs w:val="28"/>
          <w:lang w:val="en-US" w:eastAsia="zh-CN"/>
        </w:rPr>
        <w:t>第一种科层型金字塔模式</w:t>
      </w:r>
      <w:r>
        <w:rPr>
          <w:rFonts w:hint="eastAsia" w:asciiTheme="majorEastAsia" w:hAnsiTheme="majorEastAsia" w:eastAsiaTheme="majorEastAsia" w:cstheme="majorEastAsia"/>
          <w:sz w:val="28"/>
          <w:szCs w:val="28"/>
          <w:lang w:val="en-US" w:eastAsia="zh-CN"/>
        </w:rPr>
        <w:t>。这种模式将权力大小由高到低拟定为一个一个层级，在顶端为最高级，其下中级，再其为低级，每一个层级又由若干机构组成，这些机构属于职能机构，一个层级有一个首长，是这个层级的掌权者，即决策者。同一个层级，还有若干单位构成，成平行形态，权力大小相同，职能可能一致，也可能不一致，差异的大小由工作职责，管理的地域范围，事务范围决定。权力运行的方式对于顶端的最高权力者，是按照其意志和制度拟定权力行使权力，并将其决策内容向下传递，直到最后的底层权力机关，对于没有决策的部分内容，各个层级根据权力范围决定，但是不能和上级权力发生冲突，如果发生冲突，按照下级服从上级来处理。在这种权力运行模式下，作为权力机构的人员，其个人能力和专业水平，要求不是很高，因为服从上级命令是第一要义，不同意见分歧只能统一在掌权者的意志里，决策或者命令中根本不作表述。这种权力运行方式，能不能取得社会效益，能不能给公民带来福祉，主要看掌权者的能力、知识水平、道德品行，因此其弊端是明显的，缺点是掌权者行使权力的自由度太大，空间太广，公权私用，渎职滥权会因此而生，其优点是能够提高工作效率。这种模式一般为行政机关和对效率要求特别高的权力系统采用，如军队、警察、政府机构。</w:t>
      </w:r>
      <w:r>
        <w:rPr>
          <w:rFonts w:hint="eastAsia" w:ascii="黑体" w:hAnsi="黑体" w:eastAsia="黑体" w:cs="黑体"/>
          <w:sz w:val="28"/>
          <w:szCs w:val="28"/>
          <w:lang w:val="en-US" w:eastAsia="zh-CN"/>
        </w:rPr>
        <w:t>第二种是协作型平行模式</w:t>
      </w:r>
      <w:r>
        <w:rPr>
          <w:rFonts w:hint="eastAsia" w:asciiTheme="majorEastAsia" w:hAnsiTheme="majorEastAsia" w:eastAsiaTheme="majorEastAsia" w:cstheme="majorEastAsia"/>
          <w:sz w:val="28"/>
          <w:szCs w:val="28"/>
          <w:lang w:val="en-US" w:eastAsia="zh-CN"/>
        </w:rPr>
        <w:t>。这种模式，其权力主体之间，没有权力大小之分，或者权力大小不明显，其权力的掌控范围通过制度进行明确规定，进行职能职责划分，分工明确。主体之间的关系为协作、配合、监督关系，因此主体的权力行使空间非常有限，甚至行使权力还有期限的限制。这种模式一般为技术性或者专业性高的系统采用。这种模式的缺点是在协助配合不协调时，工作效率会受到影响。这种模式一般为科学技术机构、专业性比较强的系统采用，如科研院所、大学、法院系统等。两种权力运行模式在历史实践发展过程中，不断在进行自我修正，如第一种模式，通过权力清单限制掌权者的自由空间，和通过权力监督系统监督权力运行。第二种模式中适当赋予权力主体之间的等级差别，在执行事务中赋予高等级技术官员指令、命令签发权、利益分配权，以此控制权力运行系统，提高工作效率。</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黑体" w:hAnsi="黑体" w:eastAsia="黑体" w:cs="黑体"/>
          <w:sz w:val="28"/>
          <w:szCs w:val="28"/>
          <w:lang w:val="en-US" w:eastAsia="zh-CN"/>
        </w:rPr>
        <w:t>（2）法官权力运行模式选择</w:t>
      </w:r>
      <w:r>
        <w:rPr>
          <w:rFonts w:hint="eastAsia" w:asciiTheme="majorEastAsia" w:hAnsiTheme="majorEastAsia" w:eastAsiaTheme="majorEastAsia" w:cstheme="majorEastAsia"/>
          <w:sz w:val="28"/>
          <w:szCs w:val="28"/>
          <w:lang w:val="en-US" w:eastAsia="zh-CN"/>
        </w:rPr>
        <w:t>。法官的权力是来自于制度，法官本身不是行政官员，而是具有法律专业知识，符合法官入职条件，并通过法定程序任命的人员，其权力范围也是通过制度规范了时间和空间度，法官与法官之间、审判组织与审判组织之间没有权力大小之别，因此法官行使权力的方式，只能选择权力协作型模式。作为审判单元内部（合议庭、独任审判员）法官处于中心地位，法官助理、书记员是辅助法官完成审判工作的人员，因此他们之间具有协作配合的关系，作为法官助理、书记员应当有制度来规范其工作职责和工作任务，为了防止法官助理及书记员不认真履行职责，应当赋予法官审判管理权，通过命令、指挥、适当的不利益施加，监督法官助理及书记员履行职责。那么应当赋予法官哪些审判管理权权限才能满足要求呢?这里有必要进行适当的论证。</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权力有效运行应当满足的基本条件。权力要有效运行，必然有其内在的逻辑，满足一定的条件，这些主要条件是，第一权力代码处于一个相对封闭的连接链条上，形成一条锁链。因此卢曼说“权力是代码指导的交往”。</w:t>
      </w:r>
      <w:r>
        <w:rPr>
          <w:rStyle w:val="4"/>
          <w:rFonts w:hint="eastAsia" w:asciiTheme="majorEastAsia" w:hAnsiTheme="majorEastAsia" w:eastAsiaTheme="majorEastAsia" w:cstheme="majorEastAsia"/>
          <w:sz w:val="28"/>
          <w:szCs w:val="28"/>
          <w:lang w:val="en-US" w:eastAsia="zh-CN"/>
        </w:rPr>
        <w:footnoteReference w:id="37"/>
      </w:r>
      <w:r>
        <w:rPr>
          <w:rFonts w:hint="eastAsia" w:asciiTheme="majorEastAsia" w:hAnsiTheme="majorEastAsia" w:eastAsiaTheme="majorEastAsia" w:cstheme="majorEastAsia"/>
          <w:sz w:val="28"/>
          <w:szCs w:val="28"/>
          <w:lang w:val="en-US" w:eastAsia="zh-CN"/>
        </w:rPr>
        <w:t>权力代码由主体要素，权力主体的职能职责，及其来自于制度或者其他权力系统或者社会系统拟定的主题目标，指数等构成；第二权力与反对权力之间达成一种平衡，通过商谈达成一定的共识，这里不妨以公司董事长与公司员工为例，假如决定开除某员工，作为掌权者的董事长行使这个权力时，受到来自其他董事及大部分员工的反对，其他董事可以通过董事会的决议推翻董事长的决定，被开除的员工还可以通过诉讼等形式来反对权力的行使，其他员工还可能通过摆工等形式逼迫停止权力行使，其结果是权力根本就不可能得到行使，原因就是权力与反对权力之间没有达到平衡，形成共识；第三赋予掌权者必要的利益和不利益给付权。威胁是权力行使的一个不得已而为之的极少部分，虽然运用这个手段未必能够达到权力畅通运行的效果，但是迫不得已的情况下，偶然行使还是可以发挥一定的作用，就如各个国家的刑罚一样，有刑罚未必能够阻止犯罪，但是可以起到一定的作用。以上三个主要条件构成了权力有效行使的主要条件，当然还有一些其他的次要条件，如职能职责的正义性问题，这里不作赘述。</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4）法官权力有效运行的条件。法官权力仍然是权力中的一种，因此其有效运行自然应当满足一般权力有效运行的模式条件，从上面一般权力的运行规律，可以推导出法官权力有效运行应当满足的基本条件为：一是法官与法官关系密切的辅助人员，即法官、法官助理、书记员处于一个权力代码链接链条中；二是掌握权力的法官与法官助理、书记员就权力的内容通过商谈基本达成一致的意见，即法官权力与反法官权力之间达到平衡；三是赋予法官对法官助理及书记员一定的利益与不利益的给付权。以上是法官权力有效运行应当满足的理论条件，实践中如何展开，这里还必须进行必要的研究，以此推动具体的制度构建。</w:t>
      </w:r>
    </w:p>
    <w:p>
      <w:pPr>
        <w:numPr>
          <w:ilvl w:val="0"/>
          <w:numId w:val="3"/>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法官权力运行的实践展开。</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1、司法行政管理权应当限缩在司法规律的前提下。审判权属于法官的权力，审判管理权是审判权的延伸，也应当属于法官，审判权与司法行政管理权构成二元权力体系，审判权设定的目的是依法公平公正裁判案件，解决纠纷，修复被违法犯罪破坏的社会关系，实现社会正义，其权力来自于法律，并非是某个集团或者组织赋予，因此是一种独立的权力，其运行有其自己的内在逻辑，其评价指标，不能被任意人为设定。司法行政权是一种司法行政管理权，属于另外一个权力系统，其设定的目的是保障审判权的有效运行，如政治保障，物质保障，人才保障等，其权力属性属于服务性和监督性权力。这两种权力系统不应当纳入一种权力体系，否则就会导致审判权被异化，变成一种行政化权力，出现审者不判，判者不审，龙宗智教授呼吁“对审判活动的行政干预的弊端必须充分警惕”</w:t>
      </w:r>
      <w:r>
        <w:rPr>
          <w:rStyle w:val="4"/>
          <w:rFonts w:hint="eastAsia" w:asciiTheme="majorEastAsia" w:hAnsiTheme="majorEastAsia" w:eastAsiaTheme="majorEastAsia" w:cstheme="majorEastAsia"/>
          <w:sz w:val="28"/>
          <w:szCs w:val="28"/>
          <w:lang w:val="en-US" w:eastAsia="zh-CN"/>
        </w:rPr>
        <w:footnoteReference w:id="38"/>
      </w:r>
      <w:r>
        <w:rPr>
          <w:rFonts w:hint="eastAsia" w:asciiTheme="majorEastAsia" w:hAnsiTheme="majorEastAsia" w:eastAsiaTheme="majorEastAsia" w:cstheme="majorEastAsia"/>
          <w:sz w:val="28"/>
          <w:szCs w:val="28"/>
          <w:lang w:val="en-US" w:eastAsia="zh-CN"/>
        </w:rPr>
        <w:t>法官还会因为官员任意设定的五花八门的考核指标，疲于奔命，司法公信荡然无存。在现实的审判实践中，个别地方上下两级法院之间仍然或多或少存在的考核上诉率，改判率，每月结案率等指标排名就是问题的集中体现。发生问题的根本原因就是把两种权力体系混为一谈，合二为一的错误行为的错误结果。</w:t>
      </w:r>
    </w:p>
    <w:p>
      <w:pPr>
        <w:numPr>
          <w:ilvl w:val="0"/>
          <w:numId w:val="0"/>
        </w:numPr>
        <w:rPr>
          <w:rFonts w:hint="eastAsia" w:ascii="宋体" w:hAnsi="宋体" w:eastAsia="宋体" w:cs="宋体"/>
          <w:sz w:val="28"/>
          <w:szCs w:val="28"/>
          <w:vertAlign w:val="baseline"/>
          <w:lang w:val="en-US" w:eastAsia="zh-CN"/>
        </w:rPr>
      </w:pPr>
      <w:r>
        <w:rPr>
          <w:rFonts w:hint="eastAsia" w:asciiTheme="majorEastAsia" w:hAnsiTheme="majorEastAsia" w:eastAsiaTheme="majorEastAsia" w:cstheme="majorEastAsia"/>
          <w:sz w:val="28"/>
          <w:szCs w:val="28"/>
          <w:lang w:val="en-US" w:eastAsia="zh-CN"/>
        </w:rPr>
        <w:t xml:space="preserve">     2、法官权力配置应当以审判实践内在需求为配置依据。法官对法官助理及书记员行使审判管理权是审判实践的需要决定的。法官具有审判权是审判实践的需要，“由审理者裁判，由裁判者负责”是其核心表达，要保障案件认定事实准确，适用法律正确，法官必须有亲力亲为审理案件的能力、水平、权力，否则就违背司法规律，出现匪夷所思的结果，公正公平就无从谈起，司法公信也难于建立，化解纠纷只是一句空话。法官具有审判权，不是一种理论表达，应当有实质内容，这个实质内容，就是通过进一步落实审判权的二级权力来保障实现，这里所指的二级权力，就是落实法官的审判管理权。如何落实法官的审判管理权呢？第一是明确法官对法官助理及书记员有当然的管理权。这一点在前部分已经进行了理论证明和实证证成。法官、法官助理、书记员构成了以审判事务需要为权力代码体系，管理权力的运行是通过这三个主要的群体，按照自己工作职责的完成来推动权力的运行的，法官处于权力前端，指挥、监督法官助理和书记员履行职责。从权力的主要掌握者法官与被监督和接受指挥者——法官助理及书记员之间基本达成一种共识：法官对法官助理及书记员行使管理权。第二法官行使审判管理权的范围大小决定于法官可分离出来的事务性工作量与法官助理及书记员的工作职责要求等要素决定。法官具有的审判管理权与审判权的权限就是法官的权力清单。通过实证并结合国际和国内司法实践需要，我们认为法官应当拥有下列权力：1</w:t>
      </w:r>
      <w:r>
        <w:rPr>
          <w:rFonts w:hint="eastAsia" w:ascii="宋体" w:hAnsi="宋体" w:eastAsia="宋体" w:cs="宋体"/>
          <w:sz w:val="28"/>
          <w:szCs w:val="28"/>
          <w:vertAlign w:val="baseline"/>
          <w:lang w:val="en-US" w:eastAsia="zh-CN"/>
        </w:rPr>
        <w:t>独立审判案件、2领导法官助理工作、3领导书记员工作、4获得优厚报酬权、5本人及近亲属人身及财产权益受特别保护、6享有司法豁免权、7享有职业培训及参与学术活动权、8法定节假日休息权、9依法接受法律监督</w:t>
      </w:r>
      <w:r>
        <w:rPr>
          <w:rFonts w:hint="eastAsia" w:ascii="黑体" w:hAnsi="黑体" w:eastAsia="黑体" w:cs="黑体"/>
          <w:sz w:val="28"/>
          <w:szCs w:val="28"/>
          <w:vertAlign w:val="baseline"/>
          <w:lang w:val="en-US" w:eastAsia="zh-CN"/>
        </w:rPr>
        <w:t>。</w:t>
      </w:r>
      <w:r>
        <w:rPr>
          <w:rFonts w:hint="eastAsia" w:ascii="宋体" w:hAnsi="宋体" w:eastAsia="宋体" w:cs="宋体"/>
          <w:sz w:val="28"/>
          <w:szCs w:val="28"/>
          <w:vertAlign w:val="baseline"/>
          <w:lang w:val="en-US" w:eastAsia="zh-CN"/>
        </w:rPr>
        <w:t>权力</w:t>
      </w:r>
      <w:r>
        <w:rPr>
          <w:rFonts w:hint="eastAsia" w:ascii="黑体" w:hAnsi="黑体" w:eastAsia="黑体" w:cs="黑体"/>
          <w:sz w:val="28"/>
          <w:szCs w:val="28"/>
          <w:vertAlign w:val="baseline"/>
          <w:lang w:val="en-US" w:eastAsia="zh-CN"/>
        </w:rPr>
        <w:t>“1”</w:t>
      </w:r>
      <w:r>
        <w:rPr>
          <w:rFonts w:hint="eastAsia" w:ascii="宋体" w:hAnsi="宋体" w:eastAsia="宋体" w:cs="宋体"/>
          <w:sz w:val="28"/>
          <w:szCs w:val="28"/>
          <w:vertAlign w:val="baseline"/>
          <w:lang w:val="en-US" w:eastAsia="zh-CN"/>
        </w:rPr>
        <w:t>属于法官审判权主要权力，权力“2、3”属于“1”的延伸，权力“4、5、6”属于法官独立人格权，也是权力“1”的拓展，权力“7”属于法官职业发展权，是法官精英化和专业化需要，权力“8”属于法官人身权内容，为法官健康保障而存在，权力“9”是对法官权力边界和权力不当履行的修正。法官的这些权力互为补充、相互相成，缺一不可。以上只是法官应当具有的基础性权力，它还可以产生一些二级权力，这里不一一列举。</w:t>
      </w:r>
    </w:p>
    <w:p>
      <w:pPr>
        <w:numPr>
          <w:ilvl w:val="0"/>
          <w:numId w:val="3"/>
        </w:numPr>
        <w:ind w:firstLine="560" w:firstLineChars="20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法院权力系统的图示表达。为了更为清楚以上实证和逻辑证明的结论，不妨用一个权力系统图来表达，后续法院审判改革的审判权与审判行政管理权安排。</w:t>
      </w:r>
    </w:p>
    <w:p>
      <w:pPr>
        <w:numPr>
          <w:ilvl w:val="0"/>
          <w:numId w:val="0"/>
        </w:numPr>
        <w:rPr>
          <w:rFonts w:hint="eastAsia" w:ascii="宋体" w:hAnsi="宋体" w:eastAsia="宋体" w:cs="宋体"/>
          <w:sz w:val="28"/>
          <w:szCs w:val="28"/>
          <w:vertAlign w:val="baseline"/>
          <w:lang w:val="en-US" w:eastAsia="zh-CN"/>
        </w:rPr>
      </w:pPr>
      <w:r>
        <w:rPr>
          <w:sz w:val="28"/>
        </w:rPr>
        <mc:AlternateContent>
          <mc:Choice Requires="wps">
            <w:drawing>
              <wp:anchor distT="0" distB="0" distL="114300" distR="114300" simplePos="0" relativeHeight="251662336" behindDoc="0" locked="0" layoutInCell="1" allowOverlap="1">
                <wp:simplePos x="0" y="0"/>
                <wp:positionH relativeFrom="column">
                  <wp:posOffset>1602740</wp:posOffset>
                </wp:positionH>
                <wp:positionV relativeFrom="paragraph">
                  <wp:posOffset>5446395</wp:posOffset>
                </wp:positionV>
                <wp:extent cx="730250" cy="404495"/>
                <wp:effectExtent l="6350" t="6350" r="6350" b="8255"/>
                <wp:wrapNone/>
                <wp:docPr id="38" name="矩形 38"/>
                <wp:cNvGraphicFramePr/>
                <a:graphic xmlns:a="http://schemas.openxmlformats.org/drawingml/2006/main">
                  <a:graphicData uri="http://schemas.microsoft.com/office/word/2010/wordprocessingShape">
                    <wps:wsp>
                      <wps:cNvSpPr/>
                      <wps:spPr>
                        <a:xfrm>
                          <a:off x="5311775" y="2906395"/>
                          <a:ext cx="730250" cy="404495"/>
                        </a:xfrm>
                        <a:prstGeom prst="rect">
                          <a:avLst/>
                        </a:prstGeom>
                      </wps:spPr>
                      <wps:style>
                        <a:lnRef idx="2">
                          <a:schemeClr val="dk1"/>
                        </a:lnRef>
                        <a:fillRef idx="1">
                          <a:schemeClr val="lt1"/>
                        </a:fillRef>
                        <a:effectRef idx="0">
                          <a:schemeClr val="dk1"/>
                        </a:effectRef>
                        <a:fontRef idx="minor">
                          <a:schemeClr val="dk1"/>
                        </a:fontRef>
                      </wps:style>
                      <wps:txbx>
                        <w:txbxContent>
                          <w:p>
                            <w:pPr>
                              <w:jc w:val="both"/>
                              <w:rPr>
                                <w:rFonts w:hint="eastAsia" w:eastAsiaTheme="minorEastAsia"/>
                                <w:sz w:val="28"/>
                                <w:szCs w:val="28"/>
                                <w:lang w:eastAsia="zh-CN"/>
                              </w:rPr>
                            </w:pPr>
                            <w:r>
                              <w:rPr>
                                <w:rFonts w:hint="eastAsia"/>
                                <w:sz w:val="28"/>
                                <w:szCs w:val="28"/>
                                <w:lang w:eastAsia="zh-CN"/>
                              </w:rPr>
                              <w:t>行政权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6.2pt;margin-top:428.85pt;height:31.85pt;width:57.5pt;z-index:251662336;v-text-anchor:middle;mso-width-relative:page;mso-height-relative:page;" fillcolor="#FFFFFF [3201]" filled="t" stroked="t" coordsize="21600,21600" o:gfxdata="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K4SHBtkAAAALAQAADwAAAAAAAAABACAAAAAiAAAAZHJzL2Rvd25yZXYueG1sUEsB&#10;AhQAFAAAAAgAh07iQMD070pmAgAAvgQAAA4AAAAAAAAAAQAgAAAAKAEAAGRycy9lMm9Eb2MueG1s&#10;UEsFBgAAAAAGAAYAWQEAAAAGAAAAAA==&#10;">
                <v:fill on="t" focussize="0,0"/>
                <v:stroke weight="1pt" color="#000000 [3200]" miterlimit="8" joinstyle="miter"/>
                <v:imagedata o:title=""/>
                <o:lock v:ext="edit" aspectratio="f"/>
                <v:textbox>
                  <w:txbxContent>
                    <w:p>
                      <w:pPr>
                        <w:jc w:val="both"/>
                        <w:rPr>
                          <w:rFonts w:hint="eastAsia" w:eastAsiaTheme="minorEastAsia"/>
                          <w:sz w:val="28"/>
                          <w:szCs w:val="28"/>
                          <w:lang w:eastAsia="zh-CN"/>
                        </w:rPr>
                      </w:pPr>
                      <w:r>
                        <w:rPr>
                          <w:rFonts w:hint="eastAsia"/>
                          <w:sz w:val="28"/>
                          <w:szCs w:val="28"/>
                          <w:lang w:eastAsia="zh-CN"/>
                        </w:rPr>
                        <w:t>行政权</w:t>
                      </w:r>
                    </w:p>
                  </w:txbxContent>
                </v:textbox>
              </v:rect>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1602740</wp:posOffset>
                </wp:positionH>
                <wp:positionV relativeFrom="paragraph">
                  <wp:posOffset>5648960</wp:posOffset>
                </wp:positionV>
                <wp:extent cx="0" cy="0"/>
                <wp:effectExtent l="0" t="0" r="0" b="0"/>
                <wp:wrapNone/>
                <wp:docPr id="39" name="直接箭头连接符 39"/>
                <wp:cNvGraphicFramePr/>
                <a:graphic xmlns:a="http://schemas.openxmlformats.org/drawingml/2006/main">
                  <a:graphicData uri="http://schemas.microsoft.com/office/word/2010/wordprocessingShape">
                    <wps:wsp>
                      <wps:cNvCnPr>
                        <a:stCxn id="38" idx="1"/>
                        <a:endCxn id="38" idx="1"/>
                      </wps:cNvCnPr>
                      <wps:spPr>
                        <a:xfrm>
                          <a:off x="5106035" y="288798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6.2pt;margin-top:444.8pt;height:0pt;width:0pt;z-index:251663360;mso-width-relative:page;mso-height-relative:page;" filled="f" stroked="t" coordsize="21600,21600" o:gfxdata="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07bYI1AAAAAsBAAAPAAAAAAAAAAEAIAAAACIA&#10;AABkcnMvZG93bnJldi54bWxQSwECFAAUAAAACACHTuJA1W5MRQ0CAADaAwAADgAAAAAAAAABACAA&#10;AAAjAQAAZHJzL2Uyb0RvYy54bWxQSwUGAAAAAAYABgBZAQAAogU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column">
                  <wp:posOffset>1537970</wp:posOffset>
                </wp:positionH>
                <wp:positionV relativeFrom="paragraph">
                  <wp:posOffset>5648960</wp:posOffset>
                </wp:positionV>
                <wp:extent cx="64770" cy="18415"/>
                <wp:effectExtent l="0" t="0" r="0" b="0"/>
                <wp:wrapNone/>
                <wp:docPr id="42" name="直接连接符 42"/>
                <wp:cNvGraphicFramePr/>
                <a:graphic xmlns:a="http://schemas.openxmlformats.org/drawingml/2006/main">
                  <a:graphicData uri="http://schemas.microsoft.com/office/word/2010/wordprocessingShape">
                    <wps:wsp>
                      <wps:cNvCnPr>
                        <a:endCxn id="38" idx="1"/>
                      </wps:cNvCnPr>
                      <wps:spPr>
                        <a:xfrm flipV="1">
                          <a:off x="5041265" y="2887980"/>
                          <a:ext cx="64770"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21.1pt;margin-top:444.8pt;height:1.45pt;width:5.1pt;z-index:251665408;mso-width-relative:page;mso-height-relative:page;" filled="f" stroked="t" coordsize="21600,21600" o:gfxdata="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7eMgtgAAAALAQAADwAAAAAAAAABACAAAAAiAAAAZHJzL2Rvd25yZXYueG1sUEsBAhQAFAAA&#10;AAgAh07iQAyn4A7vAQAApQMAAA4AAAAAAAAAAQAgAAAAJwEAAGRycy9lMm9Eb2MueG1sUEsFBgAA&#10;AAAGAAYAWQEAAIgFAAAAAA==&#10;">
                <v:fill on="f" focussize="0,0"/>
                <v:stroke weight="0.5pt" color="#000000 [3200]" miterlimit="8" joinstyle="miter"/>
                <v:imagedata o:title=""/>
                <o:lock v:ext="edit" aspectratio="f"/>
              </v:line>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1570355</wp:posOffset>
                </wp:positionH>
                <wp:positionV relativeFrom="paragraph">
                  <wp:posOffset>5648960</wp:posOffset>
                </wp:positionV>
                <wp:extent cx="32385" cy="7620"/>
                <wp:effectExtent l="0" t="0" r="0" b="0"/>
                <wp:wrapNone/>
                <wp:docPr id="41" name="直接连接符 41"/>
                <wp:cNvGraphicFramePr/>
                <a:graphic xmlns:a="http://schemas.openxmlformats.org/drawingml/2006/main">
                  <a:graphicData uri="http://schemas.microsoft.com/office/word/2010/wordprocessingShape">
                    <wps:wsp>
                      <wps:cNvCnPr>
                        <a:endCxn id="38" idx="1"/>
                      </wps:cNvCnPr>
                      <wps:spPr>
                        <a:xfrm flipV="1">
                          <a:off x="5073650" y="2887980"/>
                          <a:ext cx="32385"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23.65pt;margin-top:444.8pt;height:0.6pt;width:2.55pt;z-index:251664384;mso-width-relative:page;mso-height-relative:page;" filled="f" stroked="t" coordsize="21600,21600" o:gfxdata="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M3vgPbAAAACwEAAA8AAAAAAAAAAQAgAAAAIgAAAGRycy9kb3ducmV2Lnht&#10;bFBLAQIUABQAAAAIAIdO4kA3ew389gEAAKQDAAAOAAAAAAAAAAEAIAAAACoBAABkcnMvZTJvRG9j&#10;LnhtbFBLBQYAAAAABgAGAFkBAACSBQAAAAA=&#10;">
                <v:fill on="f" focussize="0,0"/>
                <v:stroke weight="0.5pt" color="#5B9BD5 [3204]" miterlimit="8" joinstyle="miter"/>
                <v:imagedata o:title=""/>
                <o:lock v:ext="edit" aspectratio="f"/>
              </v:lin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1430655</wp:posOffset>
                </wp:positionH>
                <wp:positionV relativeFrom="paragraph">
                  <wp:posOffset>1967865</wp:posOffset>
                </wp:positionV>
                <wp:extent cx="86360" cy="11430"/>
                <wp:effectExtent l="0" t="0" r="0" b="0"/>
                <wp:wrapNone/>
                <wp:docPr id="33" name="直接连接符 33"/>
                <wp:cNvGraphicFramePr/>
                <a:graphic xmlns:a="http://schemas.openxmlformats.org/drawingml/2006/main">
                  <a:graphicData uri="http://schemas.microsoft.com/office/word/2010/wordprocessingShape">
                    <wps:wsp>
                      <wps:cNvCnPr/>
                      <wps:spPr>
                        <a:xfrm>
                          <a:off x="2573655" y="2882265"/>
                          <a:ext cx="86360"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2.65pt;margin-top:154.95pt;height:0.9pt;width:6.8pt;z-index:251661312;mso-width-relative:page;mso-height-relative:page;" filled="f" stroked="t" coordsize="21600,21600" o:gfxdata="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KEGB9gAAAALAQAADwAAAAAAAAAB&#10;ACAAAAAiAAAAZHJzL2Rvd25yZXYueG1sUEsBAhQAFAAAAAgAh07iQM5sHdTXAQAAcwMAAA4AAAAA&#10;AAAAAQAgAAAAJwEAAGRycy9lMm9Eb2MueG1sUEsFBgAAAAAGAAYAWQEAAHAFAAAAAA==&#10;">
                <v:fill on="f" focussize="0,0"/>
                <v:stroke weight="0.5pt" color="#000000 [3200]" miterlimit="8" joinstyle="miter"/>
                <v:imagedata o:title=""/>
                <o:lock v:ext="edit" aspectratio="f"/>
              </v:lin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1499870</wp:posOffset>
                </wp:positionH>
                <wp:positionV relativeFrom="paragraph">
                  <wp:posOffset>1776095</wp:posOffset>
                </wp:positionV>
                <wp:extent cx="796290" cy="384175"/>
                <wp:effectExtent l="6350" t="6350" r="16510" b="9525"/>
                <wp:wrapNone/>
                <wp:docPr id="29" name="矩形 29"/>
                <wp:cNvGraphicFramePr/>
                <a:graphic xmlns:a="http://schemas.openxmlformats.org/drawingml/2006/main">
                  <a:graphicData uri="http://schemas.microsoft.com/office/word/2010/wordprocessingShape">
                    <wps:wsp>
                      <wps:cNvSpPr/>
                      <wps:spPr>
                        <a:xfrm>
                          <a:off x="2924810" y="2896235"/>
                          <a:ext cx="796290" cy="3841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28"/>
                                <w:szCs w:val="28"/>
                                <w:lang w:eastAsia="zh-CN"/>
                              </w:rPr>
                            </w:pPr>
                            <w:r>
                              <w:rPr>
                                <w:rFonts w:hint="eastAsia"/>
                                <w:sz w:val="28"/>
                                <w:szCs w:val="28"/>
                                <w:lang w:eastAsia="zh-CN"/>
                              </w:rPr>
                              <w:t>管理权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8.1pt;margin-top:139.85pt;height:30.25pt;width:62.7pt;z-index:251660288;v-text-anchor:middle;mso-width-relative:page;mso-height-relative:page;" fillcolor="#FFFFFF [3201]" filled="t" stroked="t" coordsize="21600,21600" o:gfxdata="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XJMVr2AAAAAsBAAAPAAAAAAAAAAEAIAAAACIAAABkcnMvZG93bnJldi54bWxQSwECFAAU&#10;AAAACACHTuJAsytHWWMCAAC+BAAADgAAAAAAAAABACAAAAAnAQAAZHJzL2Uyb0RvYy54bWxQSwUG&#10;AAAAAAYABgBZAQAA/AUAAAAA&#10;">
                <v:fill on="t" focussize="0,0"/>
                <v:stroke weight="1pt" color="#000000 [3200]" miterlimit="8" joinstyle="miter"/>
                <v:imagedata o:title=""/>
                <o:lock v:ext="edit" aspectratio="f"/>
                <v:textbox>
                  <w:txbxContent>
                    <w:p>
                      <w:pPr>
                        <w:jc w:val="center"/>
                        <w:rPr>
                          <w:rFonts w:hint="eastAsia" w:eastAsiaTheme="minorEastAsia"/>
                          <w:sz w:val="28"/>
                          <w:szCs w:val="28"/>
                          <w:lang w:eastAsia="zh-CN"/>
                        </w:rPr>
                      </w:pPr>
                      <w:r>
                        <w:rPr>
                          <w:rFonts w:hint="eastAsia"/>
                          <w:sz w:val="28"/>
                          <w:szCs w:val="28"/>
                          <w:lang w:eastAsia="zh-CN"/>
                        </w:rPr>
                        <w:t>管理权</w:t>
                      </w:r>
                    </w:p>
                  </w:txbxContent>
                </v:textbox>
              </v:rect>
            </w:pict>
          </mc:Fallback>
        </mc:AlternateContent>
      </w:r>
      <w:r>
        <w:rPr>
          <w:sz w:val="28"/>
        </w:rPr>
        <mc:AlternateContent>
          <mc:Choice Requires="wps">
            <w:drawing>
              <wp:anchor distT="0" distB="0" distL="114300" distR="114300" simplePos="0" relativeHeight="251658240" behindDoc="0" locked="0" layoutInCell="1" allowOverlap="1">
                <wp:simplePos x="0" y="0"/>
                <wp:positionH relativeFrom="column">
                  <wp:posOffset>1337945</wp:posOffset>
                </wp:positionH>
                <wp:positionV relativeFrom="paragraph">
                  <wp:posOffset>1960245</wp:posOffset>
                </wp:positionV>
                <wp:extent cx="75565" cy="10795"/>
                <wp:effectExtent l="0" t="0" r="0" b="0"/>
                <wp:wrapNone/>
                <wp:docPr id="25" name="直接连接符 25"/>
                <wp:cNvGraphicFramePr/>
                <a:graphic xmlns:a="http://schemas.openxmlformats.org/drawingml/2006/main">
                  <a:graphicData uri="http://schemas.microsoft.com/office/word/2010/wordprocessingShape">
                    <wps:wsp>
                      <wps:cNvCnPr/>
                      <wps:spPr>
                        <a:xfrm flipV="1">
                          <a:off x="2437765" y="2896235"/>
                          <a:ext cx="7556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05.35pt;margin-top:154.35pt;height:0.85pt;width:5.95pt;z-index:251658240;mso-width-relative:page;mso-height-relative:page;" filled="f" stroked="t" coordsize="21600,21600" o:gfxdata="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yplaK2AAAAAsBAAAP&#10;AAAAAAAAAAEAIAAAACIAAABkcnMvZG93bnJldi54bWxQSwECFAAUAAAACACHTuJAJDP+WN8BAAB9&#10;AwAADgAAAAAAAAABACAAAAAnAQAAZHJzL2Uyb0RvYy54bWxQSwUGAAAAAAYABgBZAQAAeAUAAAAA&#10;">
                <v:fill on="f" focussize="0,0"/>
                <v:stroke weight="0.5pt" color="#000000 [3200]" miterlimit="8" joinstyle="miter"/>
                <v:imagedata o:title=""/>
                <o:lock v:ext="edit" aspectratio="f"/>
              </v:line>
            </w:pict>
          </mc:Fallback>
        </mc:AlternateContent>
      </w:r>
      <w:r>
        <w:rPr>
          <w:rFonts w:hint="eastAsia" w:ascii="宋体" w:hAnsi="宋体" w:eastAsia="宋体" w:cs="宋体"/>
          <w:sz w:val="28"/>
          <w:szCs w:val="28"/>
          <w:vertAlign w:val="baseline"/>
          <w:lang w:val="en-US" w:eastAsia="zh-CN"/>
        </w:rPr>
        <w:drawing>
          <wp:inline distT="0" distB="0" distL="114300" distR="114300">
            <wp:extent cx="2505075" cy="3815080"/>
            <wp:effectExtent l="6350" t="0" r="41275" b="0"/>
            <wp:docPr id="34" name="图示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Pr>
          <w:rFonts w:hint="eastAsia" w:ascii="宋体" w:hAnsi="宋体" w:eastAsia="宋体" w:cs="宋体"/>
          <w:sz w:val="28"/>
          <w:szCs w:val="28"/>
          <w:vertAlign w:val="baseline"/>
          <w:lang w:val="en-US" w:eastAsia="zh-CN"/>
        </w:rPr>
        <w:drawing>
          <wp:inline distT="0" distB="0" distL="114300" distR="114300">
            <wp:extent cx="2406650" cy="3194685"/>
            <wp:effectExtent l="9525" t="0" r="22225" b="0"/>
            <wp:docPr id="43" name="图示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Pr>
          <w:rFonts w:hint="eastAsia" w:ascii="宋体" w:hAnsi="宋体" w:eastAsia="宋体" w:cs="宋体"/>
          <w:sz w:val="28"/>
          <w:szCs w:val="28"/>
          <w:vertAlign w:val="baseline"/>
          <w:lang w:val="en-US" w:eastAsia="zh-CN"/>
        </w:rPr>
        <w:drawing>
          <wp:inline distT="0" distB="0" distL="114300" distR="114300">
            <wp:extent cx="2992120" cy="3204845"/>
            <wp:effectExtent l="6350" t="0" r="11430" b="0"/>
            <wp:docPr id="36" name="图示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pPr>
        <w:numPr>
          <w:ilvl w:val="0"/>
          <w:numId w:val="0"/>
        </w:num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 xml:space="preserve">   从以上拟预设的权力变化关系结构图，可以清晰地看出，法官与书记员、法官助理棣属于一个权力关系体系，法官行使两种权力，一种为审判权，其权力对象为当事人、诉讼参与人、一种为审判权的再生权即审判管理权，权力对象为法官助理、书记员、其他辅助人员。法院的司法行政权以院长为权力顶端，并一级一级向下传递，底层为一般行政人员，法院的司法行政权为科层结构，之所以如此是为了提高法院行政管理的效率，并满足现有的司法体制要求。区别于国外的“三权分立模式”。但是也改变了现在的模式，使审判权权力体系与法院司法行政权力体系分离，不再有棣属关系，让司法行政权与审判权隔离，有效预防被行政权异化。另外一个系统为法官任用晋升监督系统，主要是防止审判权被法官滥用，或者怠慢审判权的行使，并选任法官，依法对满足晋升条件的法官进行晋级。在这个监督权力体系中法官是监督权的对象，而不是权力的主体。之所以与审判权权力关系和法院行政管理权关系分离，目的是让法官业绩评价客观公正，并且在选任与晋升上获得体制机制及制度上的保障。</w:t>
      </w:r>
    </w:p>
    <w:p>
      <w:pPr>
        <w:numPr>
          <w:ilvl w:val="0"/>
          <w:numId w:val="0"/>
        </w:numPr>
        <w:rPr>
          <w:rFonts w:hint="eastAsia" w:ascii="宋体" w:hAnsi="宋体" w:eastAsia="宋体" w:cs="宋体"/>
          <w:sz w:val="28"/>
          <w:szCs w:val="28"/>
          <w:vertAlign w:val="baseline"/>
          <w:lang w:val="en-US" w:eastAsia="zh-CN"/>
        </w:rPr>
      </w:pPr>
    </w:p>
    <w:p>
      <w:pPr>
        <w:numPr>
          <w:ilvl w:val="0"/>
          <w:numId w:val="0"/>
        </w:numP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五、法官权力运行的制度构建建议。</w:t>
      </w:r>
    </w:p>
    <w:p>
      <w:pPr>
        <w:numPr>
          <w:ilvl w:val="0"/>
          <w:numId w:val="0"/>
        </w:numP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 xml:space="preserve">     （一）</w:t>
      </w:r>
      <w:r>
        <w:rPr>
          <w:rFonts w:hint="eastAsia" w:asciiTheme="majorEastAsia" w:hAnsiTheme="majorEastAsia" w:eastAsiaTheme="majorEastAsia" w:cstheme="majorEastAsia"/>
          <w:sz w:val="28"/>
          <w:szCs w:val="28"/>
          <w:lang w:eastAsia="zh-CN"/>
        </w:rPr>
        <w:t>法官权力运行的制度瓶颈。</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1、我国宪法缺乏对法官宣誓性权力的标注导致法官权力生存的困难。宪法第126条只是规定了“人民法院依照法律规定独立行使审判权……”，没有规定法官的权力问题。由于缺乏对法官权力的宣誓性规定，导致法官权力行使在根本法层面上缺乏依托或者保障。也是司法行政权经常挤占审判权空间的问题根源。法院的院长、副院长、庭长、副庭长可以以此为由对法官进行任意“安排”，甚至因为“不听招呼”被调离审判岗位，剥夺其审判权。这也是审判权被司法行政权异化的问题所在，法院的行政领导可以借行政管理为名，将处理案件的个人意见，</w:t>
      </w:r>
      <w:r>
        <w:rPr>
          <w:rStyle w:val="4"/>
          <w:rFonts w:hint="eastAsia" w:asciiTheme="majorEastAsia" w:hAnsiTheme="majorEastAsia" w:eastAsiaTheme="majorEastAsia" w:cstheme="majorEastAsia"/>
          <w:sz w:val="28"/>
          <w:szCs w:val="28"/>
          <w:lang w:val="en-US" w:eastAsia="zh-CN"/>
        </w:rPr>
        <w:footnoteReference w:id="39"/>
      </w:r>
      <w:r>
        <w:rPr>
          <w:rFonts w:hint="eastAsia" w:asciiTheme="majorEastAsia" w:hAnsiTheme="majorEastAsia" w:eastAsiaTheme="majorEastAsia" w:cstheme="majorEastAsia"/>
          <w:sz w:val="28"/>
          <w:szCs w:val="28"/>
          <w:lang w:val="en-US" w:eastAsia="zh-CN"/>
        </w:rPr>
        <w:t>借法官之手化为裁判，滋生出个别司法腐败，产生司法不公。相比较世界上一些法治发达国家，在宪法上对法官权力都有宣誓性规定。德国宪法第92条规定“司法权付托于法官……”，第97条“一、法官应独立行使职权，并只服从法律。二、正式任用之法官非经法定理由，依照法定程序，在其任期届满前，不得违反其意志予以免职或永久或暂时予以停职或转任或退休……”。</w:t>
      </w:r>
      <w:r>
        <w:rPr>
          <w:rStyle w:val="4"/>
          <w:rFonts w:hint="eastAsia" w:asciiTheme="majorEastAsia" w:hAnsiTheme="majorEastAsia" w:eastAsiaTheme="majorEastAsia" w:cstheme="majorEastAsia"/>
          <w:sz w:val="28"/>
          <w:szCs w:val="28"/>
          <w:lang w:val="en-US" w:eastAsia="zh-CN"/>
        </w:rPr>
        <w:footnoteReference w:id="40"/>
      </w:r>
      <w:r>
        <w:rPr>
          <w:rFonts w:hint="eastAsia" w:asciiTheme="majorEastAsia" w:hAnsiTheme="majorEastAsia" w:eastAsiaTheme="majorEastAsia" w:cstheme="majorEastAsia"/>
          <w:sz w:val="28"/>
          <w:szCs w:val="28"/>
          <w:lang w:val="en-US" w:eastAsia="zh-CN"/>
        </w:rPr>
        <w:t>法国宪法规定，司法官的地位由组织法规定，审判官是终身职。其组织法对法官的权力进行了详细的规定。日本宪法第76条第3款规定“所有法官依良心独立行使职权，只受本宪法及法律的拘束。”。在英国，法官虽然是英王任命，但是仍然只对法律负责，对其实现公正的使命负责。</w:t>
      </w:r>
      <w:r>
        <w:rPr>
          <w:rStyle w:val="4"/>
          <w:rFonts w:hint="eastAsia" w:asciiTheme="majorEastAsia" w:hAnsiTheme="majorEastAsia" w:eastAsiaTheme="majorEastAsia" w:cstheme="majorEastAsia"/>
          <w:sz w:val="28"/>
          <w:szCs w:val="28"/>
          <w:lang w:val="en-US" w:eastAsia="zh-CN"/>
        </w:rPr>
        <w:footnoteReference w:id="41"/>
      </w:r>
      <w:r>
        <w:rPr>
          <w:rFonts w:hint="eastAsia" w:asciiTheme="majorEastAsia" w:hAnsiTheme="majorEastAsia" w:eastAsiaTheme="majorEastAsia" w:cstheme="majorEastAsia"/>
          <w:sz w:val="28"/>
          <w:szCs w:val="28"/>
          <w:lang w:val="en-US" w:eastAsia="zh-CN"/>
        </w:rPr>
        <w:t>事实上法官独立行使审判权已经是世界通行的做法。《世界司法独立宣言》（草案，以下简称《宣言》）被世界各国普遍认同，《宣言》第2条规定“每个法官应自由地根据其对事实的评价和法律的解释，在不受来自于任何方面或者由于任何原因的直接或者间接的限制、影响、诱导、压力、威胁或者干涉的情况下，对案件秉公裁决，此乃他们应有之职责。”。</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2、我国法院在组织制度上对法官权力问题也缺乏具体安排。由于我国宪法没有规定法官的权力，因此作为下位法的《人民法院组织法》也无法超越上位法的规定，只是移植了宪法第126条作为该法的第4条，赋予法院独立行使审判权，对于审判员或者说法官在第34条中仅仅规定了入职条件，</w:t>
      </w:r>
      <w:r>
        <w:rPr>
          <w:rStyle w:val="4"/>
          <w:rFonts w:hint="eastAsia" w:asciiTheme="majorEastAsia" w:hAnsiTheme="majorEastAsia" w:eastAsiaTheme="majorEastAsia" w:cstheme="majorEastAsia"/>
          <w:sz w:val="28"/>
          <w:szCs w:val="28"/>
          <w:lang w:val="en-US" w:eastAsia="zh-CN"/>
        </w:rPr>
        <w:footnoteReference w:id="42"/>
      </w:r>
      <w:r>
        <w:rPr>
          <w:rFonts w:hint="eastAsia" w:asciiTheme="majorEastAsia" w:hAnsiTheme="majorEastAsia" w:eastAsiaTheme="majorEastAsia" w:cstheme="majorEastAsia"/>
          <w:sz w:val="28"/>
          <w:szCs w:val="28"/>
          <w:lang w:val="en-US" w:eastAsia="zh-CN"/>
        </w:rPr>
        <w:t>可法官的权限问题仍然空缺没有做出规定。《法官法》出台后，对法官的权力问题进行了制度上的填补，第8条“……依法审判案件不受行政机关、社会团体和个人的干涉；非因法定事由、非经法定程序，不被免职、降职、辞退或者处分……”从形式上看，法官有了独立审判权，但是仔细一看，会发现法院内部的法官独立问题仍然缺乏规定，内部行政化问题仍然没有得到制度上的解决。因为法官审判权的独立运行不仅会受到外部干扰，还会受到内部的干扰，从某种意义上说内部行政干扰可能更为严重，实践证明一些司法腐败问题恰恰就是因内部干扰而产生。同时由于法官与书记员、法官与员额制后产生的法官助理的关系没有制度规定，法官权力运行更是困难重重。</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3、规范性文件涉及法官权力的制度少，责任的制度多。如最高人民法院2001年制定的《中华人民共和国法官职业道德基本准则》涉及法官权力保障的仅有2条、第2条、44条，第2条仅仅是对《法官法》第8条的小部分重述，并无具体的展开，不具有操作性，其余40多条全部是有关法官义务责任的规定。随着司法改革的推进，法官享有独立裁判权，才慢慢有“审理者裁判，裁判者负责”的理念进入司法改革文件中，然而相对的保障性规范却迟迟没进入组织法、程序法、实体法中。法官权力运行仍然步履维艰。</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（二）法官权力配置的制度构建建议。</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1、宪法对法官独立行使审判权的宣誓性规定不可缺少。从世界视角来看，存在两大法系，一种是判例为主的英美法系，这种法系的特点是大部分法律规则和原则可以通过判例的形式确定出来，因此其成文法可以显得量少和粗疏，但是通过判例弥补其不足或者漏洞后，仍然可以适应千变万化变化的现实问题，如美国很多法律原则就是通过判例确定的规范作为新例，来确定一个法律规则或者法律原则的，以此满足后来发生相同或者相似法律事实所适用的法律。因此宪法即使没有详细规定法官的权力，判例完全可以创设法官的权力范围。英美法系国家的法官权力问题，正是存在于量少和粗疏的成文法和判例中。然而大陆法系国家，却截然相反，如果在成文法中没有规定，判例或者说案例很难创设一个法律规则，更难说法律原则，即使存在这样的案例也难逃立法机关的非议。因此对于法官权力这么重要的问题，应当有明确的法律预设。宪法是大陆法系国家的根本大法，首先应当宣誓法官有怎样的权力，其他基本法和特别法从可能进行细化。德国与法国对于法官权力，在根本法和基本法及特别法上就构建比较好。我国是大陆法系国家，也应当如此。建议将我国《宪法》第126条“人民法院独立行使审判权，不受行政机关、社会团体和个人的干涉”修改为“人民法院独立行使审判权，案件审理时由法官独立行使，不受行政机关、社会团体和个人的干涉。”。对法官的称谓规范为世界各国一般的称谓，将审判员统一称为“法官”。</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对人民法院组织法和法官法中有关法官权力内容应当强化。我国的法院组织法系1979年7月1日颁布，因为当时的历史条件限制对于法官的权力问题基本没有规定，1983年虽然进行了修改，但是对法官独立行使审判权的问题仍然没有多少认识，因此对此问题的认识没有得到升华，以至于没有迈出关键的一步，现在经过三十多年的司法实践，社会不同群体及党政各级部门，已经认识到只有在法官专业化及职业化前提下，还应当赋予法官独立审判案件权，才能保障司法的公平公正。因此再次修改法院组织法，应当成为深化司法改革的组成部分。建议将《人民法院组织法》第2条增加一款作为第3款“各级人民法院在审理案件时，审判权由法官独立行使，不受任何机关、社会团体和个人的干涉。”第19条第1款、第额4条第1款、第27条第1款、第31条第1款分别修改为“XX法院由首席法官一人，法官若干名组成。”。第34条应当将法官的年龄条件和其他任职条件提高，将院长称为首席法官，其他统一称为法官,去掉助理审判员，第37条“各级人民法院按照需要可以设助理审判员……”修改为“各级人民法院按照需要可以招聘法官助理、书记员及其他行政辅助人员，由本级人民法院任命或者解聘；法官助理、书记员及其他行政辅助人员的工作职责，由最高人民法院制定实施细则。”，删除第四十条，第四十一条应删除第2款。</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对于法官法的修改重在细化法官的权力内容。其一，法官分类上以首席法官替代法院院长，其余称为法官；其二对于赋予法官权利条款应增加法官对法官助理及书记员的审判管理权。因此对第八条增加一项“有权领导和监督法官助理、书记员工作”作为第三项内容。</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制定法官助理、书记员及其他司法行政辅助人员工作职责细则。法官助理、书记员及其他司法行政辅助人员工作职责实施细则应当由最高人民法院制定，之所以如此，是因为法院人员分类改革后，涉及不同群体，每一种群体的利益和工作职责，都应当与其履行的工作任务相当，工作任务随着改革形势的发展还需要进行调整，能够处理好这一点的前提条件，熟悉我国多年的审判制度的历史实践，存在的问题和困难，并且进行过多年的研究和经验总结，相关资料的完整收集，能够做到这一点的，只有最高人民法院。作为最高人民法院在法院人员结构、特点等队伍建设方面，已经做了多年的研究，有比较丰富的研究成果，因此制定出来的实施细则，更具有实践性、理论性和可操作性。建议最高人民法院在制定法官助理、书记员及其他司法行政辅助人员工作职责实施细则时，考量以下方面的问题：第一对于法官助理的职责内容，应考虑法官可以分离出来交与法官助理和不能分离出来的内容交与法官助理的工作内容，并明确重述法官的权力，为此法官助理应有这样的一些职责：接受法官领导、协助法官开展庭审工作、受法官委托监督书记员工作、受法官委托组织调解案件、根据法官或者合议庭意见草拟裁判文书、代理法官协调与其他辅助人员工作、草拟审理报告、配合书记员校核法律文书、完成法官交办的其他工作；第二对于书记员的工作职责，以《人民法院组织法》第40条“……担任记录工作并办理有关审判的其他工作。”为基础，结合法官助理的工作职责的相互衔接，细化其工作职责内容；第三法警和后勤人员按照公务员法及人民警察法和法院工作的特殊性制定其工作职责。</w:t>
      </w:r>
    </w:p>
    <w:p>
      <w:pPr>
        <w:numPr>
          <w:ilvl w:val="0"/>
          <w:numId w:val="0"/>
        </w:numPr>
        <w:rPr>
          <w:rFonts w:hint="eastAsia" w:asciiTheme="majorEastAsia" w:hAnsiTheme="majorEastAsia" w:eastAsiaTheme="majorEastAsia" w:cstheme="majorEastAsia"/>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 w:name="新宋体">
    <w:panose1 w:val="02010609030101010101"/>
    <w:charset w:val="86"/>
    <w:family w:val="auto"/>
    <w:pitch w:val="default"/>
    <w:sig w:usb0="00000003"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汉仪旗黑-55">
    <w:panose1 w:val="00020600040101010101"/>
    <w:charset w:val="86"/>
    <w:family w:val="auto"/>
    <w:pitch w:val="default"/>
    <w:sig w:usb0="A00002BF" w:usb1="18EF7CFA" w:usb2="00000016" w:usb3="00000000" w:csb0="00040000" w:csb1="00000000"/>
  </w:font>
  <w:font w:name="汉仪旗黑-55S">
    <w:panose1 w:val="00020600040101010101"/>
    <w:charset w:val="86"/>
    <w:family w:val="auto"/>
    <w:pitch w:val="default"/>
    <w:sig w:usb0="A00002BF" w:usb1="18EF7CFA" w:usb2="00000016" w:usb3="00000000" w:csb0="00040000" w:csb1="00000000"/>
  </w:font>
  <w:font w:name="Arial">
    <w:panose1 w:val="020B0604020202020204"/>
    <w:charset w:val="00"/>
    <w:family w:val="auto"/>
    <w:pitch w:val="default"/>
    <w:sig w:usb0="00007A87" w:usb1="80000000" w:usb2="00000008" w:usb3="00000000" w:csb0="400001FF" w:csb1="FFFF0000"/>
  </w:font>
  <w:font w:name="Calibri Light">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rPr>
          <w:rFonts w:hint="eastAsia"/>
          <w:lang w:val="en-US" w:eastAsia="zh-CN"/>
        </w:rPr>
      </w:pPr>
      <w:r>
        <w:rPr>
          <w:rStyle w:val="4"/>
        </w:rPr>
        <w:footnoteRef/>
      </w:r>
      <w:r>
        <w:t xml:space="preserve"> </w:t>
      </w:r>
      <w:r>
        <w:rPr>
          <w:rFonts w:hint="eastAsia"/>
          <w:lang w:eastAsia="zh-CN"/>
        </w:rPr>
        <w:t>参见</w:t>
      </w:r>
      <w:r>
        <w:rPr>
          <w:rFonts w:hint="eastAsia"/>
          <w:lang w:val="en-US" w:eastAsia="zh-CN"/>
        </w:rPr>
        <w:t xml:space="preserve">DavidM.O’Brien Stom Center:The Suprene Court in Am  erican Politics New York.London </w:t>
      </w:r>
    </w:p>
    <w:p>
      <w:pPr>
        <w:pStyle w:val="2"/>
        <w:snapToGrid w:val="0"/>
        <w:rPr>
          <w:rFonts w:hint="eastAsia"/>
          <w:lang w:val="en-US" w:eastAsia="zh-CN"/>
        </w:rPr>
      </w:pPr>
      <w:r>
        <w:rPr>
          <w:rFonts w:hint="eastAsia"/>
          <w:lang w:val="en-US" w:eastAsia="zh-CN"/>
        </w:rPr>
        <w:t>W.W.Norton</w:t>
      </w:r>
      <w:r>
        <w:rPr>
          <w:rFonts w:hint="eastAsia" w:ascii="宋体" w:hAnsi="宋体" w:eastAsia="宋体" w:cs="宋体"/>
          <w:lang w:val="en-US" w:eastAsia="zh-CN"/>
        </w:rPr>
        <w:t>＆Canpany,2008 P 135.</w:t>
      </w:r>
    </w:p>
  </w:footnote>
  <w:footnote w:id="1">
    <w:p>
      <w:pPr>
        <w:pStyle w:val="2"/>
        <w:snapToGrid w:val="0"/>
      </w:pPr>
      <w:r>
        <w:rPr>
          <w:rStyle w:val="4"/>
        </w:rPr>
        <w:footnoteRef/>
      </w:r>
      <w:r>
        <w:t xml:space="preserve"> </w:t>
      </w:r>
      <w:r>
        <w:rPr>
          <w:rFonts w:hint="eastAsia"/>
          <w:lang w:eastAsia="zh-CN"/>
        </w:rPr>
        <w:t>参见江振春：“美国联邦最高法院与法官助理制度”，《南京大学学报》（哲学</w:t>
      </w:r>
      <w:r>
        <w:rPr>
          <w:rFonts w:hint="eastAsia" w:ascii="宋体" w:hAnsi="宋体" w:eastAsia="宋体" w:cs="宋体"/>
          <w:lang w:eastAsia="zh-CN"/>
        </w:rPr>
        <w:t>·人文科学·社会科学版</w:t>
      </w:r>
      <w:r>
        <w:rPr>
          <w:rFonts w:hint="eastAsia"/>
          <w:lang w:eastAsia="zh-CN"/>
        </w:rPr>
        <w:t>），</w:t>
      </w:r>
      <w:r>
        <w:rPr>
          <w:rFonts w:hint="eastAsia"/>
          <w:lang w:val="en-US" w:eastAsia="zh-CN"/>
        </w:rPr>
        <w:t>2010年第2期第37页。</w:t>
      </w:r>
    </w:p>
  </w:footnote>
  <w:footnote w:id="2">
    <w:p>
      <w:pPr>
        <w:pStyle w:val="2"/>
        <w:snapToGrid w:val="0"/>
      </w:pPr>
      <w:r>
        <w:rPr>
          <w:rStyle w:val="4"/>
        </w:rPr>
        <w:footnoteRef/>
      </w:r>
      <w:r>
        <w:t xml:space="preserve"> </w:t>
      </w:r>
      <w:r>
        <w:rPr>
          <w:rFonts w:hint="eastAsia"/>
          <w:lang w:eastAsia="zh-CN"/>
        </w:rPr>
        <w:t>同上注。</w:t>
      </w:r>
    </w:p>
  </w:footnote>
  <w:footnote w:id="3">
    <w:p>
      <w:pPr>
        <w:pStyle w:val="2"/>
        <w:snapToGrid w:val="0"/>
      </w:pPr>
      <w:r>
        <w:rPr>
          <w:rStyle w:val="4"/>
        </w:rPr>
        <w:footnoteRef/>
      </w:r>
      <w:r>
        <w:t xml:space="preserve"> </w:t>
      </w:r>
      <w:r>
        <w:rPr>
          <w:rFonts w:hint="eastAsia"/>
          <w:lang w:eastAsia="zh-CN"/>
        </w:rPr>
        <w:t>齐树洁主编：《英国司法制度》，厦门大学出版社，</w:t>
      </w:r>
      <w:r>
        <w:rPr>
          <w:rFonts w:hint="eastAsia"/>
          <w:lang w:val="en-US" w:eastAsia="zh-CN"/>
        </w:rPr>
        <w:t>2007年2月第2版</w:t>
      </w:r>
    </w:p>
  </w:footnote>
  <w:footnote w:id="4">
    <w:p>
      <w:pPr>
        <w:pStyle w:val="2"/>
        <w:snapToGrid w:val="0"/>
      </w:pPr>
      <w:r>
        <w:rPr>
          <w:rStyle w:val="4"/>
        </w:rPr>
        <w:footnoteRef/>
      </w:r>
      <w:r>
        <w:t xml:space="preserve"> </w:t>
      </w:r>
      <w:r>
        <w:rPr>
          <w:rFonts w:hint="eastAsia"/>
          <w:lang w:eastAsia="zh-CN"/>
        </w:rPr>
        <w:t>孙国明主编：《法官助理，人民法院出版社》，</w:t>
      </w:r>
      <w:r>
        <w:rPr>
          <w:rFonts w:hint="eastAsia"/>
          <w:lang w:val="en-US" w:eastAsia="zh-CN"/>
        </w:rPr>
        <w:t>2007年版，第240页。</w:t>
      </w:r>
    </w:p>
  </w:footnote>
  <w:footnote w:id="5">
    <w:p>
      <w:pPr>
        <w:pStyle w:val="2"/>
        <w:snapToGrid w:val="0"/>
      </w:pPr>
      <w:r>
        <w:rPr>
          <w:rStyle w:val="4"/>
        </w:rPr>
        <w:footnoteRef/>
      </w:r>
      <w:r>
        <w:t xml:space="preserve"> </w:t>
      </w:r>
      <w:r>
        <w:rPr>
          <w:rFonts w:hint="eastAsia"/>
          <w:lang w:eastAsia="zh-CN"/>
        </w:rPr>
        <w:t>陈志兴“让法官员额制‘根深叶茂’：怎样设计一个好的法官助理制度”，载《中国知识产权法学研究会</w:t>
      </w:r>
      <w:r>
        <w:rPr>
          <w:rFonts w:hint="eastAsia"/>
          <w:lang w:val="en-US" w:eastAsia="zh-CN"/>
        </w:rPr>
        <w:t>2015年论文集</w:t>
      </w:r>
      <w:r>
        <w:rPr>
          <w:rFonts w:hint="eastAsia"/>
          <w:lang w:eastAsia="zh-CN"/>
        </w:rPr>
        <w:t>》。</w:t>
      </w:r>
    </w:p>
  </w:footnote>
  <w:footnote w:id="6">
    <w:p>
      <w:pPr>
        <w:pStyle w:val="2"/>
        <w:snapToGrid w:val="0"/>
      </w:pPr>
      <w:r>
        <w:rPr>
          <w:rStyle w:val="4"/>
        </w:rPr>
        <w:footnoteRef/>
      </w:r>
      <w:r>
        <w:t xml:space="preserve"> </w:t>
      </w:r>
      <w:r>
        <w:rPr>
          <w:rFonts w:hint="eastAsia"/>
          <w:lang w:eastAsia="zh-CN"/>
        </w:rPr>
        <w:t>傅郁林：“以职那权界定为基础的审判员分类改革”，《现代法学》，</w:t>
      </w:r>
      <w:r>
        <w:rPr>
          <w:rFonts w:hint="eastAsia"/>
          <w:lang w:val="en-US" w:eastAsia="zh-CN"/>
        </w:rPr>
        <w:t>2015年第4期，第16页。</w:t>
      </w:r>
    </w:p>
  </w:footnote>
  <w:footnote w:id="7">
    <w:p>
      <w:pPr>
        <w:pStyle w:val="2"/>
        <w:snapToGrid w:val="0"/>
      </w:pPr>
      <w:r>
        <w:rPr>
          <w:rStyle w:val="4"/>
        </w:rPr>
        <w:footnoteRef/>
      </w:r>
      <w:r>
        <w:t xml:space="preserve"> </w:t>
      </w:r>
      <w:r>
        <w:rPr>
          <w:rFonts w:hint="eastAsia"/>
          <w:lang w:eastAsia="zh-CN"/>
        </w:rPr>
        <w:t>郃中林、田心则：“第三届海峡两岸暨澳门司法高层论坛综述”，《人民司法》（应用），</w:t>
      </w:r>
      <w:r>
        <w:rPr>
          <w:rFonts w:hint="eastAsia"/>
          <w:lang w:val="en-US" w:eastAsia="zh-CN"/>
        </w:rPr>
        <w:t>2016年第1期，第43页。</w:t>
      </w:r>
    </w:p>
  </w:footnote>
  <w:footnote w:id="8">
    <w:p>
      <w:pPr>
        <w:pStyle w:val="2"/>
        <w:snapToGrid w:val="0"/>
      </w:pPr>
      <w:r>
        <w:rPr>
          <w:rStyle w:val="4"/>
        </w:rPr>
        <w:footnoteRef/>
      </w:r>
      <w:r>
        <w:t xml:space="preserve"> </w:t>
      </w:r>
      <w:r>
        <w:rPr>
          <w:rFonts w:hint="eastAsia"/>
          <w:lang w:eastAsia="zh-CN"/>
        </w:rPr>
        <w:t>薛永慧：“从台湾与司法辅助人员的关系看大陆法官员额制改革”，《台湾研究集刊》</w:t>
      </w:r>
      <w:r>
        <w:rPr>
          <w:rFonts w:hint="eastAsia"/>
          <w:lang w:val="en-US" w:eastAsia="zh-CN"/>
        </w:rPr>
        <w:t>2015年第6期，第78页。</w:t>
      </w:r>
    </w:p>
  </w:footnote>
  <w:footnote w:id="9">
    <w:p>
      <w:pPr>
        <w:pStyle w:val="2"/>
        <w:snapToGrid w:val="0"/>
      </w:pPr>
      <w:r>
        <w:rPr>
          <w:rStyle w:val="4"/>
        </w:rPr>
        <w:footnoteRef/>
      </w:r>
      <w:r>
        <w:t xml:space="preserve"> </w:t>
      </w:r>
      <w:r>
        <w:rPr>
          <w:rFonts w:hint="eastAsia"/>
          <w:lang w:eastAsia="zh-CN"/>
        </w:rPr>
        <w:t>杨鸿烈著：《中国法律发达史》</w:t>
      </w:r>
      <w:r>
        <w:rPr>
          <w:rFonts w:hint="eastAsia"/>
          <w:lang w:val="en-US" w:eastAsia="zh-CN"/>
        </w:rPr>
        <w:t>，中国政法大学出版社2009年版，第218页。</w:t>
      </w:r>
    </w:p>
  </w:footnote>
  <w:footnote w:id="10">
    <w:p>
      <w:pPr>
        <w:pStyle w:val="2"/>
        <w:snapToGrid w:val="0"/>
      </w:pPr>
      <w:r>
        <w:rPr>
          <w:rStyle w:val="4"/>
        </w:rPr>
        <w:footnoteRef/>
      </w:r>
      <w:r>
        <w:t xml:space="preserve"> </w:t>
      </w:r>
      <w:r>
        <w:rPr>
          <w:rFonts w:hint="eastAsia"/>
          <w:lang w:eastAsia="zh-CN"/>
        </w:rPr>
        <w:t>杨鸿烈著：《中国法律发达史》</w:t>
      </w:r>
      <w:r>
        <w:rPr>
          <w:rFonts w:hint="eastAsia"/>
          <w:lang w:val="en-US" w:eastAsia="zh-CN"/>
        </w:rPr>
        <w:t>，中国政法大学出版社2009年版，第384页。</w:t>
      </w:r>
    </w:p>
  </w:footnote>
  <w:footnote w:id="11">
    <w:p>
      <w:pPr>
        <w:pStyle w:val="2"/>
        <w:snapToGrid w:val="0"/>
      </w:pPr>
      <w:r>
        <w:rPr>
          <w:rStyle w:val="4"/>
        </w:rPr>
        <w:footnoteRef/>
      </w:r>
      <w:r>
        <w:t xml:space="preserve"> </w:t>
      </w:r>
      <w:r>
        <w:rPr>
          <w:rFonts w:hint="eastAsia"/>
          <w:lang w:eastAsia="zh-CN"/>
        </w:rPr>
        <w:t>见最高人民法院《人民法院五年改革纲要</w:t>
      </w:r>
      <w:r>
        <w:rPr>
          <w:rFonts w:hint="eastAsia"/>
          <w:lang w:val="en-US" w:eastAsia="zh-CN"/>
        </w:rPr>
        <w:t>(1999-2003)</w:t>
      </w:r>
      <w:r>
        <w:rPr>
          <w:rFonts w:hint="eastAsia"/>
          <w:lang w:eastAsia="zh-CN"/>
        </w:rPr>
        <w:t>》第</w:t>
      </w:r>
      <w:r>
        <w:rPr>
          <w:rFonts w:hint="eastAsia"/>
          <w:lang w:val="en-US" w:eastAsia="zh-CN"/>
        </w:rPr>
        <w:t>13条</w:t>
      </w:r>
    </w:p>
  </w:footnote>
  <w:footnote w:id="12">
    <w:p>
      <w:pPr>
        <w:pStyle w:val="2"/>
        <w:snapToGrid w:val="0"/>
      </w:pPr>
      <w:r>
        <w:rPr>
          <w:rStyle w:val="4"/>
        </w:rPr>
        <w:footnoteRef/>
      </w:r>
      <w:r>
        <w:t xml:space="preserve"> </w:t>
      </w:r>
      <w:r>
        <w:rPr>
          <w:rFonts w:hint="eastAsia"/>
          <w:lang w:eastAsia="zh-CN"/>
        </w:rPr>
        <w:t>见最高法院《关于加强法官队伍职业化建设的若干意见》第</w:t>
      </w:r>
      <w:r>
        <w:rPr>
          <w:rFonts w:hint="eastAsia"/>
          <w:lang w:val="en-US" w:eastAsia="zh-CN"/>
        </w:rPr>
        <w:t>29条。</w:t>
      </w:r>
    </w:p>
  </w:footnote>
  <w:footnote w:id="13">
    <w:p>
      <w:pPr>
        <w:pStyle w:val="2"/>
        <w:snapToGrid w:val="0"/>
      </w:pPr>
      <w:r>
        <w:rPr>
          <w:rStyle w:val="4"/>
        </w:rPr>
        <w:footnoteRef/>
      </w:r>
      <w:r>
        <w:t xml:space="preserve"> </w:t>
      </w:r>
      <w:r>
        <w:rPr>
          <w:rFonts w:hint="eastAsia"/>
          <w:lang w:eastAsia="zh-CN"/>
        </w:rPr>
        <w:t>见最高人民法院《人民法院五年改革纲要</w:t>
      </w:r>
      <w:r>
        <w:rPr>
          <w:rFonts w:hint="eastAsia"/>
          <w:lang w:val="en-US" w:eastAsia="zh-CN"/>
        </w:rPr>
        <w:t>(2004-2008)</w:t>
      </w:r>
      <w:r>
        <w:rPr>
          <w:rFonts w:hint="eastAsia"/>
          <w:lang w:eastAsia="zh-CN"/>
        </w:rPr>
        <w:t>》第</w:t>
      </w:r>
      <w:r>
        <w:rPr>
          <w:rFonts w:hint="eastAsia"/>
          <w:lang w:val="en-US" w:eastAsia="zh-CN"/>
        </w:rPr>
        <w:t>34条。</w:t>
      </w:r>
    </w:p>
  </w:footnote>
  <w:footnote w:id="14">
    <w:p>
      <w:pPr>
        <w:pStyle w:val="2"/>
        <w:snapToGrid w:val="0"/>
      </w:pPr>
      <w:r>
        <w:rPr>
          <w:rStyle w:val="4"/>
        </w:rPr>
        <w:footnoteRef/>
      </w:r>
      <w:r>
        <w:t xml:space="preserve"> </w:t>
      </w:r>
      <w:r>
        <w:rPr>
          <w:rFonts w:hint="eastAsia"/>
          <w:lang w:eastAsia="zh-CN"/>
        </w:rPr>
        <w:t>吴思远：“法官助理制度：经验教训与难题突破”，《法律适用》</w:t>
      </w:r>
      <w:r>
        <w:rPr>
          <w:rFonts w:hint="eastAsia"/>
          <w:lang w:val="en-US" w:eastAsia="zh-CN"/>
        </w:rPr>
        <w:t>2016年第9期第111页。</w:t>
      </w:r>
    </w:p>
  </w:footnote>
  <w:footnote w:id="15">
    <w:p>
      <w:pPr>
        <w:pStyle w:val="2"/>
        <w:snapToGrid w:val="0"/>
      </w:pPr>
      <w:r>
        <w:rPr>
          <w:rStyle w:val="4"/>
        </w:rPr>
        <w:footnoteRef/>
      </w:r>
      <w:r>
        <w:t xml:space="preserve"> </w:t>
      </w:r>
      <w:r>
        <w:rPr>
          <w:rFonts w:hint="eastAsia"/>
          <w:lang w:eastAsia="zh-CN"/>
        </w:rPr>
        <w:t>拜荣静：“法官员额制的新问题及其应对”，《兰州大学学报》（哲学社会科学版）</w:t>
      </w:r>
      <w:r>
        <w:rPr>
          <w:rFonts w:hint="eastAsia"/>
          <w:lang w:val="en-US" w:eastAsia="zh-CN"/>
        </w:rPr>
        <w:t>2016年</w:t>
      </w:r>
      <w:r>
        <w:rPr>
          <w:rFonts w:hint="eastAsia"/>
          <w:lang w:eastAsia="zh-CN"/>
        </w:rPr>
        <w:t>第</w:t>
      </w:r>
      <w:r>
        <w:rPr>
          <w:rFonts w:hint="eastAsia"/>
          <w:lang w:val="en-US" w:eastAsia="zh-CN"/>
        </w:rPr>
        <w:t>2期第57页。</w:t>
      </w:r>
    </w:p>
  </w:footnote>
  <w:footnote w:id="16">
    <w:p>
      <w:pPr>
        <w:pStyle w:val="2"/>
        <w:snapToGrid w:val="0"/>
      </w:pPr>
      <w:r>
        <w:rPr>
          <w:rStyle w:val="4"/>
        </w:rPr>
        <w:footnoteRef/>
      </w:r>
      <w:r>
        <w:t xml:space="preserve"> </w:t>
      </w:r>
      <w:r>
        <w:rPr>
          <w:rFonts w:hint="eastAsia"/>
          <w:lang w:eastAsia="zh-CN"/>
        </w:rPr>
        <w:t>同上第</w:t>
      </w:r>
      <w:r>
        <w:rPr>
          <w:rFonts w:hint="eastAsia"/>
          <w:lang w:val="en-US" w:eastAsia="zh-CN"/>
        </w:rPr>
        <w:t>16</w:t>
      </w:r>
      <w:bookmarkStart w:id="0" w:name="_GoBack"/>
      <w:bookmarkEnd w:id="0"/>
      <w:r>
        <w:rPr>
          <w:rFonts w:hint="eastAsia"/>
          <w:lang w:val="en-US" w:eastAsia="zh-CN"/>
        </w:rPr>
        <w:t>注。</w:t>
      </w:r>
    </w:p>
  </w:footnote>
  <w:footnote w:id="17">
    <w:p>
      <w:pPr>
        <w:pStyle w:val="2"/>
        <w:snapToGrid w:val="0"/>
      </w:pPr>
      <w:r>
        <w:rPr>
          <w:rStyle w:val="4"/>
        </w:rPr>
        <w:footnoteRef/>
      </w:r>
      <w:r>
        <w:t xml:space="preserve"> </w:t>
      </w:r>
      <w:r>
        <w:rPr>
          <w:rFonts w:hint="eastAsia"/>
          <w:lang w:eastAsia="zh-CN"/>
        </w:rPr>
        <w:t>傅郁林：“以职能权责界定为基础的审判人员分类改革”，《现代法学》</w:t>
      </w:r>
      <w:r>
        <w:rPr>
          <w:rFonts w:hint="eastAsia"/>
          <w:lang w:val="en-US" w:eastAsia="zh-CN"/>
        </w:rPr>
        <w:t>2015年第4期第12页。</w:t>
      </w:r>
    </w:p>
  </w:footnote>
  <w:footnote w:id="18">
    <w:p>
      <w:pPr>
        <w:pStyle w:val="2"/>
        <w:snapToGrid w:val="0"/>
      </w:pPr>
      <w:r>
        <w:rPr>
          <w:rStyle w:val="4"/>
        </w:rPr>
        <w:footnoteRef/>
      </w:r>
      <w:r>
        <w:t xml:space="preserve"> </w:t>
      </w:r>
      <w:r>
        <w:rPr>
          <w:rFonts w:hint="eastAsia"/>
          <w:lang w:eastAsia="zh-CN"/>
        </w:rPr>
        <w:t>龙宗智：“审判管理：功效、局限及界限把握”，《法学研究》</w:t>
      </w:r>
      <w:r>
        <w:rPr>
          <w:rFonts w:hint="eastAsia"/>
          <w:lang w:val="en-US" w:eastAsia="zh-CN"/>
        </w:rPr>
        <w:t>2011年第4期，第23页。</w:t>
      </w:r>
    </w:p>
  </w:footnote>
  <w:footnote w:id="19">
    <w:p>
      <w:pPr>
        <w:pStyle w:val="2"/>
        <w:snapToGrid w:val="0"/>
      </w:pPr>
      <w:r>
        <w:rPr>
          <w:rStyle w:val="4"/>
        </w:rPr>
        <w:footnoteRef/>
      </w:r>
      <w:r>
        <w:t xml:space="preserve"> </w:t>
      </w:r>
      <w:r>
        <w:rPr>
          <w:rFonts w:hint="eastAsia"/>
          <w:lang w:eastAsia="zh-CN"/>
        </w:rPr>
        <w:t>同上</w:t>
      </w:r>
      <w:r>
        <w:rPr>
          <w:rFonts w:hint="eastAsia"/>
          <w:lang w:val="en-US" w:eastAsia="zh-CN"/>
        </w:rPr>
        <w:t>19注。</w:t>
      </w:r>
    </w:p>
  </w:footnote>
  <w:footnote w:id="20">
    <w:p>
      <w:pPr>
        <w:pStyle w:val="2"/>
        <w:snapToGrid w:val="0"/>
      </w:pPr>
      <w:r>
        <w:rPr>
          <w:rStyle w:val="4"/>
        </w:rPr>
        <w:footnoteRef/>
      </w:r>
      <w:r>
        <w:t xml:space="preserve"> </w:t>
      </w:r>
      <w:r>
        <w:rPr>
          <w:rFonts w:hint="eastAsia"/>
          <w:lang w:eastAsia="zh-CN"/>
        </w:rPr>
        <w:t>胡云藤</w:t>
      </w:r>
      <w:r>
        <w:rPr>
          <w:rFonts w:hint="eastAsia"/>
          <w:lang w:val="en-US" w:eastAsia="zh-CN"/>
        </w:rPr>
        <w:t xml:space="preserve"> 范跃如：“审判权与审判管理权运行机制研究”，《人民司法》2011年第15期（应用）第15期第46页。</w:t>
      </w:r>
    </w:p>
  </w:footnote>
  <w:footnote w:id="21">
    <w:p>
      <w:pPr>
        <w:pStyle w:val="2"/>
        <w:snapToGrid w:val="0"/>
      </w:pPr>
      <w:r>
        <w:rPr>
          <w:rStyle w:val="4"/>
        </w:rPr>
        <w:footnoteRef/>
      </w:r>
      <w:r>
        <w:t xml:space="preserve"> </w:t>
      </w:r>
      <w:r>
        <w:rPr>
          <w:rFonts w:hint="eastAsia"/>
          <w:lang w:eastAsia="zh-CN"/>
        </w:rPr>
        <w:t>傅郁林：“以职能权责界定为基础的审判人员分类改革”，《现代法学》</w:t>
      </w:r>
      <w:r>
        <w:rPr>
          <w:rFonts w:hint="eastAsia"/>
          <w:lang w:val="en-US" w:eastAsia="zh-CN"/>
        </w:rPr>
        <w:t>2015年第4期第13页</w:t>
      </w:r>
    </w:p>
  </w:footnote>
  <w:footnote w:id="22">
    <w:p>
      <w:pPr>
        <w:pStyle w:val="2"/>
        <w:snapToGrid w:val="0"/>
      </w:pPr>
      <w:r>
        <w:rPr>
          <w:rStyle w:val="4"/>
        </w:rPr>
        <w:footnoteRef/>
      </w:r>
      <w:r>
        <w:t xml:space="preserve"> </w:t>
      </w:r>
      <w:r>
        <w:rPr>
          <w:rFonts w:hint="eastAsia"/>
          <w:lang w:eastAsia="zh-CN"/>
        </w:rPr>
        <w:t>同上注。</w:t>
      </w:r>
    </w:p>
  </w:footnote>
  <w:footnote w:id="23">
    <w:p>
      <w:pPr>
        <w:pStyle w:val="2"/>
        <w:snapToGrid w:val="0"/>
      </w:pPr>
      <w:r>
        <w:rPr>
          <w:rStyle w:val="4"/>
        </w:rPr>
        <w:footnoteRef/>
      </w:r>
      <w:r>
        <w:t xml:space="preserve"> </w:t>
      </w:r>
      <w:r>
        <w:rPr>
          <w:rFonts w:hint="eastAsia"/>
          <w:lang w:eastAsia="zh-CN"/>
        </w:rPr>
        <w:t>刘茵</w:t>
      </w:r>
      <w:r>
        <w:rPr>
          <w:rFonts w:hint="eastAsia"/>
          <w:lang w:val="en-US" w:eastAsia="zh-CN"/>
        </w:rPr>
        <w:t xml:space="preserve"> 宋毅：“法官助理分类分级管理和职业化发展新模式研究——以北京市第三中级人民法院司法改革试点实践经验为基础”，《法律适用》2016年第5期第89页。</w:t>
      </w:r>
    </w:p>
  </w:footnote>
  <w:footnote w:id="24">
    <w:p>
      <w:pPr>
        <w:pStyle w:val="2"/>
        <w:snapToGrid w:val="0"/>
      </w:pPr>
      <w:r>
        <w:rPr>
          <w:rStyle w:val="4"/>
        </w:rPr>
        <w:footnoteRef/>
      </w:r>
      <w:r>
        <w:t xml:space="preserve"> </w:t>
      </w:r>
      <w:r>
        <w:rPr>
          <w:rFonts w:hint="eastAsia"/>
          <w:lang w:eastAsia="zh-CN"/>
        </w:rPr>
        <w:t>胡云藤</w:t>
      </w:r>
      <w:r>
        <w:rPr>
          <w:rFonts w:hint="eastAsia"/>
          <w:lang w:val="en-US" w:eastAsia="zh-CN"/>
        </w:rPr>
        <w:t xml:space="preserve"> 范跃如：“审判权与审判管理权运行机制研究”，《人民司法》2011年第15期（应用）第15期第47页。</w:t>
      </w:r>
    </w:p>
    <w:p>
      <w:pPr>
        <w:pStyle w:val="2"/>
        <w:snapToGrid w:val="0"/>
      </w:pPr>
    </w:p>
  </w:footnote>
  <w:footnote w:id="25">
    <w:p>
      <w:pPr>
        <w:pStyle w:val="2"/>
        <w:snapToGrid w:val="0"/>
      </w:pPr>
      <w:r>
        <w:rPr>
          <w:rStyle w:val="4"/>
        </w:rPr>
        <w:footnoteRef/>
      </w:r>
      <w:r>
        <w:t xml:space="preserve"> </w:t>
      </w:r>
      <w:r>
        <w:rPr>
          <w:rFonts w:hint="eastAsia"/>
          <w:lang w:eastAsia="zh-CN"/>
        </w:rPr>
        <w:t>龙宗智：“审判管理：功效、局限及界限把握”，《法学研究》</w:t>
      </w:r>
      <w:r>
        <w:rPr>
          <w:rFonts w:hint="eastAsia"/>
          <w:lang w:val="en-US" w:eastAsia="zh-CN"/>
        </w:rPr>
        <w:t>2011年第4期，第32页</w:t>
      </w:r>
    </w:p>
  </w:footnote>
  <w:footnote w:id="26">
    <w:p>
      <w:pPr>
        <w:pStyle w:val="2"/>
        <w:snapToGrid w:val="0"/>
      </w:pPr>
      <w:r>
        <w:rPr>
          <w:rStyle w:val="4"/>
        </w:rPr>
        <w:footnoteRef/>
      </w:r>
      <w:r>
        <w:t xml:space="preserve"> </w:t>
      </w:r>
      <w:r>
        <w:rPr>
          <w:rFonts w:hint="eastAsia"/>
          <w:lang w:eastAsia="zh-CN"/>
        </w:rPr>
        <w:t>参见龙宗智：“审判管理：功效、局限及界限把握”，《法学研究》</w:t>
      </w:r>
      <w:r>
        <w:rPr>
          <w:rFonts w:hint="eastAsia"/>
          <w:lang w:val="en-US" w:eastAsia="zh-CN"/>
        </w:rPr>
        <w:t>2011年第4期，第32页</w:t>
      </w:r>
    </w:p>
  </w:footnote>
  <w:footnote w:id="27">
    <w:p>
      <w:pPr>
        <w:pStyle w:val="2"/>
        <w:snapToGrid w:val="0"/>
      </w:pPr>
      <w:r>
        <w:rPr>
          <w:rStyle w:val="4"/>
        </w:rPr>
        <w:footnoteRef/>
      </w:r>
      <w:r>
        <w:t xml:space="preserve"> </w:t>
      </w:r>
      <w:r>
        <w:rPr>
          <w:rFonts w:hint="eastAsia"/>
          <w:lang w:val="en-US" w:eastAsia="zh-CN"/>
        </w:rPr>
        <w:t>问卷调查时间为2016年10—11月，回收裁止时间为2017年1月30日。</w:t>
      </w:r>
    </w:p>
  </w:footnote>
  <w:footnote w:id="28">
    <w:p>
      <w:pPr>
        <w:pStyle w:val="2"/>
        <w:snapToGrid w:val="0"/>
      </w:pPr>
      <w:r>
        <w:rPr>
          <w:rStyle w:val="4"/>
        </w:rPr>
        <w:footnoteRef/>
      </w:r>
      <w:r>
        <w:t xml:space="preserve"> </w:t>
      </w:r>
      <w:r>
        <w:rPr>
          <w:rFonts w:hint="eastAsia"/>
          <w:lang w:eastAsia="zh-CN"/>
        </w:rPr>
        <w:t>王莉君</w:t>
      </w:r>
      <w:r>
        <w:rPr>
          <w:rFonts w:hint="eastAsia"/>
          <w:lang w:val="en-US" w:eastAsia="zh-CN"/>
        </w:rPr>
        <w:t xml:space="preserve"> 孙国华：“论权力与权利的一般关系”，《法学家》2003年第5期第107页。</w:t>
      </w:r>
    </w:p>
  </w:footnote>
  <w:footnote w:id="29">
    <w:p>
      <w:pPr>
        <w:pStyle w:val="2"/>
        <w:snapToGrid w:val="0"/>
      </w:pPr>
      <w:r>
        <w:rPr>
          <w:rStyle w:val="4"/>
        </w:rPr>
        <w:footnoteRef/>
      </w:r>
      <w:r>
        <w:t xml:space="preserve"> </w:t>
      </w:r>
      <w:r>
        <w:rPr>
          <w:rFonts w:hint="eastAsia"/>
          <w:lang w:eastAsia="zh-CN"/>
        </w:rPr>
        <w:t>同上注第</w:t>
      </w:r>
      <w:r>
        <w:rPr>
          <w:rFonts w:hint="eastAsia"/>
          <w:lang w:val="en-US" w:eastAsia="zh-CN"/>
        </w:rPr>
        <w:t>110页。</w:t>
      </w:r>
    </w:p>
  </w:footnote>
  <w:footnote w:id="30">
    <w:p>
      <w:pPr>
        <w:pStyle w:val="2"/>
        <w:snapToGrid w:val="0"/>
      </w:pPr>
      <w:r>
        <w:rPr>
          <w:rStyle w:val="4"/>
        </w:rPr>
        <w:footnoteRef/>
      </w:r>
      <w:r>
        <w:t xml:space="preserve"> </w:t>
      </w:r>
      <w:r>
        <w:rPr>
          <w:rFonts w:hint="eastAsia"/>
          <w:lang w:eastAsia="zh-CN"/>
        </w:rPr>
        <w:t>胡云藤</w:t>
      </w:r>
      <w:r>
        <w:rPr>
          <w:rFonts w:hint="eastAsia"/>
          <w:lang w:val="en-US" w:eastAsia="zh-CN"/>
        </w:rPr>
        <w:t xml:space="preserve"> 范跃如：“审判权与审判管理权运行机制研究”，《人民司法》2011年第15期（应用）第48页。</w:t>
      </w:r>
    </w:p>
    <w:p>
      <w:pPr>
        <w:pStyle w:val="2"/>
        <w:snapToGrid w:val="0"/>
      </w:pPr>
    </w:p>
  </w:footnote>
  <w:footnote w:id="31">
    <w:p>
      <w:pPr>
        <w:pStyle w:val="2"/>
        <w:snapToGrid w:val="0"/>
      </w:pPr>
      <w:r>
        <w:rPr>
          <w:rStyle w:val="4"/>
        </w:rPr>
        <w:footnoteRef/>
      </w:r>
      <w:r>
        <w:t xml:space="preserve"> </w:t>
      </w:r>
      <w:r>
        <w:rPr>
          <w:rFonts w:hint="eastAsia"/>
          <w:lang w:eastAsia="zh-CN"/>
        </w:rPr>
        <w:t>胡云藤</w:t>
      </w:r>
      <w:r>
        <w:rPr>
          <w:rFonts w:hint="eastAsia"/>
          <w:lang w:val="en-US" w:eastAsia="zh-CN"/>
        </w:rPr>
        <w:t xml:space="preserve"> 范跃如：“审判权与审判管理权运行机制研究”，《人民司法》2011年第15期（应用）第47页。</w:t>
      </w:r>
    </w:p>
    <w:p>
      <w:pPr>
        <w:pStyle w:val="2"/>
        <w:snapToGrid w:val="0"/>
      </w:pPr>
    </w:p>
  </w:footnote>
  <w:footnote w:id="32">
    <w:p>
      <w:pPr>
        <w:pStyle w:val="2"/>
        <w:snapToGrid w:val="0"/>
      </w:pPr>
      <w:r>
        <w:rPr>
          <w:rStyle w:val="4"/>
        </w:rPr>
        <w:footnoteRef/>
      </w:r>
      <w:r>
        <w:t xml:space="preserve"> </w:t>
      </w:r>
      <w:r>
        <w:rPr>
          <w:rFonts w:hint="eastAsia"/>
          <w:lang w:eastAsia="zh-CN"/>
        </w:rPr>
        <w:t>高权著：《审判管理学原理》，人民法院出版社，</w:t>
      </w:r>
      <w:r>
        <w:rPr>
          <w:rFonts w:hint="eastAsia"/>
          <w:lang w:val="en-US" w:eastAsia="zh-CN"/>
        </w:rPr>
        <w:t>2014年第1版，第10页。</w:t>
      </w:r>
    </w:p>
  </w:footnote>
  <w:footnote w:id="33">
    <w:p>
      <w:pPr>
        <w:pStyle w:val="2"/>
        <w:snapToGrid w:val="0"/>
      </w:pPr>
      <w:r>
        <w:rPr>
          <w:rStyle w:val="4"/>
        </w:rPr>
        <w:footnoteRef/>
      </w:r>
      <w:r>
        <w:t xml:space="preserve"> </w:t>
      </w:r>
      <w:r>
        <w:rPr>
          <w:rFonts w:hint="eastAsia"/>
          <w:lang w:eastAsia="zh-CN"/>
        </w:rPr>
        <w:t>同上注。</w:t>
      </w:r>
    </w:p>
  </w:footnote>
  <w:footnote w:id="34">
    <w:p>
      <w:pPr>
        <w:pStyle w:val="2"/>
        <w:snapToGrid w:val="0"/>
      </w:pPr>
      <w:r>
        <w:rPr>
          <w:rStyle w:val="4"/>
        </w:rPr>
        <w:footnoteRef/>
      </w:r>
      <w:r>
        <w:t xml:space="preserve"> </w:t>
      </w:r>
      <w:r>
        <w:rPr>
          <w:rFonts w:hint="eastAsia" w:ascii="宋体" w:hAnsi="宋体" w:eastAsia="宋体" w:cs="宋体"/>
        </w:rPr>
        <w:t>[</w:t>
      </w:r>
      <w:r>
        <w:rPr>
          <w:rFonts w:hint="eastAsia" w:ascii="宋体" w:hAnsi="宋体" w:eastAsia="宋体" w:cs="宋体"/>
          <w:lang w:eastAsia="zh-CN"/>
        </w:rPr>
        <w:t>德国</w:t>
      </w:r>
      <w:r>
        <w:rPr>
          <w:rFonts w:hint="eastAsia" w:ascii="宋体" w:hAnsi="宋体" w:eastAsia="宋体" w:cs="宋体"/>
        </w:rPr>
        <w:t>]</w:t>
      </w:r>
      <w:r>
        <w:rPr>
          <w:rFonts w:hint="eastAsia" w:ascii="宋体" w:hAnsi="宋体" w:eastAsia="宋体" w:cs="宋体"/>
          <w:lang w:eastAsia="zh-CN"/>
        </w:rPr>
        <w:t>尼克拉斯·卢曼著《权力》，瞿铁朋译</w:t>
      </w:r>
      <w:r>
        <w:rPr>
          <w:rFonts w:hint="eastAsia" w:ascii="宋体" w:hAnsi="宋体" w:eastAsia="宋体" w:cs="宋体"/>
          <w:lang w:val="en-US" w:eastAsia="zh-CN"/>
        </w:rPr>
        <w:t xml:space="preserve"> 上海人民出版社，2005年第1版，第10页。</w:t>
      </w:r>
    </w:p>
  </w:footnote>
  <w:footnote w:id="35">
    <w:p>
      <w:pPr>
        <w:pStyle w:val="2"/>
        <w:snapToGrid w:val="0"/>
      </w:pPr>
      <w:r>
        <w:rPr>
          <w:rStyle w:val="4"/>
        </w:rPr>
        <w:footnoteRef/>
      </w:r>
      <w:r>
        <w:t xml:space="preserve"> </w:t>
      </w:r>
      <w:r>
        <w:rPr>
          <w:rFonts w:hint="eastAsia"/>
          <w:lang w:eastAsia="zh-CN"/>
        </w:rPr>
        <w:t>同上</w:t>
      </w:r>
      <w:r>
        <w:rPr>
          <w:rFonts w:hint="eastAsia"/>
          <w:lang w:val="en-US" w:eastAsia="zh-CN"/>
        </w:rPr>
        <w:t>注。</w:t>
      </w:r>
    </w:p>
  </w:footnote>
  <w:footnote w:id="36">
    <w:p>
      <w:pPr>
        <w:pStyle w:val="2"/>
        <w:snapToGrid w:val="0"/>
      </w:pPr>
      <w:r>
        <w:rPr>
          <w:rStyle w:val="4"/>
        </w:rPr>
        <w:footnoteRef/>
      </w:r>
      <w:r>
        <w:t xml:space="preserve"> </w:t>
      </w:r>
      <w:r>
        <w:rPr>
          <w:rFonts w:hint="eastAsia"/>
          <w:lang w:eastAsia="zh-CN"/>
        </w:rPr>
        <w:t>参见</w:t>
      </w:r>
      <w:r>
        <w:rPr>
          <w:rFonts w:hint="eastAsia" w:ascii="宋体" w:hAnsi="宋体" w:eastAsia="宋体" w:cs="宋体"/>
          <w:lang w:eastAsia="zh-CN"/>
        </w:rPr>
        <w:t>[美]米尔伊安·</w:t>
      </w:r>
      <w:r>
        <w:rPr>
          <w:rFonts w:hint="eastAsia" w:ascii="宋体" w:hAnsi="宋体" w:eastAsia="宋体" w:cs="宋体"/>
          <w:lang w:val="en-US" w:eastAsia="zh-CN"/>
        </w:rPr>
        <w:t>R达玛什卡（Mirjan R.Damaska）著，郑哥译：《司法和国家权力的多种面孔》中国政法大学出版社2015年版第21-22页，</w:t>
      </w:r>
      <w:r>
        <w:rPr>
          <w:rFonts w:hint="eastAsia" w:ascii="宋体" w:hAnsi="宋体" w:eastAsia="宋体" w:cs="宋体"/>
          <w:lang w:eastAsia="zh-CN"/>
        </w:rPr>
        <w:t>米尔伊安·</w:t>
      </w:r>
      <w:r>
        <w:rPr>
          <w:rFonts w:hint="eastAsia" w:ascii="宋体" w:hAnsi="宋体" w:eastAsia="宋体" w:cs="宋体"/>
          <w:lang w:val="en-US" w:eastAsia="zh-CN"/>
        </w:rPr>
        <w:t>R达玛什卡系比较法研究的大成者，在考察研究了权力的不同分类后，认为要完整对权力进行分类，必须回答三个问题，第一涉及公职人员的性质；第二涉及他们之间的关系；第三涉及他们作出决策的方式，因此将权力结构类型分为两种，一种科层模式；其二为协作型。本课题组认为这种对权力的分类方法，抓住了权力的本质属性，因此采用这样的权力分类方法。</w:t>
      </w:r>
    </w:p>
  </w:footnote>
  <w:footnote w:id="37">
    <w:p>
      <w:pPr>
        <w:pStyle w:val="2"/>
        <w:snapToGrid w:val="0"/>
      </w:pPr>
      <w:r>
        <w:rPr>
          <w:rStyle w:val="4"/>
        </w:rPr>
        <w:footnoteRef/>
      </w:r>
      <w:r>
        <w:t xml:space="preserve"> </w:t>
      </w:r>
      <w:r>
        <w:rPr>
          <w:rFonts w:hint="eastAsia" w:ascii="宋体" w:hAnsi="宋体" w:eastAsia="宋体" w:cs="宋体"/>
        </w:rPr>
        <w:t>[</w:t>
      </w:r>
      <w:r>
        <w:rPr>
          <w:rFonts w:hint="eastAsia" w:ascii="宋体" w:hAnsi="宋体" w:eastAsia="宋体" w:cs="宋体"/>
          <w:lang w:eastAsia="zh-CN"/>
        </w:rPr>
        <w:t>德国</w:t>
      </w:r>
      <w:r>
        <w:rPr>
          <w:rFonts w:hint="eastAsia" w:ascii="宋体" w:hAnsi="宋体" w:eastAsia="宋体" w:cs="宋体"/>
        </w:rPr>
        <w:t>]</w:t>
      </w:r>
      <w:r>
        <w:rPr>
          <w:rFonts w:hint="eastAsia" w:ascii="宋体" w:hAnsi="宋体" w:eastAsia="宋体" w:cs="宋体"/>
          <w:lang w:eastAsia="zh-CN"/>
        </w:rPr>
        <w:t>尼克拉斯·卢曼著《权力》，瞿铁朋译</w:t>
      </w:r>
      <w:r>
        <w:rPr>
          <w:rFonts w:hint="eastAsia" w:ascii="宋体" w:hAnsi="宋体" w:eastAsia="宋体" w:cs="宋体"/>
          <w:lang w:val="en-US" w:eastAsia="zh-CN"/>
        </w:rPr>
        <w:t xml:space="preserve"> 上海人民出版社，2005年第1版，第17页.</w:t>
      </w:r>
    </w:p>
  </w:footnote>
  <w:footnote w:id="38">
    <w:p>
      <w:pPr>
        <w:pStyle w:val="2"/>
        <w:snapToGrid w:val="0"/>
      </w:pPr>
      <w:r>
        <w:rPr>
          <w:rStyle w:val="4"/>
        </w:rPr>
        <w:footnoteRef/>
      </w:r>
      <w:r>
        <w:t xml:space="preserve"> </w:t>
      </w:r>
      <w:r>
        <w:rPr>
          <w:rFonts w:hint="eastAsia"/>
          <w:lang w:eastAsia="zh-CN"/>
        </w:rPr>
        <w:t>龙宗智：“审判管理：功效、局限及界限把握”《法学研究》</w:t>
      </w:r>
      <w:r>
        <w:rPr>
          <w:rFonts w:hint="eastAsia"/>
          <w:lang w:val="en-US" w:eastAsia="zh-CN"/>
        </w:rPr>
        <w:t>2011年第4期第33页。</w:t>
      </w:r>
    </w:p>
  </w:footnote>
  <w:footnote w:id="39">
    <w:p>
      <w:pPr>
        <w:pStyle w:val="2"/>
        <w:snapToGrid w:val="0"/>
      </w:pPr>
      <w:r>
        <w:rPr>
          <w:rStyle w:val="4"/>
        </w:rPr>
        <w:footnoteRef/>
      </w:r>
      <w:r>
        <w:t xml:space="preserve"> </w:t>
      </w:r>
      <w:r>
        <w:rPr>
          <w:rFonts w:hint="eastAsia"/>
          <w:lang w:eastAsia="zh-CN"/>
        </w:rPr>
        <w:t>这种意见可能存在与他人的利益输送，也可能是满足上级的某种意图。</w:t>
      </w:r>
    </w:p>
  </w:footnote>
  <w:footnote w:id="40">
    <w:p>
      <w:pPr>
        <w:pStyle w:val="2"/>
        <w:snapToGrid w:val="0"/>
      </w:pPr>
      <w:r>
        <w:rPr>
          <w:rStyle w:val="4"/>
        </w:rPr>
        <w:footnoteRef/>
      </w:r>
      <w:r>
        <w:t xml:space="preserve"> </w:t>
      </w:r>
      <w:r>
        <w:rPr>
          <w:rFonts w:hint="eastAsia"/>
          <w:lang w:eastAsia="zh-CN"/>
        </w:rPr>
        <w:t>详见德国宪法第</w:t>
      </w:r>
      <w:r>
        <w:rPr>
          <w:rFonts w:hint="eastAsia"/>
          <w:lang w:val="en-US" w:eastAsia="zh-CN"/>
        </w:rPr>
        <w:t>92条、97条。</w:t>
      </w:r>
    </w:p>
  </w:footnote>
  <w:footnote w:id="41">
    <w:p>
      <w:pPr>
        <w:pStyle w:val="2"/>
        <w:snapToGrid w:val="0"/>
      </w:pPr>
      <w:r>
        <w:rPr>
          <w:rStyle w:val="4"/>
        </w:rPr>
        <w:footnoteRef/>
      </w:r>
      <w:r>
        <w:t xml:space="preserve"> </w:t>
      </w:r>
      <w:r>
        <w:rPr>
          <w:rFonts w:hint="eastAsia"/>
          <w:lang w:eastAsia="zh-CN"/>
        </w:rPr>
        <w:t>齐树洁主编：《英国司法制度》，厦门大学出版社，</w:t>
      </w:r>
      <w:r>
        <w:rPr>
          <w:rFonts w:hint="eastAsia"/>
          <w:lang w:val="en-US" w:eastAsia="zh-CN"/>
        </w:rPr>
        <w:t>2007年版，第48页。</w:t>
      </w:r>
    </w:p>
  </w:footnote>
  <w:footnote w:id="42">
    <w:p>
      <w:pPr>
        <w:pStyle w:val="2"/>
        <w:snapToGrid w:val="0"/>
        <w:rPr>
          <w:rFonts w:hint="eastAsia"/>
          <w:lang w:val="en-US" w:eastAsia="zh-CN"/>
        </w:rPr>
      </w:pPr>
      <w:r>
        <w:rPr>
          <w:rStyle w:val="4"/>
        </w:rPr>
        <w:footnoteRef/>
      </w:r>
      <w:r>
        <w:t xml:space="preserve"> </w:t>
      </w:r>
      <w:r>
        <w:rPr>
          <w:rFonts w:hint="eastAsia"/>
          <w:lang w:eastAsia="zh-CN"/>
        </w:rPr>
        <w:t>第</w:t>
      </w:r>
      <w:r>
        <w:rPr>
          <w:rFonts w:hint="eastAsia"/>
          <w:lang w:val="en-US" w:eastAsia="zh-CN"/>
        </w:rPr>
        <w:t>34条规定“有选举权和被选举权的年满二十三岁的公民，可以被选举为人民法院院长，或者被任命为副院长、庭长、副庭长、审判员和助理审判员，但是被剥夺过政治权利的人除外。</w:t>
      </w:r>
    </w:p>
    <w:p>
      <w:pPr>
        <w:pStyle w:val="2"/>
        <w:snapToGrid w:val="0"/>
        <w:rPr>
          <w:rFonts w:hint="eastAsia"/>
          <w:lang w:val="en-US" w:eastAsia="zh-CN"/>
        </w:rPr>
      </w:pPr>
      <w:r>
        <w:rPr>
          <w:rFonts w:hint="eastAsia"/>
          <w:lang w:val="en-US" w:eastAsia="zh-CN"/>
        </w:rPr>
        <w:t>人民法院的审判人员必须具有法律专业知识。</w:t>
      </w:r>
    </w:p>
    <w:p>
      <w:pPr>
        <w:pStyle w:val="2"/>
        <w:snapToGrid w:val="0"/>
      </w:pPr>
      <w:r>
        <w:rPr>
          <w:rFonts w:hint="eastAsia"/>
          <w:lang w:val="en-US"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3EB62"/>
    <w:multiLevelType w:val="singleLevel"/>
    <w:tmpl w:val="58C3EB62"/>
    <w:lvl w:ilvl="0" w:tentative="0">
      <w:start w:val="1"/>
      <w:numFmt w:val="chineseCounting"/>
      <w:suff w:val="nothing"/>
      <w:lvlText w:val="（%1）"/>
      <w:lvlJc w:val="left"/>
    </w:lvl>
  </w:abstractNum>
  <w:abstractNum w:abstractNumId="1">
    <w:nsid w:val="58C3ED20"/>
    <w:multiLevelType w:val="singleLevel"/>
    <w:tmpl w:val="58C3ED20"/>
    <w:lvl w:ilvl="0" w:tentative="0">
      <w:start w:val="1"/>
      <w:numFmt w:val="chineseCounting"/>
      <w:suff w:val="nothing"/>
      <w:lvlText w:val="（%1）"/>
      <w:lvlJc w:val="left"/>
    </w:lvl>
  </w:abstractNum>
  <w:abstractNum w:abstractNumId="2">
    <w:nsid w:val="58C53E76"/>
    <w:multiLevelType w:val="singleLevel"/>
    <w:tmpl w:val="58C53E76"/>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90EAA"/>
    <w:rsid w:val="06B31296"/>
    <w:rsid w:val="0843402D"/>
    <w:rsid w:val="0B4E251E"/>
    <w:rsid w:val="0DB84CC0"/>
    <w:rsid w:val="0E602658"/>
    <w:rsid w:val="0FA92D1E"/>
    <w:rsid w:val="0FFA3006"/>
    <w:rsid w:val="148F4489"/>
    <w:rsid w:val="159918D6"/>
    <w:rsid w:val="1B160A7D"/>
    <w:rsid w:val="1C653636"/>
    <w:rsid w:val="20E91DFF"/>
    <w:rsid w:val="23ED25F5"/>
    <w:rsid w:val="246C52E1"/>
    <w:rsid w:val="25545D9D"/>
    <w:rsid w:val="2626500A"/>
    <w:rsid w:val="27CD6068"/>
    <w:rsid w:val="29E65E04"/>
    <w:rsid w:val="2C332306"/>
    <w:rsid w:val="2D890EAA"/>
    <w:rsid w:val="2D93212B"/>
    <w:rsid w:val="2EB55698"/>
    <w:rsid w:val="3127052C"/>
    <w:rsid w:val="36995E1F"/>
    <w:rsid w:val="38AA7E70"/>
    <w:rsid w:val="3A0F14C2"/>
    <w:rsid w:val="3BD77080"/>
    <w:rsid w:val="401B35F2"/>
    <w:rsid w:val="42EF0DDB"/>
    <w:rsid w:val="43B86F83"/>
    <w:rsid w:val="48C36BA0"/>
    <w:rsid w:val="48E41FDC"/>
    <w:rsid w:val="4DA301B1"/>
    <w:rsid w:val="4E3546D7"/>
    <w:rsid w:val="53685311"/>
    <w:rsid w:val="536C1CAC"/>
    <w:rsid w:val="566710EB"/>
    <w:rsid w:val="5A942D8C"/>
    <w:rsid w:val="5AA75B8A"/>
    <w:rsid w:val="5B855EBD"/>
    <w:rsid w:val="5CFD1A6D"/>
    <w:rsid w:val="5D4364EA"/>
    <w:rsid w:val="63112D3B"/>
    <w:rsid w:val="66E61B5E"/>
    <w:rsid w:val="6CA458C6"/>
    <w:rsid w:val="6D23381D"/>
    <w:rsid w:val="718B4E1F"/>
    <w:rsid w:val="74771DC1"/>
    <w:rsid w:val="784B4BCE"/>
    <w:rsid w:val="789A4E87"/>
    <w:rsid w:val="7BB10A47"/>
    <w:rsid w:val="7C0540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character" w:styleId="4">
    <w:name w:val="footnote reference"/>
    <w:basedOn w:val="3"/>
    <w:qFormat/>
    <w:uiPriority w:val="0"/>
    <w:rPr>
      <w:vertAlign w:val="superscript"/>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diagramColors" Target="diagrams/colors3.xml"/><Relationship Id="rId20" Type="http://schemas.openxmlformats.org/officeDocument/2006/relationships/diagramQuickStyle" Target="diagrams/quickStyle3.xml"/><Relationship Id="rId2" Type="http://schemas.openxmlformats.org/officeDocument/2006/relationships/settings" Target="settings.xml"/><Relationship Id="rId19" Type="http://schemas.openxmlformats.org/officeDocument/2006/relationships/diagramLayout" Target="diagrams/layout3.xml"/><Relationship Id="rId18" Type="http://schemas.openxmlformats.org/officeDocument/2006/relationships/diagramData" Target="diagrams/data3.xml"/><Relationship Id="rId17" Type="http://schemas.openxmlformats.org/officeDocument/2006/relationships/diagramColors" Target="diagrams/colors2.xml"/><Relationship Id="rId16" Type="http://schemas.openxmlformats.org/officeDocument/2006/relationships/diagramQuickStyle" Target="diagrams/quickStyle2.xml"/><Relationship Id="rId15" Type="http://schemas.openxmlformats.org/officeDocument/2006/relationships/diagramLayout" Target="diagrams/layout2.xml"/><Relationship Id="rId14" Type="http://schemas.openxmlformats.org/officeDocument/2006/relationships/diagramData" Target="diagrams/data2.xml"/><Relationship Id="rId13" Type="http://schemas.openxmlformats.org/officeDocument/2006/relationships/diagramColors" Target="diagrams/colors1.xml"/><Relationship Id="rId12" Type="http://schemas.openxmlformats.org/officeDocument/2006/relationships/diagramQuickStyle" Target="diagrams/quickStyle1.xml"/><Relationship Id="rId11" Type="http://schemas.openxmlformats.org/officeDocument/2006/relationships/diagramLayout" Target="diagrams/layout1.xml"/><Relationship Id="rId10" Type="http://schemas.openxmlformats.org/officeDocument/2006/relationships/diagramData" Target="diagrams/data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法官助理管理权行使主体期待情况所占比例图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elete val="1"/>
          </c:dLbls>
          <c:cat>
            <c:strRef>
              <c:f>[工作簿1]Sheet1!$A$1:$A$8</c:f>
              <c:strCache>
                <c:ptCount val="8"/>
                <c:pt idx="0">
                  <c:v>法官</c:v>
                </c:pt>
                <c:pt idx="1">
                  <c:v>组织部门</c:v>
                </c:pt>
                <c:pt idx="2">
                  <c:v>院领导</c:v>
                </c:pt>
                <c:pt idx="3">
                  <c:v>法官 组织部门</c:v>
                </c:pt>
                <c:pt idx="4">
                  <c:v>法官 院领导</c:v>
                </c:pt>
                <c:pt idx="5">
                  <c:v>法官 组织部门 院领导</c:v>
                </c:pt>
                <c:pt idx="6">
                  <c:v>组织部门 院领导</c:v>
                </c:pt>
                <c:pt idx="7">
                  <c:v>其他</c:v>
                </c:pt>
              </c:strCache>
            </c:strRef>
          </c:cat>
          <c:val>
            <c:numRef>
              <c:f>[工作簿1]Sheet1!$B$1:$B$8</c:f>
              <c:numCache>
                <c:formatCode>0.00%</c:formatCode>
                <c:ptCount val="8"/>
                <c:pt idx="0">
                  <c:v>0.397</c:v>
                </c:pt>
                <c:pt idx="1">
                  <c:v>0.371</c:v>
                </c:pt>
                <c:pt idx="2" c:formatCode="0%">
                  <c:v>0.05</c:v>
                </c:pt>
                <c:pt idx="3">
                  <c:v>0.059</c:v>
                </c:pt>
                <c:pt idx="4" c:formatCode="0%">
                  <c:v>0</c:v>
                </c:pt>
                <c:pt idx="5">
                  <c:v>0.019</c:v>
                </c:pt>
                <c:pt idx="6">
                  <c:v>0.033</c:v>
                </c:pt>
                <c:pt idx="7" c:formatCode="0%">
                  <c:v>0.07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1200">
                <a:latin typeface="黑体" panose="02010600030101010101" charset="-122"/>
                <a:ea typeface="黑体" panose="02010600030101010101" charset="-122"/>
              </a:rPr>
              <a:t>法官助理选择管理自己的主体人数分布图</a:t>
            </a:r>
            <a:endParaRPr altLang="en-US" sz="1200">
              <a:latin typeface="黑体" panose="02010600030101010101" charset="-122"/>
              <a:ea typeface="黑体" panose="02010600030101010101" charset="-122"/>
            </a:endParaRPr>
          </a:p>
        </c:rich>
      </c:tx>
      <c:layout>
        <c:manualLayout>
          <c:xMode val="edge"/>
          <c:yMode val="edge"/>
          <c:x val="0.144583333333333"/>
          <c:y val="0.0277777777777778"/>
        </c:manualLayout>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delete val="1"/>
          </c:dLbls>
          <c:cat>
            <c:strRef>
              <c:f>[工作簿1]Sheet1!$A$1:$A$7</c:f>
              <c:strCache>
                <c:ptCount val="7"/>
                <c:pt idx="0">
                  <c:v>法官</c:v>
                </c:pt>
                <c:pt idx="1">
                  <c:v>组织部门</c:v>
                </c:pt>
                <c:pt idx="2">
                  <c:v>院领导</c:v>
                </c:pt>
                <c:pt idx="3">
                  <c:v>法官 组织部门</c:v>
                </c:pt>
                <c:pt idx="4">
                  <c:v>法官 院领导</c:v>
                </c:pt>
                <c:pt idx="5">
                  <c:v>法官 组织部门 院领导</c:v>
                </c:pt>
                <c:pt idx="6">
                  <c:v>组织部门 院领导</c:v>
                </c:pt>
              </c:strCache>
            </c:strRef>
          </c:cat>
          <c:val>
            <c:numRef>
              <c:f>[工作簿1]Sheet1!$B$1:$B$7</c:f>
              <c:numCache>
                <c:formatCode>General</c:formatCode>
                <c:ptCount val="7"/>
                <c:pt idx="0">
                  <c:v>84</c:v>
                </c:pt>
                <c:pt idx="1">
                  <c:v>151</c:v>
                </c:pt>
                <c:pt idx="2">
                  <c:v>17</c:v>
                </c:pt>
                <c:pt idx="3">
                  <c:v>26</c:v>
                </c:pt>
                <c:pt idx="4">
                  <c:v>0</c:v>
                </c:pt>
                <c:pt idx="5">
                  <c:v>7</c:v>
                </c:pt>
                <c:pt idx="6">
                  <c:v>2</c:v>
                </c:pt>
              </c:numCache>
            </c:numRef>
          </c:val>
        </c:ser>
        <c:dLbls>
          <c:showLegendKey val="0"/>
          <c:showVal val="0"/>
          <c:showCatName val="0"/>
          <c:showSerName val="0"/>
          <c:showPercent val="0"/>
          <c:showBubbleSize val="0"/>
        </c:dLbls>
        <c:gapWidth val="182"/>
        <c:overlap val="0"/>
        <c:axId val="750718722"/>
        <c:axId val="107096942"/>
      </c:barChart>
      <c:catAx>
        <c:axId val="750718722"/>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7096942"/>
        <c:crosses val="autoZero"/>
        <c:auto val="1"/>
        <c:lblAlgn val="ctr"/>
        <c:lblOffset val="100"/>
        <c:noMultiLvlLbl val="0"/>
      </c:catAx>
      <c:valAx>
        <c:axId val="10709694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071872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法官助理选择的对书记员管理主体人数比对图</a:t>
            </a:r>
            <a:endParaRPr altLang="en-US"/>
          </a:p>
        </c:rich>
      </c:tx>
      <c:layout/>
      <c:overlay val="0"/>
      <c:spPr>
        <a:noFill/>
        <a:ln>
          <a:noFill/>
        </a:ln>
        <a:effectLst/>
      </c:spPr>
    </c:title>
    <c:autoTitleDeleted val="0"/>
    <c:plotArea>
      <c:layout/>
      <c:doughnut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[工作簿1]Sheet1!$A$1:$A$7</c:f>
              <c:strCache>
                <c:ptCount val="7"/>
                <c:pt idx="0">
                  <c:v>法官</c:v>
                </c:pt>
                <c:pt idx="1">
                  <c:v>组织部门</c:v>
                </c:pt>
                <c:pt idx="2">
                  <c:v>院领导</c:v>
                </c:pt>
                <c:pt idx="3">
                  <c:v>法官 组织部门</c:v>
                </c:pt>
                <c:pt idx="4">
                  <c:v>法官 院领导</c:v>
                </c:pt>
                <c:pt idx="5">
                  <c:v>法官 组织部门 院领导</c:v>
                </c:pt>
                <c:pt idx="6">
                  <c:v>组织部门 院领导</c:v>
                </c:pt>
              </c:strCache>
            </c:strRef>
          </c:cat>
          <c:val>
            <c:numRef>
              <c:f>[工作簿1]Sheet1!$B$1:$B$7</c:f>
              <c:numCache>
                <c:formatCode>General</c:formatCode>
                <c:ptCount val="7"/>
                <c:pt idx="0">
                  <c:v>84</c:v>
                </c:pt>
                <c:pt idx="1">
                  <c:v>102</c:v>
                </c:pt>
                <c:pt idx="2">
                  <c:v>16</c:v>
                </c:pt>
                <c:pt idx="3">
                  <c:v>30</c:v>
                </c:pt>
                <c:pt idx="4">
                  <c:v>0</c:v>
                </c:pt>
                <c:pt idx="5">
                  <c:v>6</c:v>
                </c:pt>
                <c:pt idx="6">
                  <c:v>6</c:v>
                </c:pt>
              </c:numCache>
            </c:numRef>
          </c:val>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书记员选择的对自己管理的主体比对图</a:t>
            </a:r>
            <a:endParaRPr altLang="en-US"/>
          </a:p>
        </c:rich>
      </c:tx>
      <c:layout/>
      <c:overlay val="0"/>
      <c:spPr>
        <a:noFill/>
        <a:ln>
          <a:noFill/>
        </a:ln>
        <a:effectLst/>
      </c:spPr>
    </c:title>
    <c:autoTitleDeleted val="0"/>
    <c:plotArea>
      <c:layout/>
      <c:doughnut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[工作簿1]Sheet1!$A$1:$A$7</c:f>
              <c:strCache>
                <c:ptCount val="7"/>
                <c:pt idx="0">
                  <c:v>法官</c:v>
                </c:pt>
                <c:pt idx="1">
                  <c:v>组织部门</c:v>
                </c:pt>
                <c:pt idx="2">
                  <c:v>院领导</c:v>
                </c:pt>
                <c:pt idx="3">
                  <c:v>法官 组织部门</c:v>
                </c:pt>
                <c:pt idx="4">
                  <c:v>法官 院领导</c:v>
                </c:pt>
                <c:pt idx="5">
                  <c:v>法官 组织部门 院领导</c:v>
                </c:pt>
                <c:pt idx="6">
                  <c:v>组织部门 院领导</c:v>
                </c:pt>
              </c:strCache>
            </c:strRef>
          </c:cat>
          <c:val>
            <c:numRef>
              <c:f>[工作簿1]Sheet1!$B$1:$B$7</c:f>
              <c:numCache>
                <c:formatCode>General</c:formatCode>
                <c:ptCount val="7"/>
                <c:pt idx="0">
                  <c:v>114</c:v>
                </c:pt>
                <c:pt idx="1">
                  <c:v>151</c:v>
                </c:pt>
                <c:pt idx="2">
                  <c:v>23</c:v>
                </c:pt>
                <c:pt idx="3">
                  <c:v>36</c:v>
                </c:pt>
                <c:pt idx="4">
                  <c:v>0</c:v>
                </c:pt>
                <c:pt idx="5">
                  <c:v>0</c:v>
                </c:pt>
                <c:pt idx="6">
                  <c:v>0</c:v>
                </c:pt>
              </c:numCache>
            </c:numRef>
          </c:val>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77D31B3-3808-4FBA-8FA4-CC8D448A173E}" type="doc">
      <dgm:prSet loTypeId="urn:microsoft.com/office/officeart/2005/8/layout/orgChart1" loCatId="hierarchy" qsTypeId="urn:microsoft.com/office/officeart/2005/8/quickstyle/simple1" qsCatId="simple" csTypeId="urn:microsoft.com/office/officeart/2005/8/colors/accent0_1" csCatId="accent1" phldr="0"/>
      <dgm:spPr/>
      <dgm:t>
        <a:bodyPr/>
        <a:p>
          <a:endParaRPr lang="zh-CN" altLang="en-US"/>
        </a:p>
      </dgm:t>
    </dgm:pt>
    <dgm:pt modelId="{47C757F0-AA23-46BE-9311-EA432CDEEAA1}">
      <dgm:prSet phldrT="[文本]" phldr="0" custT="0"/>
      <dgm:spPr/>
      <dgm:t>
        <a:bodyPr vert="horz" wrap="square"/>
        <a:p>
          <a:pPr>
            <a:lnSpc>
              <a:spcPct val="100000"/>
            </a:lnSpc>
            <a:spcBef>
              <a:spcPct val="0"/>
            </a:spcBef>
            <a:spcAft>
              <a:spcPct val="35000"/>
            </a:spcAft>
          </a:pPr>
          <a:r>
            <a:rPr lang="zh-CN" altLang="en-US"/>
            <a:t>法官</a:t>
          </a:r>
          <a:endParaRPr lang="zh-CN" altLang="en-US"/>
        </a:p>
      </dgm:t>
    </dgm:pt>
    <dgm:pt modelId="{AB39B06D-FE6C-48B2-B5B4-77CD0C8CF7AD}" cxnId="{8AB18943-83B1-4D62-A204-3CAE05899857}" type="parTrans">
      <dgm:prSet/>
      <dgm:spPr/>
      <dgm:t>
        <a:bodyPr/>
        <a:p>
          <a:endParaRPr lang="zh-CN" altLang="en-US"/>
        </a:p>
      </dgm:t>
    </dgm:pt>
    <dgm:pt modelId="{DF0D1C21-B79E-4875-B7FA-EF183CB48B88}" cxnId="{8AB18943-83B1-4D62-A204-3CAE05899857}" type="sibTrans">
      <dgm:prSet/>
      <dgm:spPr/>
      <dgm:t>
        <a:bodyPr/>
        <a:p>
          <a:endParaRPr lang="zh-CN" altLang="en-US"/>
        </a:p>
      </dgm:t>
    </dgm:pt>
    <dgm:pt modelId="{B29BF47F-FB6F-4BB3-8B1F-25C507DDACF5}" type="asst">
      <dgm:prSet phldrT="[文本]" phldr="0" custT="0"/>
      <dgm:spPr/>
      <dgm:t>
        <a:bodyPr vert="horz" wrap="square"/>
        <a:p>
          <a:pPr>
            <a:lnSpc>
              <a:spcPct val="100000"/>
            </a:lnSpc>
            <a:spcBef>
              <a:spcPct val="0"/>
            </a:spcBef>
            <a:spcAft>
              <a:spcPct val="35000"/>
            </a:spcAft>
          </a:pPr>
          <a:r>
            <a:rPr lang="zh-CN" altLang="en-US"/>
            <a:t>审判权</a:t>
          </a:r>
          <a:endParaRPr lang="zh-CN" altLang="en-US"/>
        </a:p>
      </dgm:t>
    </dgm:pt>
    <dgm:pt modelId="{4294CB15-5EAF-442A-BADC-24588A60ECFF}" cxnId="{010319ED-9B46-46A7-99E5-97D4394C2392}" type="parTrans">
      <dgm:prSet/>
      <dgm:spPr/>
      <dgm:t>
        <a:bodyPr/>
        <a:p>
          <a:endParaRPr lang="zh-CN" altLang="en-US"/>
        </a:p>
      </dgm:t>
    </dgm:pt>
    <dgm:pt modelId="{4FBEC948-3FA9-4375-B83A-B44348E5F34D}" cxnId="{010319ED-9B46-46A7-99E5-97D4394C2392}" type="sibTrans">
      <dgm:prSet/>
      <dgm:spPr/>
      <dgm:t>
        <a:bodyPr/>
        <a:p>
          <a:endParaRPr lang="zh-CN" altLang="en-US"/>
        </a:p>
      </dgm:t>
    </dgm:pt>
    <dgm:pt modelId="{12714FC6-8B41-47E5-91DD-F02D34D23B93}">
      <dgm:prSet phldrT="[文本]" phldr="0" custT="0"/>
      <dgm:spPr/>
      <dgm:t>
        <a:bodyPr vert="horz" wrap="square"/>
        <a:p>
          <a:pPr>
            <a:lnSpc>
              <a:spcPct val="100000"/>
            </a:lnSpc>
            <a:spcBef>
              <a:spcPct val="0"/>
            </a:spcBef>
            <a:spcAft>
              <a:spcPct val="35000"/>
            </a:spcAft>
          </a:pPr>
          <a:r>
            <a:rPr lang="zh-CN" altLang="en-US"/>
            <a:t>法官助理</a:t>
          </a:r>
          <a:endParaRPr lang="zh-CN" altLang="en-US"/>
        </a:p>
      </dgm:t>
    </dgm:pt>
    <dgm:pt modelId="{EACD17F5-D793-4A43-B489-D1804D50CFEF}" cxnId="{7EEA7D9D-C715-4369-B2BB-543B50D4253F}" type="parTrans">
      <dgm:prSet/>
      <dgm:spPr/>
      <dgm:t>
        <a:bodyPr/>
        <a:p>
          <a:endParaRPr lang="zh-CN" altLang="en-US"/>
        </a:p>
      </dgm:t>
    </dgm:pt>
    <dgm:pt modelId="{FA45D93F-0724-4936-AA45-E6762732A19D}" cxnId="{7EEA7D9D-C715-4369-B2BB-543B50D4253F}" type="sibTrans">
      <dgm:prSet/>
      <dgm:spPr/>
      <dgm:t>
        <a:bodyPr/>
        <a:p>
          <a:endParaRPr lang="zh-CN" altLang="en-US"/>
        </a:p>
      </dgm:t>
    </dgm:pt>
    <dgm:pt modelId="{4EC42421-831D-4CD3-8215-2AF4300F9C01}">
      <dgm:prSet phldrT="[文本]" phldr="0" custT="0"/>
      <dgm:spPr/>
      <dgm:t>
        <a:bodyPr vert="horz" wrap="square"/>
        <a:p>
          <a:pPr>
            <a:lnSpc>
              <a:spcPct val="100000"/>
            </a:lnSpc>
            <a:spcBef>
              <a:spcPct val="0"/>
            </a:spcBef>
            <a:spcAft>
              <a:spcPct val="35000"/>
            </a:spcAft>
          </a:pPr>
          <a:r>
            <a:rPr lang="zh-CN" altLang="en-US"/>
            <a:t>书记员</a:t>
          </a:r>
          <a:endParaRPr lang="zh-CN" altLang="en-US"/>
        </a:p>
      </dgm:t>
    </dgm:pt>
    <dgm:pt modelId="{8D5FB264-0A5C-4C3A-85B7-453D9BD837DF}" cxnId="{71BAF5A7-FD04-4231-9D2B-0FE3DE695A89}" type="parTrans">
      <dgm:prSet/>
      <dgm:spPr/>
      <dgm:t>
        <a:bodyPr/>
        <a:p>
          <a:endParaRPr lang="zh-CN" altLang="en-US"/>
        </a:p>
      </dgm:t>
    </dgm:pt>
    <dgm:pt modelId="{A1825131-D805-48C8-BFCE-E45C02E6F5CE}" cxnId="{71BAF5A7-FD04-4231-9D2B-0FE3DE695A89}" type="sibTrans">
      <dgm:prSet/>
      <dgm:spPr/>
      <dgm:t>
        <a:bodyPr/>
        <a:p>
          <a:endParaRPr lang="zh-CN" altLang="en-US"/>
        </a:p>
      </dgm:t>
    </dgm:pt>
    <dgm:pt modelId="{CF717C8A-B40B-4AFF-BF49-65ABB7DF8190}">
      <dgm:prSet phldrT="[文本]" phldr="0" custT="1"/>
      <dgm:spPr/>
      <dgm:t>
        <a:bodyPr vert="horz" wrap="square"/>
        <a:p>
          <a:pPr>
            <a:lnSpc>
              <a:spcPct val="100000"/>
            </a:lnSpc>
            <a:spcBef>
              <a:spcPct val="0"/>
            </a:spcBef>
            <a:spcAft>
              <a:spcPct val="35000"/>
            </a:spcAft>
          </a:pPr>
          <a:r>
            <a:rPr lang="zh-CN" altLang="en-US" sz="1050"/>
            <a:t>其他辅助人员</a:t>
          </a:r>
          <a:endParaRPr lang="zh-CN" altLang="en-US" sz="1050"/>
        </a:p>
      </dgm:t>
    </dgm:pt>
    <dgm:pt modelId="{CCF68ADE-40B6-47D0-93C1-88EC13ADC8AC}" cxnId="{40FC7F92-A868-484A-9BC6-2157231F8006}" type="parTrans">
      <dgm:prSet/>
      <dgm:spPr/>
      <dgm:t>
        <a:bodyPr/>
        <a:p>
          <a:endParaRPr lang="zh-CN" altLang="en-US"/>
        </a:p>
      </dgm:t>
    </dgm:pt>
    <dgm:pt modelId="{630D3E0B-D1D7-4E1A-8193-515AA5E1866F}" cxnId="{40FC7F92-A868-484A-9BC6-2157231F8006}" type="sibTrans">
      <dgm:prSet/>
      <dgm:spPr/>
      <dgm:t>
        <a:bodyPr/>
        <a:p>
          <a:endParaRPr lang="zh-CN" altLang="en-US"/>
        </a:p>
      </dgm:t>
    </dgm:pt>
    <dgm:pt modelId="{E498DC9C-C5AC-4482-A26F-3B99DC5D79F0}" type="pres">
      <dgm:prSet presAssocID="{A77D31B3-3808-4FBA-8FA4-CC8D448A173E}" presName="hierChild1" presStyleCnt="0">
        <dgm:presLayoutVars>
          <dgm:orgChart val="1"/>
          <dgm:chPref val="1"/>
          <dgm:dir/>
          <dgm:animOne val="branch"/>
          <dgm:animLvl val="lvl"/>
          <dgm:resizeHandles/>
        </dgm:presLayoutVars>
      </dgm:prSet>
      <dgm:spPr/>
    </dgm:pt>
    <dgm:pt modelId="{F728C3E8-5128-4BB6-90CC-A86769ECE335}" type="pres">
      <dgm:prSet presAssocID="{47C757F0-AA23-46BE-9311-EA432CDEEAA1}" presName="hierRoot1" presStyleCnt="0">
        <dgm:presLayoutVars>
          <dgm:hierBranch val="init"/>
        </dgm:presLayoutVars>
      </dgm:prSet>
      <dgm:spPr/>
    </dgm:pt>
    <dgm:pt modelId="{79147750-B6BF-43FD-83A0-7ACDC9B53EFF}" type="pres">
      <dgm:prSet presAssocID="{47C757F0-AA23-46BE-9311-EA432CDEEAA1}" presName="rootComposite1" presStyleCnt="0"/>
      <dgm:spPr/>
    </dgm:pt>
    <dgm:pt modelId="{AE79172D-D441-42BB-84EA-E3D989670DED}" type="pres">
      <dgm:prSet presAssocID="{47C757F0-AA23-46BE-9311-EA432CDEEAA1}" presName="rootText1" presStyleLbl="node0" presStyleIdx="0" presStyleCnt="1">
        <dgm:presLayoutVars>
          <dgm:chPref val="3"/>
        </dgm:presLayoutVars>
      </dgm:prSet>
      <dgm:spPr/>
    </dgm:pt>
    <dgm:pt modelId="{86420519-308D-4A6A-8FEA-6FB2E39BA448}" type="pres">
      <dgm:prSet presAssocID="{47C757F0-AA23-46BE-9311-EA432CDEEAA1}" presName="rootConnector1" presStyleCnt="0"/>
      <dgm:spPr/>
    </dgm:pt>
    <dgm:pt modelId="{9A0FF10C-81C7-47CD-A320-768F2009480B}" type="pres">
      <dgm:prSet presAssocID="{47C757F0-AA23-46BE-9311-EA432CDEEAA1}" presName="hierChild2" presStyleCnt="0"/>
      <dgm:spPr/>
    </dgm:pt>
    <dgm:pt modelId="{6A259130-4455-44E0-969B-948D1249687E}" type="pres">
      <dgm:prSet presAssocID="{EACD17F5-D793-4A43-B489-D1804D50CFEF}" presName="Name37" presStyleLbl="parChTrans1D2" presStyleIdx="0" presStyleCnt="4"/>
      <dgm:spPr/>
    </dgm:pt>
    <dgm:pt modelId="{D6C5C065-A308-417C-8ECC-04FC2BEC646C}" type="pres">
      <dgm:prSet presAssocID="{12714FC6-8B41-47E5-91DD-F02D34D23B93}" presName="hierRoot2" presStyleCnt="0">
        <dgm:presLayoutVars>
          <dgm:hierBranch val="init"/>
        </dgm:presLayoutVars>
      </dgm:prSet>
      <dgm:spPr/>
    </dgm:pt>
    <dgm:pt modelId="{E36491EF-5019-46FD-BC82-1BD579B9EE0E}" type="pres">
      <dgm:prSet presAssocID="{12714FC6-8B41-47E5-91DD-F02D34D23B93}" presName="rootComposite" presStyleCnt="0"/>
      <dgm:spPr/>
    </dgm:pt>
    <dgm:pt modelId="{43B7C837-49D6-40CE-BBAB-953D9E4BA7ED}" type="pres">
      <dgm:prSet presAssocID="{12714FC6-8B41-47E5-91DD-F02D34D23B93}" presName="rootText" presStyleLbl="node2" presStyleIdx="0" presStyleCnt="3">
        <dgm:presLayoutVars>
          <dgm:chPref val="3"/>
        </dgm:presLayoutVars>
      </dgm:prSet>
      <dgm:spPr/>
    </dgm:pt>
    <dgm:pt modelId="{9A037140-9B69-4B9F-A134-F2F2EB0F2E32}" type="pres">
      <dgm:prSet presAssocID="{12714FC6-8B41-47E5-91DD-F02D34D23B93}" presName="rootConnector" presStyleCnt="0"/>
      <dgm:spPr/>
    </dgm:pt>
    <dgm:pt modelId="{FA37AA5D-87C2-47F6-9B72-B753C073E744}" type="pres">
      <dgm:prSet presAssocID="{12714FC6-8B41-47E5-91DD-F02D34D23B93}" presName="hierChild4" presStyleCnt="0"/>
      <dgm:spPr/>
    </dgm:pt>
    <dgm:pt modelId="{A7309641-2A58-41EA-9E42-56812CF298ED}" type="pres">
      <dgm:prSet presAssocID="{12714FC6-8B41-47E5-91DD-F02D34D23B93}" presName="hierChild5" presStyleCnt="0"/>
      <dgm:spPr/>
    </dgm:pt>
    <dgm:pt modelId="{F492B679-3C8C-4E72-95A8-8B81298826E7}" type="pres">
      <dgm:prSet presAssocID="{8D5FB264-0A5C-4C3A-85B7-453D9BD837DF}" presName="Name37" presStyleLbl="parChTrans1D2" presStyleIdx="1" presStyleCnt="4"/>
      <dgm:spPr/>
    </dgm:pt>
    <dgm:pt modelId="{C6F584B9-7EA2-46D8-913B-8F508509ECAB}" type="pres">
      <dgm:prSet presAssocID="{4EC42421-831D-4CD3-8215-2AF4300F9C01}" presName="hierRoot2" presStyleCnt="0">
        <dgm:presLayoutVars>
          <dgm:hierBranch val="init"/>
        </dgm:presLayoutVars>
      </dgm:prSet>
      <dgm:spPr/>
    </dgm:pt>
    <dgm:pt modelId="{6CAD9CE6-86A1-4F7D-98A6-3AF53F55F9E3}" type="pres">
      <dgm:prSet presAssocID="{4EC42421-831D-4CD3-8215-2AF4300F9C01}" presName="rootComposite" presStyleCnt="0"/>
      <dgm:spPr/>
    </dgm:pt>
    <dgm:pt modelId="{08A0D1D2-3A20-4D63-8E35-B7C8B6B16D48}" type="pres">
      <dgm:prSet presAssocID="{4EC42421-831D-4CD3-8215-2AF4300F9C01}" presName="rootText" presStyleLbl="node2" presStyleIdx="1" presStyleCnt="3">
        <dgm:presLayoutVars>
          <dgm:chPref val="3"/>
        </dgm:presLayoutVars>
      </dgm:prSet>
      <dgm:spPr/>
    </dgm:pt>
    <dgm:pt modelId="{6238C53E-A961-488B-8FBD-6EC13507B069}" type="pres">
      <dgm:prSet presAssocID="{4EC42421-831D-4CD3-8215-2AF4300F9C01}" presName="rootConnector" presStyleCnt="0"/>
      <dgm:spPr/>
    </dgm:pt>
    <dgm:pt modelId="{A9C46FD3-3BE9-4E6E-BFF6-B0B42B13F857}" type="pres">
      <dgm:prSet presAssocID="{4EC42421-831D-4CD3-8215-2AF4300F9C01}" presName="hierChild4" presStyleCnt="0"/>
      <dgm:spPr/>
    </dgm:pt>
    <dgm:pt modelId="{A663BBFB-A120-4F5B-82EC-DB644DB9966B}" type="pres">
      <dgm:prSet presAssocID="{4EC42421-831D-4CD3-8215-2AF4300F9C01}" presName="hierChild5" presStyleCnt="0"/>
      <dgm:spPr/>
    </dgm:pt>
    <dgm:pt modelId="{AB3A8128-6C86-49B7-B5CC-0153888815E5}" type="pres">
      <dgm:prSet presAssocID="{CCF68ADE-40B6-47D0-93C1-88EC13ADC8AC}" presName="Name37" presStyleLbl="parChTrans1D2" presStyleIdx="2" presStyleCnt="4"/>
      <dgm:spPr/>
    </dgm:pt>
    <dgm:pt modelId="{1A917F9A-DDE6-4568-B35C-7FABCEF0A586}" type="pres">
      <dgm:prSet presAssocID="{CF717C8A-B40B-4AFF-BF49-65ABB7DF8190}" presName="hierRoot2" presStyleCnt="0">
        <dgm:presLayoutVars>
          <dgm:hierBranch val="init"/>
        </dgm:presLayoutVars>
      </dgm:prSet>
      <dgm:spPr/>
    </dgm:pt>
    <dgm:pt modelId="{FA949B67-3DB7-47FA-97C9-4A653E762F22}" type="pres">
      <dgm:prSet presAssocID="{CF717C8A-B40B-4AFF-BF49-65ABB7DF8190}" presName="rootComposite" presStyleCnt="0"/>
      <dgm:spPr/>
    </dgm:pt>
    <dgm:pt modelId="{7D64F4A3-0E55-47AC-A59B-9D5A9DC25552}" type="pres">
      <dgm:prSet presAssocID="{CF717C8A-B40B-4AFF-BF49-65ABB7DF8190}" presName="rootText" presStyleLbl="node2" presStyleIdx="2" presStyleCnt="3">
        <dgm:presLayoutVars>
          <dgm:chPref val="3"/>
        </dgm:presLayoutVars>
      </dgm:prSet>
      <dgm:spPr/>
    </dgm:pt>
    <dgm:pt modelId="{5667CB49-EC34-46BC-AD2D-72F3BD95D049}" type="pres">
      <dgm:prSet presAssocID="{CF717C8A-B40B-4AFF-BF49-65ABB7DF8190}" presName="rootConnector" presStyleCnt="0"/>
      <dgm:spPr/>
    </dgm:pt>
    <dgm:pt modelId="{EB3A10DA-2FA4-4DAD-8341-8078D7F83716}" type="pres">
      <dgm:prSet presAssocID="{CF717C8A-B40B-4AFF-BF49-65ABB7DF8190}" presName="hierChild4" presStyleCnt="0"/>
      <dgm:spPr/>
    </dgm:pt>
    <dgm:pt modelId="{B05C5608-85C8-433E-A928-1755312B673B}" type="pres">
      <dgm:prSet presAssocID="{CF717C8A-B40B-4AFF-BF49-65ABB7DF8190}" presName="hierChild5" presStyleCnt="0"/>
      <dgm:spPr/>
    </dgm:pt>
    <dgm:pt modelId="{0E819307-1B4E-434E-BA76-D5A4192B0663}" type="pres">
      <dgm:prSet presAssocID="{47C757F0-AA23-46BE-9311-EA432CDEEAA1}" presName="hierChild3" presStyleCnt="0"/>
      <dgm:spPr/>
    </dgm:pt>
    <dgm:pt modelId="{7CC60CE2-51D0-47DE-A469-FE4884597341}" type="pres">
      <dgm:prSet presAssocID="{4294CB15-5EAF-442A-BADC-24588A60ECFF}" presName="Name111" presStyleLbl="parChTrans1D2" presStyleIdx="3" presStyleCnt="4"/>
      <dgm:spPr/>
    </dgm:pt>
    <dgm:pt modelId="{2C28615C-654F-4C05-9383-C72EAED46321}" type="pres">
      <dgm:prSet presAssocID="{B29BF47F-FB6F-4BB3-8B1F-25C507DDACF5}" presName="hierRoot3" presStyleCnt="0">
        <dgm:presLayoutVars>
          <dgm:hierBranch val="init"/>
        </dgm:presLayoutVars>
      </dgm:prSet>
      <dgm:spPr/>
    </dgm:pt>
    <dgm:pt modelId="{531B400A-09FB-4AC6-91D5-6C58DB555D6A}" type="pres">
      <dgm:prSet presAssocID="{B29BF47F-FB6F-4BB3-8B1F-25C507DDACF5}" presName="rootComposite3" presStyleCnt="0"/>
      <dgm:spPr/>
    </dgm:pt>
    <dgm:pt modelId="{15F46F7C-8483-49B2-9069-BD47518FA3C5}" type="pres">
      <dgm:prSet presAssocID="{B29BF47F-FB6F-4BB3-8B1F-25C507DDACF5}" presName="rootText3" presStyleLbl="asst1" presStyleIdx="0" presStyleCnt="1">
        <dgm:presLayoutVars>
          <dgm:chPref val="3"/>
        </dgm:presLayoutVars>
      </dgm:prSet>
      <dgm:spPr/>
    </dgm:pt>
    <dgm:pt modelId="{84CA6990-2D5D-47C3-9020-DF2944DEADCF}" type="pres">
      <dgm:prSet presAssocID="{B29BF47F-FB6F-4BB3-8B1F-25C507DDACF5}" presName="rootConnector3" presStyleCnt="0"/>
      <dgm:spPr/>
    </dgm:pt>
    <dgm:pt modelId="{0851F80F-8C6D-4400-A85F-BC390C21E4EE}" type="pres">
      <dgm:prSet presAssocID="{B29BF47F-FB6F-4BB3-8B1F-25C507DDACF5}" presName="hierChild6" presStyleCnt="0"/>
      <dgm:spPr/>
    </dgm:pt>
    <dgm:pt modelId="{3025C0A7-DA6F-4394-8167-7956EFF162F0}" type="pres">
      <dgm:prSet presAssocID="{B29BF47F-FB6F-4BB3-8B1F-25C507DDACF5}" presName="hierChild7" presStyleCnt="0"/>
      <dgm:spPr/>
    </dgm:pt>
  </dgm:ptLst>
  <dgm:cxnLst>
    <dgm:cxn modelId="{8AB18943-83B1-4D62-A204-3CAE05899857}" srcId="{A77D31B3-3808-4FBA-8FA4-CC8D448A173E}" destId="{47C757F0-AA23-46BE-9311-EA432CDEEAA1}" srcOrd="0" destOrd="0" parTransId="{AB39B06D-FE6C-48B2-B5B4-77CD0C8CF7AD}" sibTransId="{DF0D1C21-B79E-4875-B7FA-EF183CB48B88}"/>
    <dgm:cxn modelId="{010319ED-9B46-46A7-99E5-97D4394C2392}" srcId="{47C757F0-AA23-46BE-9311-EA432CDEEAA1}" destId="{B29BF47F-FB6F-4BB3-8B1F-25C507DDACF5}" srcOrd="0" destOrd="0" parTransId="{4294CB15-5EAF-442A-BADC-24588A60ECFF}" sibTransId="{4FBEC948-3FA9-4375-B83A-B44348E5F34D}"/>
    <dgm:cxn modelId="{7EEA7D9D-C715-4369-B2BB-543B50D4253F}" srcId="{47C757F0-AA23-46BE-9311-EA432CDEEAA1}" destId="{12714FC6-8B41-47E5-91DD-F02D34D23B93}" srcOrd="1" destOrd="0" parTransId="{EACD17F5-D793-4A43-B489-D1804D50CFEF}" sibTransId="{FA45D93F-0724-4936-AA45-E6762732A19D}"/>
    <dgm:cxn modelId="{71BAF5A7-FD04-4231-9D2B-0FE3DE695A89}" srcId="{47C757F0-AA23-46BE-9311-EA432CDEEAA1}" destId="{4EC42421-831D-4CD3-8215-2AF4300F9C01}" srcOrd="2" destOrd="0" parTransId="{8D5FB264-0A5C-4C3A-85B7-453D9BD837DF}" sibTransId="{A1825131-D805-48C8-BFCE-E45C02E6F5CE}"/>
    <dgm:cxn modelId="{40FC7F92-A868-484A-9BC6-2157231F8006}" srcId="{47C757F0-AA23-46BE-9311-EA432CDEEAA1}" destId="{CF717C8A-B40B-4AFF-BF49-65ABB7DF8190}" srcOrd="3" destOrd="0" parTransId="{CCF68ADE-40B6-47D0-93C1-88EC13ADC8AC}" sibTransId="{630D3E0B-D1D7-4E1A-8193-515AA5E1866F}"/>
    <dgm:cxn modelId="{C5302FAF-F632-4323-A370-7ACE81AA2230}" type="presOf" srcId="{A77D31B3-3808-4FBA-8FA4-CC8D448A173E}" destId="{E498DC9C-C5AC-4482-A26F-3B99DC5D79F0}" srcOrd="0" destOrd="0" presId="urn:microsoft.com/office/officeart/2005/8/layout/orgChart1"/>
    <dgm:cxn modelId="{0FB8E235-B8E0-47C1-B3FC-A984F61EEE8F}" type="presParOf" srcId="{E498DC9C-C5AC-4482-A26F-3B99DC5D79F0}" destId="{F728C3E8-5128-4BB6-90CC-A86769ECE335}" srcOrd="0" destOrd="0" presId="urn:microsoft.com/office/officeart/2005/8/layout/orgChart1"/>
    <dgm:cxn modelId="{05A64C3E-4C3C-4DAB-A7BC-F7DCC8AB8845}" type="presParOf" srcId="{F728C3E8-5128-4BB6-90CC-A86769ECE335}" destId="{79147750-B6BF-43FD-83A0-7ACDC9B53EFF}" srcOrd="0" destOrd="0" presId="urn:microsoft.com/office/officeart/2005/8/layout/orgChart1"/>
    <dgm:cxn modelId="{0DEE85F3-5D27-401F-8663-D62DBC8C3C7D}" type="presOf" srcId="{47C757F0-AA23-46BE-9311-EA432CDEEAA1}" destId="{79147750-B6BF-43FD-83A0-7ACDC9B53EFF}" srcOrd="0" destOrd="0" presId="urn:microsoft.com/office/officeart/2005/8/layout/orgChart1"/>
    <dgm:cxn modelId="{B59A1808-61D3-4DC5-8870-D4D61558AD1D}" type="presParOf" srcId="{79147750-B6BF-43FD-83A0-7ACDC9B53EFF}" destId="{AE79172D-D441-42BB-84EA-E3D989670DED}" srcOrd="0" destOrd="0" presId="urn:microsoft.com/office/officeart/2005/8/layout/orgChart1"/>
    <dgm:cxn modelId="{4D5A10C2-72E0-4C83-A3B0-4E01A6D181A9}" type="presOf" srcId="{47C757F0-AA23-46BE-9311-EA432CDEEAA1}" destId="{AE79172D-D441-42BB-84EA-E3D989670DED}" srcOrd="0" destOrd="0" presId="urn:microsoft.com/office/officeart/2005/8/layout/orgChart1"/>
    <dgm:cxn modelId="{2C54E8EE-31B6-4FCE-BE45-B5EAB1151693}" type="presParOf" srcId="{79147750-B6BF-43FD-83A0-7ACDC9B53EFF}" destId="{86420519-308D-4A6A-8FEA-6FB2E39BA448}" srcOrd="1" destOrd="0" presId="urn:microsoft.com/office/officeart/2005/8/layout/orgChart1"/>
    <dgm:cxn modelId="{F244CAA4-6243-47D1-ABD5-3E04DDA33C1F}" type="presOf" srcId="{47C757F0-AA23-46BE-9311-EA432CDEEAA1}" destId="{86420519-308D-4A6A-8FEA-6FB2E39BA448}" srcOrd="0" destOrd="0" presId="urn:microsoft.com/office/officeart/2005/8/layout/orgChart1"/>
    <dgm:cxn modelId="{6E22848D-DD24-4534-BBAB-F6BFC8A2F018}" type="presParOf" srcId="{F728C3E8-5128-4BB6-90CC-A86769ECE335}" destId="{9A0FF10C-81C7-47CD-A320-768F2009480B}" srcOrd="1" destOrd="0" presId="urn:microsoft.com/office/officeart/2005/8/layout/orgChart1"/>
    <dgm:cxn modelId="{B7A1A485-BBD8-4F2B-896D-362D833AB0E5}" type="presParOf" srcId="{9A0FF10C-81C7-47CD-A320-768F2009480B}" destId="{6A259130-4455-44E0-969B-948D1249687E}" srcOrd="0" destOrd="1" presId="urn:microsoft.com/office/officeart/2005/8/layout/orgChart1"/>
    <dgm:cxn modelId="{AF4EF23B-608D-4DA2-B492-0DA4005FBE05}" type="presOf" srcId="{EACD17F5-D793-4A43-B489-D1804D50CFEF}" destId="{6A259130-4455-44E0-969B-948D1249687E}" srcOrd="0" destOrd="0" presId="urn:microsoft.com/office/officeart/2005/8/layout/orgChart1"/>
    <dgm:cxn modelId="{C67C43B8-0A1E-4798-874C-AF2A9C3242C9}" type="presParOf" srcId="{9A0FF10C-81C7-47CD-A320-768F2009480B}" destId="{D6C5C065-A308-417C-8ECC-04FC2BEC646C}" srcOrd="1" destOrd="1" presId="urn:microsoft.com/office/officeart/2005/8/layout/orgChart1"/>
    <dgm:cxn modelId="{11DF96DE-7A03-4150-803B-171D61BB83A8}" type="presParOf" srcId="{D6C5C065-A308-417C-8ECC-04FC2BEC646C}" destId="{E36491EF-5019-46FD-BC82-1BD579B9EE0E}" srcOrd="0" destOrd="1" presId="urn:microsoft.com/office/officeart/2005/8/layout/orgChart1"/>
    <dgm:cxn modelId="{338F525F-1412-4BD1-93B2-DFA63C89B596}" type="presOf" srcId="{12714FC6-8B41-47E5-91DD-F02D34D23B93}" destId="{E36491EF-5019-46FD-BC82-1BD579B9EE0E}" srcOrd="0" destOrd="0" presId="urn:microsoft.com/office/officeart/2005/8/layout/orgChart1"/>
    <dgm:cxn modelId="{33E65E1D-52B1-4783-B87A-C3571FC473E7}" type="presParOf" srcId="{E36491EF-5019-46FD-BC82-1BD579B9EE0E}" destId="{43B7C837-49D6-40CE-BBAB-953D9E4BA7ED}" srcOrd="0" destOrd="0" presId="urn:microsoft.com/office/officeart/2005/8/layout/orgChart1"/>
    <dgm:cxn modelId="{9D2F82D7-8D03-41C1-A6F4-5716F2DDA5B4}" type="presOf" srcId="{12714FC6-8B41-47E5-91DD-F02D34D23B93}" destId="{43B7C837-49D6-40CE-BBAB-953D9E4BA7ED}" srcOrd="0" destOrd="0" presId="urn:microsoft.com/office/officeart/2005/8/layout/orgChart1"/>
    <dgm:cxn modelId="{05380BFE-B82E-4E30-AAE6-60995ED95354}" type="presParOf" srcId="{E36491EF-5019-46FD-BC82-1BD579B9EE0E}" destId="{9A037140-9B69-4B9F-A134-F2F2EB0F2E32}" srcOrd="1" destOrd="0" presId="urn:microsoft.com/office/officeart/2005/8/layout/orgChart1"/>
    <dgm:cxn modelId="{32EC2F42-C304-4694-8173-A7452A12D239}" type="presOf" srcId="{12714FC6-8B41-47E5-91DD-F02D34D23B93}" destId="{9A037140-9B69-4B9F-A134-F2F2EB0F2E32}" srcOrd="0" destOrd="0" presId="urn:microsoft.com/office/officeart/2005/8/layout/orgChart1"/>
    <dgm:cxn modelId="{27C8C523-57E1-4809-A423-63F860A9BBCD}" type="presParOf" srcId="{D6C5C065-A308-417C-8ECC-04FC2BEC646C}" destId="{FA37AA5D-87C2-47F6-9B72-B753C073E744}" srcOrd="1" destOrd="1" presId="urn:microsoft.com/office/officeart/2005/8/layout/orgChart1"/>
    <dgm:cxn modelId="{F7347655-D1FB-4C35-8976-140C57C9DBDD}" type="presParOf" srcId="{D6C5C065-A308-417C-8ECC-04FC2BEC646C}" destId="{A7309641-2A58-41EA-9E42-56812CF298ED}" srcOrd="2" destOrd="1" presId="urn:microsoft.com/office/officeart/2005/8/layout/orgChart1"/>
    <dgm:cxn modelId="{15D74F09-09F4-450F-9335-E7775AE362FA}" type="presParOf" srcId="{9A0FF10C-81C7-47CD-A320-768F2009480B}" destId="{F492B679-3C8C-4E72-95A8-8B81298826E7}" srcOrd="2" destOrd="1" presId="urn:microsoft.com/office/officeart/2005/8/layout/orgChart1"/>
    <dgm:cxn modelId="{D4A16A4F-4CEE-4A83-8098-E58439DDC64B}" type="presOf" srcId="{8D5FB264-0A5C-4C3A-85B7-453D9BD837DF}" destId="{F492B679-3C8C-4E72-95A8-8B81298826E7}" srcOrd="0" destOrd="0" presId="urn:microsoft.com/office/officeart/2005/8/layout/orgChart1"/>
    <dgm:cxn modelId="{89BB63A5-268E-4200-97A9-5D7F7AB03C93}" type="presParOf" srcId="{9A0FF10C-81C7-47CD-A320-768F2009480B}" destId="{C6F584B9-7EA2-46D8-913B-8F508509ECAB}" srcOrd="3" destOrd="1" presId="urn:microsoft.com/office/officeart/2005/8/layout/orgChart1"/>
    <dgm:cxn modelId="{86E1242D-1C0F-4530-9455-329A8233C765}" type="presParOf" srcId="{C6F584B9-7EA2-46D8-913B-8F508509ECAB}" destId="{6CAD9CE6-86A1-4F7D-98A6-3AF53F55F9E3}" srcOrd="0" destOrd="3" presId="urn:microsoft.com/office/officeart/2005/8/layout/orgChart1"/>
    <dgm:cxn modelId="{33C3AA53-5372-40D6-959B-68428B72D474}" type="presOf" srcId="{4EC42421-831D-4CD3-8215-2AF4300F9C01}" destId="{6CAD9CE6-86A1-4F7D-98A6-3AF53F55F9E3}" srcOrd="0" destOrd="0" presId="urn:microsoft.com/office/officeart/2005/8/layout/orgChart1"/>
    <dgm:cxn modelId="{A2F76BE6-042D-4B37-A97F-AE1C8B67904E}" type="presParOf" srcId="{6CAD9CE6-86A1-4F7D-98A6-3AF53F55F9E3}" destId="{08A0D1D2-3A20-4D63-8E35-B7C8B6B16D48}" srcOrd="0" destOrd="0" presId="urn:microsoft.com/office/officeart/2005/8/layout/orgChart1"/>
    <dgm:cxn modelId="{45F98814-AE7D-4D4B-9AA6-E510BDED1572}" type="presOf" srcId="{4EC42421-831D-4CD3-8215-2AF4300F9C01}" destId="{08A0D1D2-3A20-4D63-8E35-B7C8B6B16D48}" srcOrd="0" destOrd="0" presId="urn:microsoft.com/office/officeart/2005/8/layout/orgChart1"/>
    <dgm:cxn modelId="{B4EA7741-855A-4552-B0FC-D5E071163320}" type="presParOf" srcId="{6CAD9CE6-86A1-4F7D-98A6-3AF53F55F9E3}" destId="{6238C53E-A961-488B-8FBD-6EC13507B069}" srcOrd="1" destOrd="0" presId="urn:microsoft.com/office/officeart/2005/8/layout/orgChart1"/>
    <dgm:cxn modelId="{21C304C8-0D5C-4B2B-BD54-A41EC78F5274}" type="presOf" srcId="{4EC42421-831D-4CD3-8215-2AF4300F9C01}" destId="{6238C53E-A961-488B-8FBD-6EC13507B069}" srcOrd="0" destOrd="0" presId="urn:microsoft.com/office/officeart/2005/8/layout/orgChart1"/>
    <dgm:cxn modelId="{C02D78D7-3E7F-412C-9386-789B247F5F05}" type="presParOf" srcId="{C6F584B9-7EA2-46D8-913B-8F508509ECAB}" destId="{A9C46FD3-3BE9-4E6E-BFF6-B0B42B13F857}" srcOrd="1" destOrd="3" presId="urn:microsoft.com/office/officeart/2005/8/layout/orgChart1"/>
    <dgm:cxn modelId="{53967B42-697F-4DED-874E-5BC7F4B03A24}" type="presParOf" srcId="{C6F584B9-7EA2-46D8-913B-8F508509ECAB}" destId="{A663BBFB-A120-4F5B-82EC-DB644DB9966B}" srcOrd="2" destOrd="3" presId="urn:microsoft.com/office/officeart/2005/8/layout/orgChart1"/>
    <dgm:cxn modelId="{CA089C7A-5BCB-4EB1-8089-2C24D61353C7}" type="presParOf" srcId="{9A0FF10C-81C7-47CD-A320-768F2009480B}" destId="{AB3A8128-6C86-49B7-B5CC-0153888815E5}" srcOrd="4" destOrd="1" presId="urn:microsoft.com/office/officeart/2005/8/layout/orgChart1"/>
    <dgm:cxn modelId="{D8E824D1-7FF7-4AEF-8947-06864A816353}" type="presOf" srcId="{CCF68ADE-40B6-47D0-93C1-88EC13ADC8AC}" destId="{AB3A8128-6C86-49B7-B5CC-0153888815E5}" srcOrd="0" destOrd="0" presId="urn:microsoft.com/office/officeart/2005/8/layout/orgChart1"/>
    <dgm:cxn modelId="{60959BE7-F4BB-44A0-91F8-A144321033EF}" type="presParOf" srcId="{9A0FF10C-81C7-47CD-A320-768F2009480B}" destId="{1A917F9A-DDE6-4568-B35C-7FABCEF0A586}" srcOrd="5" destOrd="1" presId="urn:microsoft.com/office/officeart/2005/8/layout/orgChart1"/>
    <dgm:cxn modelId="{88AB2815-61D6-4B4B-AE89-7BBE60009C6A}" type="presParOf" srcId="{1A917F9A-DDE6-4568-B35C-7FABCEF0A586}" destId="{FA949B67-3DB7-47FA-97C9-4A653E762F22}" srcOrd="0" destOrd="5" presId="urn:microsoft.com/office/officeart/2005/8/layout/orgChart1"/>
    <dgm:cxn modelId="{36FD532D-E1C7-4E9D-8B02-31AA541C1B11}" type="presOf" srcId="{CF717C8A-B40B-4AFF-BF49-65ABB7DF8190}" destId="{FA949B67-3DB7-47FA-97C9-4A653E762F22}" srcOrd="0" destOrd="0" presId="urn:microsoft.com/office/officeart/2005/8/layout/orgChart1"/>
    <dgm:cxn modelId="{0AE8FDA0-95E3-4609-B952-6FA60D1869FE}" type="presParOf" srcId="{FA949B67-3DB7-47FA-97C9-4A653E762F22}" destId="{7D64F4A3-0E55-47AC-A59B-9D5A9DC25552}" srcOrd="0" destOrd="0" presId="urn:microsoft.com/office/officeart/2005/8/layout/orgChart1"/>
    <dgm:cxn modelId="{971EAC48-3563-4690-BC09-D98476C0DF30}" type="presOf" srcId="{CF717C8A-B40B-4AFF-BF49-65ABB7DF8190}" destId="{7D64F4A3-0E55-47AC-A59B-9D5A9DC25552}" srcOrd="0" destOrd="0" presId="urn:microsoft.com/office/officeart/2005/8/layout/orgChart1"/>
    <dgm:cxn modelId="{81EE1849-B72A-4902-AA04-538401E7643E}" type="presParOf" srcId="{FA949B67-3DB7-47FA-97C9-4A653E762F22}" destId="{5667CB49-EC34-46BC-AD2D-72F3BD95D049}" srcOrd="1" destOrd="0" presId="urn:microsoft.com/office/officeart/2005/8/layout/orgChart1"/>
    <dgm:cxn modelId="{810E5BFE-4BDE-454D-8116-90D1BE76A935}" type="presOf" srcId="{CF717C8A-B40B-4AFF-BF49-65ABB7DF8190}" destId="{5667CB49-EC34-46BC-AD2D-72F3BD95D049}" srcOrd="0" destOrd="0" presId="urn:microsoft.com/office/officeart/2005/8/layout/orgChart1"/>
    <dgm:cxn modelId="{81884639-C1C9-4072-82EC-7623A0A0968E}" type="presParOf" srcId="{1A917F9A-DDE6-4568-B35C-7FABCEF0A586}" destId="{EB3A10DA-2FA4-4DAD-8341-8078D7F83716}" srcOrd="1" destOrd="5" presId="urn:microsoft.com/office/officeart/2005/8/layout/orgChart1"/>
    <dgm:cxn modelId="{E5AF34E0-5E33-4D89-AFF9-1E77CC4103C2}" type="presParOf" srcId="{1A917F9A-DDE6-4568-B35C-7FABCEF0A586}" destId="{B05C5608-85C8-433E-A928-1755312B673B}" srcOrd="2" destOrd="5" presId="urn:microsoft.com/office/officeart/2005/8/layout/orgChart1"/>
    <dgm:cxn modelId="{AC27F361-405A-4234-8892-BE2E724B82EB}" type="presParOf" srcId="{F728C3E8-5128-4BB6-90CC-A86769ECE335}" destId="{0E819307-1B4E-434E-BA76-D5A4192B0663}" srcOrd="2" destOrd="0" presId="urn:microsoft.com/office/officeart/2005/8/layout/orgChart1"/>
    <dgm:cxn modelId="{A9632622-6DB6-4D18-A95F-7E24A6DC0475}" type="presParOf" srcId="{0E819307-1B4E-434E-BA76-D5A4192B0663}" destId="{7CC60CE2-51D0-47DE-A469-FE4884597341}" srcOrd="0" destOrd="2" presId="urn:microsoft.com/office/officeart/2005/8/layout/orgChart1"/>
    <dgm:cxn modelId="{1CEA0F92-AFDB-4237-8EA9-11BE51138BAD}" type="presOf" srcId="{4294CB15-5EAF-442A-BADC-24588A60ECFF}" destId="{7CC60CE2-51D0-47DE-A469-FE4884597341}" srcOrd="0" destOrd="0" presId="urn:microsoft.com/office/officeart/2005/8/layout/orgChart1"/>
    <dgm:cxn modelId="{5CC75216-7491-4033-9064-B22499763A91}" type="presParOf" srcId="{0E819307-1B4E-434E-BA76-D5A4192B0663}" destId="{2C28615C-654F-4C05-9383-C72EAED46321}" srcOrd="1" destOrd="2" presId="urn:microsoft.com/office/officeart/2005/8/layout/orgChart1"/>
    <dgm:cxn modelId="{09DE05B2-32FA-42A2-B1D8-DC26977BC546}" type="presParOf" srcId="{2C28615C-654F-4C05-9383-C72EAED46321}" destId="{531B400A-09FB-4AC6-91D5-6C58DB555D6A}" srcOrd="0" destOrd="1" presId="urn:microsoft.com/office/officeart/2005/8/layout/orgChart1"/>
    <dgm:cxn modelId="{75C865A3-88C0-413F-904F-3464AB2067BB}" type="presOf" srcId="{B29BF47F-FB6F-4BB3-8B1F-25C507DDACF5}" destId="{531B400A-09FB-4AC6-91D5-6C58DB555D6A}" srcOrd="0" destOrd="0" presId="urn:microsoft.com/office/officeart/2005/8/layout/orgChart1"/>
    <dgm:cxn modelId="{1E0A0274-905B-415E-9F49-EAE87E490386}" type="presParOf" srcId="{531B400A-09FB-4AC6-91D5-6C58DB555D6A}" destId="{15F46F7C-8483-49B2-9069-BD47518FA3C5}" srcOrd="0" destOrd="0" presId="urn:microsoft.com/office/officeart/2005/8/layout/orgChart1"/>
    <dgm:cxn modelId="{9424EA01-B050-4EE9-B0F6-36699F3A0AE7}" type="presOf" srcId="{B29BF47F-FB6F-4BB3-8B1F-25C507DDACF5}" destId="{15F46F7C-8483-49B2-9069-BD47518FA3C5}" srcOrd="0" destOrd="0" presId="urn:microsoft.com/office/officeart/2005/8/layout/orgChart1"/>
    <dgm:cxn modelId="{CB7A3A73-88FE-4A78-82DB-5BCE8FB9F684}" type="presParOf" srcId="{531B400A-09FB-4AC6-91D5-6C58DB555D6A}" destId="{84CA6990-2D5D-47C3-9020-DF2944DEADCF}" srcOrd="1" destOrd="0" presId="urn:microsoft.com/office/officeart/2005/8/layout/orgChart1"/>
    <dgm:cxn modelId="{2C21DC72-0C85-4BB7-A143-0E7D161111CC}" type="presOf" srcId="{B29BF47F-FB6F-4BB3-8B1F-25C507DDACF5}" destId="{84CA6990-2D5D-47C3-9020-DF2944DEADCF}" srcOrd="0" destOrd="0" presId="urn:microsoft.com/office/officeart/2005/8/layout/orgChart1"/>
    <dgm:cxn modelId="{DE8EBAAF-5C19-4500-92BF-EF3769581BFA}" type="presParOf" srcId="{2C28615C-654F-4C05-9383-C72EAED46321}" destId="{0851F80F-8C6D-4400-A85F-BC390C21E4EE}" srcOrd="1" destOrd="1" presId="urn:microsoft.com/office/officeart/2005/8/layout/orgChart1"/>
    <dgm:cxn modelId="{5BCDF31F-965F-4C95-AF2B-56CDE3A784C8}" type="presParOf" srcId="{2C28615C-654F-4C05-9383-C72EAED46321}" destId="{3025C0A7-DA6F-4394-8167-7956EFF162F0}" srcOrd="2" destOrd="1" presId="urn:microsoft.com/office/officeart/2005/8/layout/orgChart1"/>
  </dgm:cxnLst>
  <dgm:bg/>
  <dgm:whole/>
</dgm:dataModel>
</file>

<file path=word/diagrams/data2.xml><?xml version="1.0" encoding="utf-8"?>
<dgm:dataModel xmlns:dgm="http://schemas.openxmlformats.org/drawingml/2006/diagram" xmlns:a="http://schemas.openxmlformats.org/drawingml/2006/main">
  <dgm:ptLst>
    <dgm:pt modelId="{A77D31B3-3808-4FBA-8FA4-CC8D448A173E}" type="doc">
      <dgm:prSet loTypeId="urn:microsoft.com/office/officeart/2005/8/layout/orgChart1" loCatId="hierarchy" qsTypeId="urn:microsoft.com/office/officeart/2005/8/quickstyle/simple2" qsCatId="simple" csTypeId="urn:microsoft.com/office/officeart/2005/8/colors/accent0_1" csCatId="accent1" phldr="0"/>
      <dgm:spPr/>
      <dgm:t>
        <a:bodyPr/>
        <a:p>
          <a:endParaRPr lang="zh-CN" altLang="en-US"/>
        </a:p>
      </dgm:t>
    </dgm:pt>
    <dgm:pt modelId="{B29BF47F-FB6F-4BB3-8B1F-25C507DDACF5}" type="asst">
      <dgm:prSet phldrT="[文本]" phldr="0" custT="0"/>
      <dgm:spPr/>
      <dgm:t>
        <a:bodyPr vert="horz" wrap="square"/>
        <a:p>
          <a:pPr>
            <a:lnSpc>
              <a:spcPct val="100000"/>
            </a:lnSpc>
            <a:spcBef>
              <a:spcPct val="0"/>
            </a:spcBef>
            <a:spcAft>
              <a:spcPct val="35000"/>
            </a:spcAft>
          </a:pPr>
          <a:r>
            <a:rPr lang="zh-CN" altLang="en-US"/>
            <a:t/>
          </a:r>
          <a:endParaRPr lang="zh-CN" altLang="en-US"/>
        </a:p>
        <a:p>
          <a:pPr>
            <a:lnSpc>
              <a:spcPct val="100000"/>
            </a:lnSpc>
            <a:spcBef>
              <a:spcPct val="0"/>
            </a:spcBef>
            <a:spcAft>
              <a:spcPct val="35000"/>
            </a:spcAft>
          </a:pPr>
          <a:r>
            <a:rPr lang="zh-CN" altLang="en-US"/>
            <a:t>法官选任机关</a:t>
          </a:r>
          <a:endParaRPr lang="zh-CN" altLang="en-US"/>
        </a:p>
      </dgm:t>
    </dgm:pt>
    <dgm:pt modelId="{4294CB15-5EAF-442A-BADC-24588A60ECFF}" cxnId="{A1540672-521C-4CDA-B337-0BE33EDF0A8A}" type="parTrans">
      <dgm:prSet/>
      <dgm:spPr/>
      <dgm:t>
        <a:bodyPr/>
        <a:p>
          <a:endParaRPr lang="zh-CN" altLang="en-US"/>
        </a:p>
      </dgm:t>
    </dgm:pt>
    <dgm:pt modelId="{4FBEC948-3FA9-4375-B83A-B44348E5F34D}" cxnId="{A1540672-521C-4CDA-B337-0BE33EDF0A8A}" type="sibTrans">
      <dgm:prSet/>
      <dgm:spPr/>
      <dgm:t>
        <a:bodyPr/>
        <a:p>
          <a:endParaRPr lang="zh-CN" altLang="en-US"/>
        </a:p>
      </dgm:t>
    </dgm:pt>
    <dgm:pt modelId="{12714FC6-8B41-47E5-91DD-F02D34D23B93}">
      <dgm:prSet phldrT="[文本]" phldr="0" custT="0"/>
      <dgm:spPr/>
      <dgm:t>
        <a:bodyPr vert="horz" wrap="square"/>
        <a:p>
          <a:pPr>
            <a:lnSpc>
              <a:spcPct val="100000"/>
            </a:lnSpc>
            <a:spcBef>
              <a:spcPct val="0"/>
            </a:spcBef>
            <a:spcAft>
              <a:spcPct val="35000"/>
            </a:spcAft>
          </a:pPr>
          <a:r>
            <a:rPr lang="zh-CN" altLang="en-US"/>
            <a:t>监督机关</a:t>
          </a:r>
          <a:endParaRPr lang="zh-CN" altLang="en-US"/>
        </a:p>
      </dgm:t>
    </dgm:pt>
    <dgm:pt modelId="{EACD17F5-D793-4A43-B489-D1804D50CFEF}" cxnId="{0D256EE7-174B-49A1-9EFA-31D3D73E6F92}" type="parTrans">
      <dgm:prSet/>
      <dgm:spPr/>
      <dgm:t>
        <a:bodyPr/>
        <a:p>
          <a:endParaRPr lang="zh-CN" altLang="en-US"/>
        </a:p>
      </dgm:t>
    </dgm:pt>
    <dgm:pt modelId="{FA45D93F-0724-4936-AA45-E6762732A19D}" cxnId="{0D256EE7-174B-49A1-9EFA-31D3D73E6F92}" type="sibTrans">
      <dgm:prSet/>
      <dgm:spPr/>
      <dgm:t>
        <a:bodyPr/>
        <a:p>
          <a:endParaRPr lang="zh-CN" altLang="en-US"/>
        </a:p>
      </dgm:t>
    </dgm:pt>
    <dgm:pt modelId="{4EC42421-831D-4CD3-8215-2AF4300F9C01}">
      <dgm:prSet phldrT="[文本]" phldr="0" custT="0"/>
      <dgm:spPr/>
      <dgm:t>
        <a:bodyPr vert="horz" wrap="square"/>
        <a:p>
          <a:pPr>
            <a:lnSpc>
              <a:spcPct val="100000"/>
            </a:lnSpc>
            <a:spcBef>
              <a:spcPct val="0"/>
            </a:spcBef>
            <a:spcAft>
              <a:spcPct val="35000"/>
            </a:spcAft>
          </a:pPr>
          <a:r>
            <a:rPr lang="zh-CN" altLang="en-US"/>
            <a:t/>
          </a:r>
          <a:endParaRPr lang="zh-CN" altLang="en-US"/>
        </a:p>
        <a:p>
          <a:pPr>
            <a:lnSpc>
              <a:spcPct val="100000"/>
            </a:lnSpc>
            <a:spcBef>
              <a:spcPct val="0"/>
            </a:spcBef>
            <a:spcAft>
              <a:spcPct val="35000"/>
            </a:spcAft>
          </a:pPr>
          <a:r>
            <a:rPr lang="zh-CN" altLang="en-US"/>
            <a:t>考评机关</a:t>
          </a:r>
          <a:endParaRPr lang="zh-CN" altLang="en-US"/>
        </a:p>
      </dgm:t>
    </dgm:pt>
    <dgm:pt modelId="{8D5FB264-0A5C-4C3A-85B7-453D9BD837DF}" cxnId="{4F391A97-DC05-4DF6-85B9-1F7027FDA1F6}" type="parTrans">
      <dgm:prSet/>
      <dgm:spPr/>
      <dgm:t>
        <a:bodyPr/>
        <a:p>
          <a:endParaRPr lang="zh-CN" altLang="en-US"/>
        </a:p>
      </dgm:t>
    </dgm:pt>
    <dgm:pt modelId="{A1825131-D805-48C8-BFCE-E45C02E6F5CE}" cxnId="{4F391A97-DC05-4DF6-85B9-1F7027FDA1F6}" type="sibTrans">
      <dgm:prSet/>
      <dgm:spPr/>
      <dgm:t>
        <a:bodyPr/>
        <a:p>
          <a:endParaRPr lang="zh-CN" altLang="en-US"/>
        </a:p>
      </dgm:t>
    </dgm:pt>
    <dgm:pt modelId="{CF717C8A-B40B-4AFF-BF49-65ABB7DF8190}">
      <dgm:prSet phldrT="[文本]" phldr="0" custT="0"/>
      <dgm:spPr/>
      <dgm:t>
        <a:bodyPr vert="horz" wrap="square"/>
        <a:p>
          <a:pPr>
            <a:lnSpc>
              <a:spcPct val="100000"/>
            </a:lnSpc>
            <a:spcBef>
              <a:spcPct val="0"/>
            </a:spcBef>
            <a:spcAft>
              <a:spcPct val="35000"/>
            </a:spcAft>
          </a:pPr>
          <a:r>
            <a:rPr lang="zh-CN" altLang="en-US"/>
            <a:t/>
          </a:r>
          <a:endParaRPr lang="zh-CN" altLang="en-US"/>
        </a:p>
        <a:p>
          <a:pPr>
            <a:lnSpc>
              <a:spcPct val="100000"/>
            </a:lnSpc>
            <a:spcBef>
              <a:spcPct val="0"/>
            </a:spcBef>
            <a:spcAft>
              <a:spcPct val="35000"/>
            </a:spcAft>
          </a:pPr>
          <a:r>
            <a:rPr lang="zh-CN" altLang="en-US"/>
            <a:t>法官</a:t>
          </a:r>
          <a:endParaRPr lang="zh-CN" altLang="en-US"/>
        </a:p>
      </dgm:t>
    </dgm:pt>
    <dgm:pt modelId="{CCF68ADE-40B6-47D0-93C1-88EC13ADC8AC}" cxnId="{4A5E1E4E-988E-471A-9994-F7DECC6B2F24}" type="parTrans">
      <dgm:prSet/>
      <dgm:spPr/>
      <dgm:t>
        <a:bodyPr/>
        <a:p>
          <a:endParaRPr lang="zh-CN" altLang="en-US"/>
        </a:p>
      </dgm:t>
    </dgm:pt>
    <dgm:pt modelId="{630D3E0B-D1D7-4E1A-8193-515AA5E1866F}" cxnId="{4A5E1E4E-988E-471A-9994-F7DECC6B2F24}" type="sibTrans">
      <dgm:prSet/>
      <dgm:spPr/>
      <dgm:t>
        <a:bodyPr/>
        <a:p>
          <a:endParaRPr lang="zh-CN" altLang="en-US"/>
        </a:p>
      </dgm:t>
    </dgm:pt>
    <dgm:pt modelId="{E498DC9C-C5AC-4482-A26F-3B99DC5D79F0}" type="pres">
      <dgm:prSet presAssocID="{A77D31B3-3808-4FBA-8FA4-CC8D448A173E}" presName="hierChild1" presStyleCnt="0">
        <dgm:presLayoutVars>
          <dgm:orgChart val="1"/>
          <dgm:chPref val="1"/>
          <dgm:dir/>
          <dgm:animOne val="branch"/>
          <dgm:animLvl val="lvl"/>
          <dgm:resizeHandles/>
        </dgm:presLayoutVars>
      </dgm:prSet>
      <dgm:spPr/>
    </dgm:pt>
    <dgm:pt modelId="{D4D420F2-3E2D-4E13-84BC-F5689127E90A}" type="pres">
      <dgm:prSet presAssocID="{B29BF47F-FB6F-4BB3-8B1F-25C507DDACF5}" presName="hierRoot1" presStyleCnt="0">
        <dgm:presLayoutVars>
          <dgm:hierBranch val="hang"/>
        </dgm:presLayoutVars>
      </dgm:prSet>
      <dgm:spPr/>
    </dgm:pt>
    <dgm:pt modelId="{B94DDE3B-64D1-4E26-BE5B-9D80B65BCAD9}" type="pres">
      <dgm:prSet presAssocID="{B29BF47F-FB6F-4BB3-8B1F-25C507DDACF5}" presName="rootComposite1" presStyleCnt="0"/>
      <dgm:spPr/>
    </dgm:pt>
    <dgm:pt modelId="{EB08202F-4085-4FC4-8A2E-14D5FAF6CD80}" type="pres">
      <dgm:prSet presAssocID="{B29BF47F-FB6F-4BB3-8B1F-25C507DDACF5}" presName="rootText1" presStyleLbl="node0" presStyleIdx="0" presStyleCnt="1">
        <dgm:presLayoutVars>
          <dgm:chPref val="3"/>
        </dgm:presLayoutVars>
      </dgm:prSet>
      <dgm:spPr/>
    </dgm:pt>
    <dgm:pt modelId="{514D7729-B364-4CA2-8F4A-168DCD4FE76F}" type="pres">
      <dgm:prSet presAssocID="{B29BF47F-FB6F-4BB3-8B1F-25C507DDACF5}" presName="rootConnector1" presStyleCnt="0"/>
      <dgm:spPr/>
    </dgm:pt>
    <dgm:pt modelId="{7EAB37C2-FA75-439A-AB04-1C47826F5026}" type="pres">
      <dgm:prSet presAssocID="{B29BF47F-FB6F-4BB3-8B1F-25C507DDACF5}" presName="hierChild2" presStyleCnt="0"/>
      <dgm:spPr/>
    </dgm:pt>
    <dgm:pt modelId="{5E2547DE-B984-43A2-8D2D-0C9FA2400EB1}" type="pres">
      <dgm:prSet presAssocID="{EACD17F5-D793-4A43-B489-D1804D50CFEF}" presName="Name48" presStyleLbl="parChTrans1D2" presStyleIdx="0" presStyleCnt="3"/>
      <dgm:spPr/>
    </dgm:pt>
    <dgm:pt modelId="{D6C5C065-A308-417C-8ECC-04FC2BEC646C}" type="pres">
      <dgm:prSet presAssocID="{12714FC6-8B41-47E5-91DD-F02D34D23B93}" presName="hierRoot2" presStyleCnt="0">
        <dgm:presLayoutVars>
          <dgm:hierBranch val="init"/>
        </dgm:presLayoutVars>
      </dgm:prSet>
      <dgm:spPr/>
    </dgm:pt>
    <dgm:pt modelId="{E36491EF-5019-46FD-BC82-1BD579B9EE0E}" type="pres">
      <dgm:prSet presAssocID="{12714FC6-8B41-47E5-91DD-F02D34D23B93}" presName="rootComposite" presStyleCnt="0"/>
      <dgm:spPr/>
    </dgm:pt>
    <dgm:pt modelId="{43B7C837-49D6-40CE-BBAB-953D9E4BA7ED}" type="pres">
      <dgm:prSet presAssocID="{12714FC6-8B41-47E5-91DD-F02D34D23B93}" presName="rootText" presStyleLbl="node2" presStyleIdx="0" presStyleCnt="3">
        <dgm:presLayoutVars>
          <dgm:chPref val="3"/>
        </dgm:presLayoutVars>
      </dgm:prSet>
      <dgm:spPr/>
    </dgm:pt>
    <dgm:pt modelId="{9A037140-9B69-4B9F-A134-F2F2EB0F2E32}" type="pres">
      <dgm:prSet presAssocID="{12714FC6-8B41-47E5-91DD-F02D34D23B93}" presName="rootConnector" presStyleCnt="0"/>
      <dgm:spPr/>
    </dgm:pt>
    <dgm:pt modelId="{FA37AA5D-87C2-47F6-9B72-B753C073E744}" type="pres">
      <dgm:prSet presAssocID="{12714FC6-8B41-47E5-91DD-F02D34D23B93}" presName="hierChild4" presStyleCnt="0"/>
      <dgm:spPr/>
    </dgm:pt>
    <dgm:pt modelId="{A7309641-2A58-41EA-9E42-56812CF298ED}" type="pres">
      <dgm:prSet presAssocID="{12714FC6-8B41-47E5-91DD-F02D34D23B93}" presName="hierChild5" presStyleCnt="0"/>
      <dgm:spPr/>
    </dgm:pt>
    <dgm:pt modelId="{3D39CEFA-BD32-4F57-8BFD-7346227A8E64}" type="pres">
      <dgm:prSet presAssocID="{8D5FB264-0A5C-4C3A-85B7-453D9BD837DF}" presName="Name48" presStyleLbl="parChTrans1D2" presStyleIdx="1" presStyleCnt="3"/>
      <dgm:spPr/>
    </dgm:pt>
    <dgm:pt modelId="{C6F584B9-7EA2-46D8-913B-8F508509ECAB}" type="pres">
      <dgm:prSet presAssocID="{4EC42421-831D-4CD3-8215-2AF4300F9C01}" presName="hierRoot2" presStyleCnt="0">
        <dgm:presLayoutVars>
          <dgm:hierBranch val="init"/>
        </dgm:presLayoutVars>
      </dgm:prSet>
      <dgm:spPr/>
    </dgm:pt>
    <dgm:pt modelId="{6CAD9CE6-86A1-4F7D-98A6-3AF53F55F9E3}" type="pres">
      <dgm:prSet presAssocID="{4EC42421-831D-4CD3-8215-2AF4300F9C01}" presName="rootComposite" presStyleCnt="0"/>
      <dgm:spPr/>
    </dgm:pt>
    <dgm:pt modelId="{08A0D1D2-3A20-4D63-8E35-B7C8B6B16D48}" type="pres">
      <dgm:prSet presAssocID="{4EC42421-831D-4CD3-8215-2AF4300F9C01}" presName="rootText" presStyleLbl="node2" presStyleIdx="1" presStyleCnt="3">
        <dgm:presLayoutVars>
          <dgm:chPref val="3"/>
        </dgm:presLayoutVars>
      </dgm:prSet>
      <dgm:spPr/>
    </dgm:pt>
    <dgm:pt modelId="{6238C53E-A961-488B-8FBD-6EC13507B069}" type="pres">
      <dgm:prSet presAssocID="{4EC42421-831D-4CD3-8215-2AF4300F9C01}" presName="rootConnector" presStyleCnt="0"/>
      <dgm:spPr/>
    </dgm:pt>
    <dgm:pt modelId="{A9C46FD3-3BE9-4E6E-BFF6-B0B42B13F857}" type="pres">
      <dgm:prSet presAssocID="{4EC42421-831D-4CD3-8215-2AF4300F9C01}" presName="hierChild4" presStyleCnt="0"/>
      <dgm:spPr/>
    </dgm:pt>
    <dgm:pt modelId="{A663BBFB-A120-4F5B-82EC-DB644DB9966B}" type="pres">
      <dgm:prSet presAssocID="{4EC42421-831D-4CD3-8215-2AF4300F9C01}" presName="hierChild5" presStyleCnt="0"/>
      <dgm:spPr/>
    </dgm:pt>
    <dgm:pt modelId="{CB0FF2C1-07C5-4114-95BF-045D13572E45}" type="pres">
      <dgm:prSet presAssocID="{CCF68ADE-40B6-47D0-93C1-88EC13ADC8AC}" presName="Name48" presStyleLbl="parChTrans1D2" presStyleIdx="2" presStyleCnt="3"/>
      <dgm:spPr/>
    </dgm:pt>
    <dgm:pt modelId="{1A917F9A-DDE6-4568-B35C-7FABCEF0A586}" type="pres">
      <dgm:prSet presAssocID="{CF717C8A-B40B-4AFF-BF49-65ABB7DF8190}" presName="hierRoot2" presStyleCnt="0">
        <dgm:presLayoutVars>
          <dgm:hierBranch val="init"/>
        </dgm:presLayoutVars>
      </dgm:prSet>
      <dgm:spPr/>
    </dgm:pt>
    <dgm:pt modelId="{FA949B67-3DB7-47FA-97C9-4A653E762F22}" type="pres">
      <dgm:prSet presAssocID="{CF717C8A-B40B-4AFF-BF49-65ABB7DF8190}" presName="rootComposite" presStyleCnt="0"/>
      <dgm:spPr/>
    </dgm:pt>
    <dgm:pt modelId="{7D64F4A3-0E55-47AC-A59B-9D5A9DC25552}" type="pres">
      <dgm:prSet presAssocID="{CF717C8A-B40B-4AFF-BF49-65ABB7DF8190}" presName="rootText" presStyleLbl="node2" presStyleIdx="2" presStyleCnt="3">
        <dgm:presLayoutVars>
          <dgm:chPref val="3"/>
        </dgm:presLayoutVars>
      </dgm:prSet>
      <dgm:spPr/>
    </dgm:pt>
    <dgm:pt modelId="{5667CB49-EC34-46BC-AD2D-72F3BD95D049}" type="pres">
      <dgm:prSet presAssocID="{CF717C8A-B40B-4AFF-BF49-65ABB7DF8190}" presName="rootConnector" presStyleCnt="0"/>
      <dgm:spPr/>
    </dgm:pt>
    <dgm:pt modelId="{EB3A10DA-2FA4-4DAD-8341-8078D7F83716}" type="pres">
      <dgm:prSet presAssocID="{CF717C8A-B40B-4AFF-BF49-65ABB7DF8190}" presName="hierChild4" presStyleCnt="0"/>
      <dgm:spPr/>
    </dgm:pt>
    <dgm:pt modelId="{B05C5608-85C8-433E-A928-1755312B673B}" type="pres">
      <dgm:prSet presAssocID="{CF717C8A-B40B-4AFF-BF49-65ABB7DF8190}" presName="hierChild5" presStyleCnt="0"/>
      <dgm:spPr/>
    </dgm:pt>
    <dgm:pt modelId="{95F7A5A5-9BA0-4E4B-B6A1-37293E04FD55}" type="pres">
      <dgm:prSet presAssocID="{B29BF47F-FB6F-4BB3-8B1F-25C507DDACF5}" presName="hierChild3" presStyleCnt="0"/>
      <dgm:spPr/>
    </dgm:pt>
  </dgm:ptLst>
  <dgm:cxnLst>
    <dgm:cxn modelId="{A1540672-521C-4CDA-B337-0BE33EDF0A8A}" srcId="{A77D31B3-3808-4FBA-8FA4-CC8D448A173E}" destId="{B29BF47F-FB6F-4BB3-8B1F-25C507DDACF5}" srcOrd="0" destOrd="0" parTransId="{4294CB15-5EAF-442A-BADC-24588A60ECFF}" sibTransId="{4FBEC948-3FA9-4375-B83A-B44348E5F34D}"/>
    <dgm:cxn modelId="{0D256EE7-174B-49A1-9EFA-31D3D73E6F92}" srcId="{B29BF47F-FB6F-4BB3-8B1F-25C507DDACF5}" destId="{12714FC6-8B41-47E5-91DD-F02D34D23B93}" srcOrd="0" destOrd="0" parTransId="{EACD17F5-D793-4A43-B489-D1804D50CFEF}" sibTransId="{FA45D93F-0724-4936-AA45-E6762732A19D}"/>
    <dgm:cxn modelId="{4F391A97-DC05-4DF6-85B9-1F7027FDA1F6}" srcId="{B29BF47F-FB6F-4BB3-8B1F-25C507DDACF5}" destId="{4EC42421-831D-4CD3-8215-2AF4300F9C01}" srcOrd="1" destOrd="0" parTransId="{8D5FB264-0A5C-4C3A-85B7-453D9BD837DF}" sibTransId="{A1825131-D805-48C8-BFCE-E45C02E6F5CE}"/>
    <dgm:cxn modelId="{4A5E1E4E-988E-471A-9994-F7DECC6B2F24}" srcId="{B29BF47F-FB6F-4BB3-8B1F-25C507DDACF5}" destId="{CF717C8A-B40B-4AFF-BF49-65ABB7DF8190}" srcOrd="2" destOrd="0" parTransId="{CCF68ADE-40B6-47D0-93C1-88EC13ADC8AC}" sibTransId="{630D3E0B-D1D7-4E1A-8193-515AA5E1866F}"/>
    <dgm:cxn modelId="{CB855E7D-8ABA-435E-BED1-35C9F0F6122A}" type="presOf" srcId="{A77D31B3-3808-4FBA-8FA4-CC8D448A173E}" destId="{E498DC9C-C5AC-4482-A26F-3B99DC5D79F0}" srcOrd="0" destOrd="0" presId="urn:microsoft.com/office/officeart/2005/8/layout/orgChart1"/>
    <dgm:cxn modelId="{1E4CF54D-AAEE-40B4-A3DB-0F8218C1DACF}" type="presParOf" srcId="{E498DC9C-C5AC-4482-A26F-3B99DC5D79F0}" destId="{D4D420F2-3E2D-4E13-84BC-F5689127E90A}" srcOrd="0" destOrd="0" presId="urn:microsoft.com/office/officeart/2005/8/layout/orgChart1"/>
    <dgm:cxn modelId="{039B59DE-C23F-4455-9D68-17BEE99FCB0C}" type="presParOf" srcId="{D4D420F2-3E2D-4E13-84BC-F5689127E90A}" destId="{B94DDE3B-64D1-4E26-BE5B-9D80B65BCAD9}" srcOrd="0" destOrd="0" presId="urn:microsoft.com/office/officeart/2005/8/layout/orgChart1"/>
    <dgm:cxn modelId="{39A140DF-DBDE-42E6-81D9-57E1FB4D3DBB}" type="presOf" srcId="{B29BF47F-FB6F-4BB3-8B1F-25C507DDACF5}" destId="{B94DDE3B-64D1-4E26-BE5B-9D80B65BCAD9}" srcOrd="0" destOrd="0" presId="urn:microsoft.com/office/officeart/2005/8/layout/orgChart1"/>
    <dgm:cxn modelId="{7887A8F4-B8B3-46F4-A82C-54995B016A13}" type="presParOf" srcId="{B94DDE3B-64D1-4E26-BE5B-9D80B65BCAD9}" destId="{EB08202F-4085-4FC4-8A2E-14D5FAF6CD80}" srcOrd="0" destOrd="0" presId="urn:microsoft.com/office/officeart/2005/8/layout/orgChart1"/>
    <dgm:cxn modelId="{CB5D4ABE-FF5E-44D2-B0D6-5479F6CD070D}" type="presOf" srcId="{B29BF47F-FB6F-4BB3-8B1F-25C507DDACF5}" destId="{EB08202F-4085-4FC4-8A2E-14D5FAF6CD80}" srcOrd="0" destOrd="0" presId="urn:microsoft.com/office/officeart/2005/8/layout/orgChart1"/>
    <dgm:cxn modelId="{172BE4F9-7D68-41CD-B330-C852BFB2D4E9}" type="presParOf" srcId="{B94DDE3B-64D1-4E26-BE5B-9D80B65BCAD9}" destId="{514D7729-B364-4CA2-8F4A-168DCD4FE76F}" srcOrd="1" destOrd="0" presId="urn:microsoft.com/office/officeart/2005/8/layout/orgChart1"/>
    <dgm:cxn modelId="{9692D094-AE94-4374-A609-55A6C04B8679}" type="presOf" srcId="{B29BF47F-FB6F-4BB3-8B1F-25C507DDACF5}" destId="{514D7729-B364-4CA2-8F4A-168DCD4FE76F}" srcOrd="0" destOrd="0" presId="urn:microsoft.com/office/officeart/2005/8/layout/orgChart1"/>
    <dgm:cxn modelId="{843A2DAF-5662-4117-A09E-03C50EA0A204}" type="presParOf" srcId="{D4D420F2-3E2D-4E13-84BC-F5689127E90A}" destId="{7EAB37C2-FA75-439A-AB04-1C47826F5026}" srcOrd="1" destOrd="0" presId="urn:microsoft.com/office/officeart/2005/8/layout/orgChart1"/>
    <dgm:cxn modelId="{1C8E9D32-BAC7-4897-A4EE-8197766552F7}" type="presParOf" srcId="{7EAB37C2-FA75-439A-AB04-1C47826F5026}" destId="{5E2547DE-B984-43A2-8D2D-0C9FA2400EB1}" srcOrd="0" destOrd="1" presId="urn:microsoft.com/office/officeart/2005/8/layout/orgChart1"/>
    <dgm:cxn modelId="{AD444438-DA59-4F82-AFE1-884BD01C570F}" type="presOf" srcId="{EACD17F5-D793-4A43-B489-D1804D50CFEF}" destId="{5E2547DE-B984-43A2-8D2D-0C9FA2400EB1}" srcOrd="0" destOrd="0" presId="urn:microsoft.com/office/officeart/2005/8/layout/orgChart1"/>
    <dgm:cxn modelId="{ED2462F1-A893-49C8-A0E2-4ACBCF44185E}" type="presParOf" srcId="{7EAB37C2-FA75-439A-AB04-1C47826F5026}" destId="{D6C5C065-A308-417C-8ECC-04FC2BEC646C}" srcOrd="1" destOrd="1" presId="urn:microsoft.com/office/officeart/2005/8/layout/orgChart1"/>
    <dgm:cxn modelId="{BFD6620E-4127-4728-83D3-B1BE8F7CD929}" type="presParOf" srcId="{D6C5C065-A308-417C-8ECC-04FC2BEC646C}" destId="{E36491EF-5019-46FD-BC82-1BD579B9EE0E}" srcOrd="0" destOrd="1" presId="urn:microsoft.com/office/officeart/2005/8/layout/orgChart1"/>
    <dgm:cxn modelId="{34152EA1-F2F9-470C-8430-DEBF566A691D}" type="presOf" srcId="{12714FC6-8B41-47E5-91DD-F02D34D23B93}" destId="{E36491EF-5019-46FD-BC82-1BD579B9EE0E}" srcOrd="0" destOrd="0" presId="urn:microsoft.com/office/officeart/2005/8/layout/orgChart1"/>
    <dgm:cxn modelId="{42D8E0ED-AF93-4359-A905-AABA40985DEF}" type="presParOf" srcId="{E36491EF-5019-46FD-BC82-1BD579B9EE0E}" destId="{43B7C837-49D6-40CE-BBAB-953D9E4BA7ED}" srcOrd="0" destOrd="0" presId="urn:microsoft.com/office/officeart/2005/8/layout/orgChart1"/>
    <dgm:cxn modelId="{8DD2D73D-8A29-4275-A602-887065E1AB83}" type="presOf" srcId="{12714FC6-8B41-47E5-91DD-F02D34D23B93}" destId="{43B7C837-49D6-40CE-BBAB-953D9E4BA7ED}" srcOrd="0" destOrd="0" presId="urn:microsoft.com/office/officeart/2005/8/layout/orgChart1"/>
    <dgm:cxn modelId="{FC378956-1CA4-4EF5-9BAB-C66642BCB716}" type="presParOf" srcId="{E36491EF-5019-46FD-BC82-1BD579B9EE0E}" destId="{9A037140-9B69-4B9F-A134-F2F2EB0F2E32}" srcOrd="1" destOrd="0" presId="urn:microsoft.com/office/officeart/2005/8/layout/orgChart1"/>
    <dgm:cxn modelId="{9A1A432D-2E23-4CFF-8F74-99B59BB4E28F}" type="presOf" srcId="{12714FC6-8B41-47E5-91DD-F02D34D23B93}" destId="{9A037140-9B69-4B9F-A134-F2F2EB0F2E32}" srcOrd="0" destOrd="0" presId="urn:microsoft.com/office/officeart/2005/8/layout/orgChart1"/>
    <dgm:cxn modelId="{52A529E8-979D-4279-A7E6-E14BA755E66D}" type="presParOf" srcId="{D6C5C065-A308-417C-8ECC-04FC2BEC646C}" destId="{FA37AA5D-87C2-47F6-9B72-B753C073E744}" srcOrd="1" destOrd="1" presId="urn:microsoft.com/office/officeart/2005/8/layout/orgChart1"/>
    <dgm:cxn modelId="{66A40683-2FE9-4A65-B9FF-2011B7D7A367}" type="presParOf" srcId="{D6C5C065-A308-417C-8ECC-04FC2BEC646C}" destId="{A7309641-2A58-41EA-9E42-56812CF298ED}" srcOrd="2" destOrd="1" presId="urn:microsoft.com/office/officeart/2005/8/layout/orgChart1"/>
    <dgm:cxn modelId="{D8225CF6-EC76-4801-BC2B-63D7F4E742CB}" type="presParOf" srcId="{7EAB37C2-FA75-439A-AB04-1C47826F5026}" destId="{3D39CEFA-BD32-4F57-8BFD-7346227A8E64}" srcOrd="2" destOrd="1" presId="urn:microsoft.com/office/officeart/2005/8/layout/orgChart1"/>
    <dgm:cxn modelId="{5207C3F4-2929-41AC-92A9-18A69D3C1BEB}" type="presOf" srcId="{8D5FB264-0A5C-4C3A-85B7-453D9BD837DF}" destId="{3D39CEFA-BD32-4F57-8BFD-7346227A8E64}" srcOrd="0" destOrd="0" presId="urn:microsoft.com/office/officeart/2005/8/layout/orgChart1"/>
    <dgm:cxn modelId="{958C6637-39FC-4FD9-957C-F99608868A28}" type="presParOf" srcId="{7EAB37C2-FA75-439A-AB04-1C47826F5026}" destId="{C6F584B9-7EA2-46D8-913B-8F508509ECAB}" srcOrd="3" destOrd="1" presId="urn:microsoft.com/office/officeart/2005/8/layout/orgChart1"/>
    <dgm:cxn modelId="{AC440136-212C-4B94-9572-2BFFB52E5DD9}" type="presParOf" srcId="{C6F584B9-7EA2-46D8-913B-8F508509ECAB}" destId="{6CAD9CE6-86A1-4F7D-98A6-3AF53F55F9E3}" srcOrd="0" destOrd="3" presId="urn:microsoft.com/office/officeart/2005/8/layout/orgChart1"/>
    <dgm:cxn modelId="{8DD2017A-ADCC-432C-A264-1BBF0FC4F7C4}" type="presOf" srcId="{4EC42421-831D-4CD3-8215-2AF4300F9C01}" destId="{6CAD9CE6-86A1-4F7D-98A6-3AF53F55F9E3}" srcOrd="0" destOrd="0" presId="urn:microsoft.com/office/officeart/2005/8/layout/orgChart1"/>
    <dgm:cxn modelId="{7B6CAB98-CCE6-431F-B3DE-EE7CD34C3495}" type="presParOf" srcId="{6CAD9CE6-86A1-4F7D-98A6-3AF53F55F9E3}" destId="{08A0D1D2-3A20-4D63-8E35-B7C8B6B16D48}" srcOrd="0" destOrd="0" presId="urn:microsoft.com/office/officeart/2005/8/layout/orgChart1"/>
    <dgm:cxn modelId="{7EEE74B3-F964-4911-B158-1A791872D9DB}" type="presOf" srcId="{4EC42421-831D-4CD3-8215-2AF4300F9C01}" destId="{08A0D1D2-3A20-4D63-8E35-B7C8B6B16D48}" srcOrd="0" destOrd="0" presId="urn:microsoft.com/office/officeart/2005/8/layout/orgChart1"/>
    <dgm:cxn modelId="{5A2A9F6E-E7D0-41A8-95D2-0A38334204CE}" type="presParOf" srcId="{6CAD9CE6-86A1-4F7D-98A6-3AF53F55F9E3}" destId="{6238C53E-A961-488B-8FBD-6EC13507B069}" srcOrd="1" destOrd="0" presId="urn:microsoft.com/office/officeart/2005/8/layout/orgChart1"/>
    <dgm:cxn modelId="{ACAE7628-69B6-4CD9-9AD6-06F696E00DFC}" type="presOf" srcId="{4EC42421-831D-4CD3-8215-2AF4300F9C01}" destId="{6238C53E-A961-488B-8FBD-6EC13507B069}" srcOrd="0" destOrd="0" presId="urn:microsoft.com/office/officeart/2005/8/layout/orgChart1"/>
    <dgm:cxn modelId="{B2AF2D05-9FA3-4095-A799-348B4AD23825}" type="presParOf" srcId="{C6F584B9-7EA2-46D8-913B-8F508509ECAB}" destId="{A9C46FD3-3BE9-4E6E-BFF6-B0B42B13F857}" srcOrd="1" destOrd="3" presId="urn:microsoft.com/office/officeart/2005/8/layout/orgChart1"/>
    <dgm:cxn modelId="{B4FBCEA7-F51B-4465-8D0A-6F2D7B31DCA0}" type="presParOf" srcId="{C6F584B9-7EA2-46D8-913B-8F508509ECAB}" destId="{A663BBFB-A120-4F5B-82EC-DB644DB9966B}" srcOrd="2" destOrd="3" presId="urn:microsoft.com/office/officeart/2005/8/layout/orgChart1"/>
    <dgm:cxn modelId="{1CE32AD3-55E1-4CA9-83A8-743D9E26E4C3}" type="presParOf" srcId="{7EAB37C2-FA75-439A-AB04-1C47826F5026}" destId="{CB0FF2C1-07C5-4114-95BF-045D13572E45}" srcOrd="4" destOrd="1" presId="urn:microsoft.com/office/officeart/2005/8/layout/orgChart1"/>
    <dgm:cxn modelId="{137AF0D2-A1E1-442E-8238-AECB8EE94587}" type="presOf" srcId="{CCF68ADE-40B6-47D0-93C1-88EC13ADC8AC}" destId="{CB0FF2C1-07C5-4114-95BF-045D13572E45}" srcOrd="0" destOrd="0" presId="urn:microsoft.com/office/officeart/2005/8/layout/orgChart1"/>
    <dgm:cxn modelId="{B570B8C0-C9F6-4F39-B55F-E4E40B53AE98}" type="presParOf" srcId="{7EAB37C2-FA75-439A-AB04-1C47826F5026}" destId="{1A917F9A-DDE6-4568-B35C-7FABCEF0A586}" srcOrd="5" destOrd="1" presId="urn:microsoft.com/office/officeart/2005/8/layout/orgChart1"/>
    <dgm:cxn modelId="{2BE5BDCA-44FE-4E5F-8157-34C3AE4B45EB}" type="presParOf" srcId="{1A917F9A-DDE6-4568-B35C-7FABCEF0A586}" destId="{FA949B67-3DB7-47FA-97C9-4A653E762F22}" srcOrd="0" destOrd="5" presId="urn:microsoft.com/office/officeart/2005/8/layout/orgChart1"/>
    <dgm:cxn modelId="{66115A3A-FAEB-4ED6-9C83-C8C22C12C408}" type="presOf" srcId="{CF717C8A-B40B-4AFF-BF49-65ABB7DF8190}" destId="{FA949B67-3DB7-47FA-97C9-4A653E762F22}" srcOrd="0" destOrd="0" presId="urn:microsoft.com/office/officeart/2005/8/layout/orgChart1"/>
    <dgm:cxn modelId="{033A35C9-AFA4-4E9A-BE5D-4FDD20EEEF88}" type="presParOf" srcId="{FA949B67-3DB7-47FA-97C9-4A653E762F22}" destId="{7D64F4A3-0E55-47AC-A59B-9D5A9DC25552}" srcOrd="0" destOrd="0" presId="urn:microsoft.com/office/officeart/2005/8/layout/orgChart1"/>
    <dgm:cxn modelId="{1561341C-D07F-40AA-AA43-E4F5D133EEB5}" type="presOf" srcId="{CF717C8A-B40B-4AFF-BF49-65ABB7DF8190}" destId="{7D64F4A3-0E55-47AC-A59B-9D5A9DC25552}" srcOrd="0" destOrd="0" presId="urn:microsoft.com/office/officeart/2005/8/layout/orgChart1"/>
    <dgm:cxn modelId="{C721B768-0497-41BA-B19B-50CC121619AF}" type="presParOf" srcId="{FA949B67-3DB7-47FA-97C9-4A653E762F22}" destId="{5667CB49-EC34-46BC-AD2D-72F3BD95D049}" srcOrd="1" destOrd="0" presId="urn:microsoft.com/office/officeart/2005/8/layout/orgChart1"/>
    <dgm:cxn modelId="{8126D51D-4033-4D8C-B801-95D8869887ED}" type="presOf" srcId="{CF717C8A-B40B-4AFF-BF49-65ABB7DF8190}" destId="{5667CB49-EC34-46BC-AD2D-72F3BD95D049}" srcOrd="0" destOrd="0" presId="urn:microsoft.com/office/officeart/2005/8/layout/orgChart1"/>
    <dgm:cxn modelId="{7D7E6FA6-C488-4D76-B40D-A3BC50899B00}" type="presParOf" srcId="{1A917F9A-DDE6-4568-B35C-7FABCEF0A586}" destId="{EB3A10DA-2FA4-4DAD-8341-8078D7F83716}" srcOrd="1" destOrd="5" presId="urn:microsoft.com/office/officeart/2005/8/layout/orgChart1"/>
    <dgm:cxn modelId="{1D081E49-EE53-4C0F-88A0-3957E7F5A4B7}" type="presParOf" srcId="{1A917F9A-DDE6-4568-B35C-7FABCEF0A586}" destId="{B05C5608-85C8-433E-A928-1755312B673B}" srcOrd="2" destOrd="5" presId="urn:microsoft.com/office/officeart/2005/8/layout/orgChart1"/>
    <dgm:cxn modelId="{32CD969A-A828-4AEA-B003-C91F4665FD18}" type="presParOf" srcId="{D4D420F2-3E2D-4E13-84BC-F5689127E90A}" destId="{95F7A5A5-9BA0-4E4B-B6A1-37293E04FD55}" srcOrd="2" destOrd="0" presId="urn:microsoft.com/office/officeart/2005/8/layout/orgChart1"/>
  </dgm:cxnLst>
  <dgm:bg/>
  <dgm:whole/>
</dgm:dataModel>
</file>

<file path=word/diagrams/data3.xml><?xml version="1.0" encoding="utf-8"?>
<dgm:dataModel xmlns:dgm="http://schemas.openxmlformats.org/drawingml/2006/diagram" xmlns:a="http://schemas.openxmlformats.org/drawingml/2006/main">
  <dgm:ptLst>
    <dgm:pt modelId="{A77D31B3-3808-4FBA-8FA4-CC8D448A173E}" type="doc">
      <dgm:prSet loTypeId="urn:microsoft.com/office/officeart/2005/8/layout/orgChart1" loCatId="hierarchy" qsTypeId="urn:microsoft.com/office/officeart/2005/8/quickstyle/simple1" qsCatId="simple" csTypeId="urn:microsoft.com/office/officeart/2005/8/colors/accent0_1" csCatId="accent1" phldr="0"/>
      <dgm:spPr/>
      <dgm:t>
        <a:bodyPr/>
        <a:p>
          <a:endParaRPr lang="zh-CN" altLang="en-US"/>
        </a:p>
      </dgm:t>
    </dgm:pt>
    <dgm:pt modelId="{47C757F0-AA23-46BE-9311-EA432CDEEAA1}">
      <dgm:prSet phldrT="[文本]" phldr="0" custT="0"/>
      <dgm:spPr/>
      <dgm:t>
        <a:bodyPr vert="horz" wrap="square"/>
        <a:p>
          <a:pPr>
            <a:lnSpc>
              <a:spcPct val="100000"/>
            </a:lnSpc>
            <a:spcBef>
              <a:spcPct val="0"/>
            </a:spcBef>
            <a:spcAft>
              <a:spcPct val="35000"/>
            </a:spcAft>
          </a:pPr>
          <a:r>
            <a:rPr lang="zh-CN" altLang="en-US"/>
            <a:t>院长</a:t>
          </a:r>
          <a:endParaRPr lang="zh-CN" altLang="en-US"/>
        </a:p>
      </dgm:t>
    </dgm:pt>
    <dgm:pt modelId="{AB39B06D-FE6C-48B2-B5B4-77CD0C8CF7AD}" cxnId="{5CAA2FC3-2C47-4BC4-B951-D1B63498B674}" type="parTrans">
      <dgm:prSet/>
      <dgm:spPr/>
      <dgm:t>
        <a:bodyPr/>
        <a:p>
          <a:endParaRPr lang="zh-CN" altLang="en-US"/>
        </a:p>
      </dgm:t>
    </dgm:pt>
    <dgm:pt modelId="{DF0D1C21-B79E-4875-B7FA-EF183CB48B88}" cxnId="{5CAA2FC3-2C47-4BC4-B951-D1B63498B674}" type="sibTrans">
      <dgm:prSet/>
      <dgm:spPr/>
      <dgm:t>
        <a:bodyPr/>
        <a:p>
          <a:endParaRPr lang="zh-CN" altLang="en-US"/>
        </a:p>
      </dgm:t>
    </dgm:pt>
    <dgm:pt modelId="{B29BF47F-FB6F-4BB3-8B1F-25C507DDACF5}" type="asst">
      <dgm:prSet phldrT="[文本]" phldr="0" custT="0"/>
      <dgm:spPr/>
      <dgm:t>
        <a:bodyPr vert="horz" wrap="square"/>
        <a:p>
          <a:pPr>
            <a:lnSpc>
              <a:spcPct val="100000"/>
            </a:lnSpc>
            <a:spcBef>
              <a:spcPct val="0"/>
            </a:spcBef>
            <a:spcAft>
              <a:spcPct val="35000"/>
            </a:spcAft>
          </a:pPr>
          <a:r>
            <a:rPr lang="zh-CN" altLang="en-US"/>
            <a:t>副院长</a:t>
          </a:r>
          <a:endParaRPr lang="zh-CN" altLang="en-US"/>
        </a:p>
      </dgm:t>
    </dgm:pt>
    <dgm:pt modelId="{4294CB15-5EAF-442A-BADC-24588A60ECFF}" cxnId="{04AFB4CD-5216-4CB0-B09F-8E0A3126BC87}" type="parTrans">
      <dgm:prSet/>
      <dgm:spPr/>
      <dgm:t>
        <a:bodyPr/>
        <a:p>
          <a:endParaRPr lang="zh-CN" altLang="en-US"/>
        </a:p>
      </dgm:t>
    </dgm:pt>
    <dgm:pt modelId="{4FBEC948-3FA9-4375-B83A-B44348E5F34D}" cxnId="{04AFB4CD-5216-4CB0-B09F-8E0A3126BC87}" type="sibTrans">
      <dgm:prSet/>
      <dgm:spPr/>
      <dgm:t>
        <a:bodyPr/>
        <a:p>
          <a:endParaRPr lang="zh-CN" altLang="en-US"/>
        </a:p>
      </dgm:t>
    </dgm:pt>
    <dgm:pt modelId="{12714FC6-8B41-47E5-91DD-F02D34D23B93}">
      <dgm:prSet phldrT="[文本]" phldr="0" custT="0"/>
      <dgm:spPr/>
      <dgm:t>
        <a:bodyPr vert="horz" wrap="square"/>
        <a:p>
          <a:pPr>
            <a:lnSpc>
              <a:spcPct val="100000"/>
            </a:lnSpc>
            <a:spcBef>
              <a:spcPct val="0"/>
            </a:spcBef>
            <a:spcAft>
              <a:spcPct val="35000"/>
            </a:spcAft>
          </a:pPr>
          <a:r>
            <a:rPr lang="zh-CN" altLang="en-US"/>
            <a:t>庭（副）长</a:t>
          </a:r>
          <a:endParaRPr lang="zh-CN" altLang="en-US"/>
        </a:p>
      </dgm:t>
    </dgm:pt>
    <dgm:pt modelId="{EACD17F5-D793-4A43-B489-D1804D50CFEF}" cxnId="{C378A8B1-6359-4129-82BD-B74D6A58A19B}" type="parTrans">
      <dgm:prSet/>
      <dgm:spPr/>
      <dgm:t>
        <a:bodyPr/>
        <a:p>
          <a:endParaRPr lang="zh-CN" altLang="en-US"/>
        </a:p>
      </dgm:t>
    </dgm:pt>
    <dgm:pt modelId="{FA45D93F-0724-4936-AA45-E6762732A19D}" cxnId="{C378A8B1-6359-4129-82BD-B74D6A58A19B}" type="sibTrans">
      <dgm:prSet/>
      <dgm:spPr/>
      <dgm:t>
        <a:bodyPr/>
        <a:p>
          <a:endParaRPr lang="zh-CN" altLang="en-US"/>
        </a:p>
      </dgm:t>
    </dgm:pt>
    <dgm:pt modelId="{4EC42421-831D-4CD3-8215-2AF4300F9C01}">
      <dgm:prSet phldrT="[文本]" phldr="0" custT="0"/>
      <dgm:spPr/>
      <dgm:t>
        <a:bodyPr vert="horz" wrap="square"/>
        <a:p>
          <a:pPr>
            <a:lnSpc>
              <a:spcPct val="100000"/>
            </a:lnSpc>
            <a:spcBef>
              <a:spcPct val="0"/>
            </a:spcBef>
            <a:spcAft>
              <a:spcPct val="35000"/>
            </a:spcAft>
          </a:pPr>
          <a:r>
            <a:rPr lang="zh-CN" altLang="en-US"/>
            <a:t>司法行政人员</a:t>
          </a:r>
          <a:endParaRPr lang="zh-CN" altLang="en-US"/>
        </a:p>
      </dgm:t>
    </dgm:pt>
    <dgm:pt modelId="{8D5FB264-0A5C-4C3A-85B7-453D9BD837DF}" cxnId="{3541B7D4-201A-4C54-8B37-EF4147B4E995}" type="parTrans">
      <dgm:prSet/>
      <dgm:spPr/>
      <dgm:t>
        <a:bodyPr/>
        <a:p>
          <a:endParaRPr lang="zh-CN" altLang="en-US"/>
        </a:p>
      </dgm:t>
    </dgm:pt>
    <dgm:pt modelId="{A1825131-D805-48C8-BFCE-E45C02E6F5CE}" cxnId="{3541B7D4-201A-4C54-8B37-EF4147B4E995}" type="sibTrans">
      <dgm:prSet/>
      <dgm:spPr/>
      <dgm:t>
        <a:bodyPr/>
        <a:p>
          <a:endParaRPr lang="zh-CN" altLang="en-US"/>
        </a:p>
      </dgm:t>
    </dgm:pt>
    <dgm:pt modelId="{CF717C8A-B40B-4AFF-BF49-65ABB7DF8190}">
      <dgm:prSet phldrT="[文本]" phldr="0" custT="1"/>
      <dgm:spPr/>
      <dgm:t>
        <a:bodyPr vert="horz" wrap="square"/>
        <a:p>
          <a:pPr>
            <a:lnSpc>
              <a:spcPct val="100000"/>
            </a:lnSpc>
            <a:spcBef>
              <a:spcPct val="0"/>
            </a:spcBef>
            <a:spcAft>
              <a:spcPct val="35000"/>
            </a:spcAft>
          </a:pPr>
          <a:r>
            <a:rPr lang="zh-CN" altLang="en-US" sz="1050"/>
            <a:t>其他人员</a:t>
          </a:r>
          <a:endParaRPr lang="zh-CN" altLang="en-US" sz="1050"/>
        </a:p>
      </dgm:t>
    </dgm:pt>
    <dgm:pt modelId="{CCF68ADE-40B6-47D0-93C1-88EC13ADC8AC}" cxnId="{D99FF134-D976-4E15-9946-4A515997C77D}" type="parTrans">
      <dgm:prSet/>
      <dgm:spPr/>
      <dgm:t>
        <a:bodyPr/>
        <a:p>
          <a:endParaRPr lang="zh-CN" altLang="en-US"/>
        </a:p>
      </dgm:t>
    </dgm:pt>
    <dgm:pt modelId="{630D3E0B-D1D7-4E1A-8193-515AA5E1866F}" cxnId="{D99FF134-D976-4E15-9946-4A515997C77D}" type="sibTrans">
      <dgm:prSet/>
      <dgm:spPr/>
      <dgm:t>
        <a:bodyPr/>
        <a:p>
          <a:endParaRPr lang="zh-CN" altLang="en-US"/>
        </a:p>
      </dgm:t>
    </dgm:pt>
    <dgm:pt modelId="{E498DC9C-C5AC-4482-A26F-3B99DC5D79F0}" type="pres">
      <dgm:prSet presAssocID="{A77D31B3-3808-4FBA-8FA4-CC8D448A173E}" presName="hierChild1" presStyleCnt="0">
        <dgm:presLayoutVars>
          <dgm:orgChart val="1"/>
          <dgm:chPref val="1"/>
          <dgm:dir/>
          <dgm:animOne val="branch"/>
          <dgm:animLvl val="lvl"/>
          <dgm:resizeHandles/>
        </dgm:presLayoutVars>
      </dgm:prSet>
      <dgm:spPr/>
    </dgm:pt>
    <dgm:pt modelId="{F728C3E8-5128-4BB6-90CC-A86769ECE335}" type="pres">
      <dgm:prSet presAssocID="{47C757F0-AA23-46BE-9311-EA432CDEEAA1}" presName="hierRoot1" presStyleCnt="0">
        <dgm:presLayoutVars>
          <dgm:hierBranch val="init"/>
        </dgm:presLayoutVars>
      </dgm:prSet>
      <dgm:spPr/>
    </dgm:pt>
    <dgm:pt modelId="{79147750-B6BF-43FD-83A0-7ACDC9B53EFF}" type="pres">
      <dgm:prSet presAssocID="{47C757F0-AA23-46BE-9311-EA432CDEEAA1}" presName="rootComposite1" presStyleCnt="0"/>
      <dgm:spPr/>
    </dgm:pt>
    <dgm:pt modelId="{AE79172D-D441-42BB-84EA-E3D989670DED}" type="pres">
      <dgm:prSet presAssocID="{47C757F0-AA23-46BE-9311-EA432CDEEAA1}" presName="rootText1" presStyleLbl="node0" presStyleIdx="0" presStyleCnt="1">
        <dgm:presLayoutVars>
          <dgm:chPref val="3"/>
        </dgm:presLayoutVars>
      </dgm:prSet>
      <dgm:spPr/>
    </dgm:pt>
    <dgm:pt modelId="{86420519-308D-4A6A-8FEA-6FB2E39BA448}" type="pres">
      <dgm:prSet presAssocID="{47C757F0-AA23-46BE-9311-EA432CDEEAA1}" presName="rootConnector1" presStyleCnt="0"/>
      <dgm:spPr/>
    </dgm:pt>
    <dgm:pt modelId="{9A0FF10C-81C7-47CD-A320-768F2009480B}" type="pres">
      <dgm:prSet presAssocID="{47C757F0-AA23-46BE-9311-EA432CDEEAA1}" presName="hierChild2" presStyleCnt="0"/>
      <dgm:spPr/>
    </dgm:pt>
    <dgm:pt modelId="{6A259130-4455-44E0-969B-948D1249687E}" type="pres">
      <dgm:prSet presAssocID="{EACD17F5-D793-4A43-B489-D1804D50CFEF}" presName="Name37" presStyleLbl="parChTrans1D2" presStyleIdx="0" presStyleCnt="4"/>
      <dgm:spPr/>
    </dgm:pt>
    <dgm:pt modelId="{D6C5C065-A308-417C-8ECC-04FC2BEC646C}" type="pres">
      <dgm:prSet presAssocID="{12714FC6-8B41-47E5-91DD-F02D34D23B93}" presName="hierRoot2" presStyleCnt="0">
        <dgm:presLayoutVars>
          <dgm:hierBranch val="init"/>
        </dgm:presLayoutVars>
      </dgm:prSet>
      <dgm:spPr/>
    </dgm:pt>
    <dgm:pt modelId="{E36491EF-5019-46FD-BC82-1BD579B9EE0E}" type="pres">
      <dgm:prSet presAssocID="{12714FC6-8B41-47E5-91DD-F02D34D23B93}" presName="rootComposite" presStyleCnt="0"/>
      <dgm:spPr/>
    </dgm:pt>
    <dgm:pt modelId="{43B7C837-49D6-40CE-BBAB-953D9E4BA7ED}" type="pres">
      <dgm:prSet presAssocID="{12714FC6-8B41-47E5-91DD-F02D34D23B93}" presName="rootText" presStyleLbl="node2" presStyleIdx="0" presStyleCnt="3">
        <dgm:presLayoutVars>
          <dgm:chPref val="3"/>
        </dgm:presLayoutVars>
      </dgm:prSet>
      <dgm:spPr/>
    </dgm:pt>
    <dgm:pt modelId="{9A037140-9B69-4B9F-A134-F2F2EB0F2E32}" type="pres">
      <dgm:prSet presAssocID="{12714FC6-8B41-47E5-91DD-F02D34D23B93}" presName="rootConnector" presStyleCnt="0"/>
      <dgm:spPr/>
    </dgm:pt>
    <dgm:pt modelId="{FA37AA5D-87C2-47F6-9B72-B753C073E744}" type="pres">
      <dgm:prSet presAssocID="{12714FC6-8B41-47E5-91DD-F02D34D23B93}" presName="hierChild4" presStyleCnt="0"/>
      <dgm:spPr/>
    </dgm:pt>
    <dgm:pt modelId="{A7309641-2A58-41EA-9E42-56812CF298ED}" type="pres">
      <dgm:prSet presAssocID="{12714FC6-8B41-47E5-91DD-F02D34D23B93}" presName="hierChild5" presStyleCnt="0"/>
      <dgm:spPr/>
    </dgm:pt>
    <dgm:pt modelId="{F492B679-3C8C-4E72-95A8-8B81298826E7}" type="pres">
      <dgm:prSet presAssocID="{8D5FB264-0A5C-4C3A-85B7-453D9BD837DF}" presName="Name37" presStyleLbl="parChTrans1D2" presStyleIdx="1" presStyleCnt="4"/>
      <dgm:spPr/>
    </dgm:pt>
    <dgm:pt modelId="{C6F584B9-7EA2-46D8-913B-8F508509ECAB}" type="pres">
      <dgm:prSet presAssocID="{4EC42421-831D-4CD3-8215-2AF4300F9C01}" presName="hierRoot2" presStyleCnt="0">
        <dgm:presLayoutVars>
          <dgm:hierBranch val="init"/>
        </dgm:presLayoutVars>
      </dgm:prSet>
      <dgm:spPr/>
    </dgm:pt>
    <dgm:pt modelId="{6CAD9CE6-86A1-4F7D-98A6-3AF53F55F9E3}" type="pres">
      <dgm:prSet presAssocID="{4EC42421-831D-4CD3-8215-2AF4300F9C01}" presName="rootComposite" presStyleCnt="0"/>
      <dgm:spPr/>
    </dgm:pt>
    <dgm:pt modelId="{08A0D1D2-3A20-4D63-8E35-B7C8B6B16D48}" type="pres">
      <dgm:prSet presAssocID="{4EC42421-831D-4CD3-8215-2AF4300F9C01}" presName="rootText" presStyleLbl="node2" presStyleIdx="1" presStyleCnt="3">
        <dgm:presLayoutVars>
          <dgm:chPref val="3"/>
        </dgm:presLayoutVars>
      </dgm:prSet>
      <dgm:spPr/>
    </dgm:pt>
    <dgm:pt modelId="{6238C53E-A961-488B-8FBD-6EC13507B069}" type="pres">
      <dgm:prSet presAssocID="{4EC42421-831D-4CD3-8215-2AF4300F9C01}" presName="rootConnector" presStyleCnt="0"/>
      <dgm:spPr/>
    </dgm:pt>
    <dgm:pt modelId="{A9C46FD3-3BE9-4E6E-BFF6-B0B42B13F857}" type="pres">
      <dgm:prSet presAssocID="{4EC42421-831D-4CD3-8215-2AF4300F9C01}" presName="hierChild4" presStyleCnt="0"/>
      <dgm:spPr/>
    </dgm:pt>
    <dgm:pt modelId="{A663BBFB-A120-4F5B-82EC-DB644DB9966B}" type="pres">
      <dgm:prSet presAssocID="{4EC42421-831D-4CD3-8215-2AF4300F9C01}" presName="hierChild5" presStyleCnt="0"/>
      <dgm:spPr/>
    </dgm:pt>
    <dgm:pt modelId="{AB3A8128-6C86-49B7-B5CC-0153888815E5}" type="pres">
      <dgm:prSet presAssocID="{CCF68ADE-40B6-47D0-93C1-88EC13ADC8AC}" presName="Name37" presStyleLbl="parChTrans1D2" presStyleIdx="2" presStyleCnt="4"/>
      <dgm:spPr/>
    </dgm:pt>
    <dgm:pt modelId="{1A917F9A-DDE6-4568-B35C-7FABCEF0A586}" type="pres">
      <dgm:prSet presAssocID="{CF717C8A-B40B-4AFF-BF49-65ABB7DF8190}" presName="hierRoot2" presStyleCnt="0">
        <dgm:presLayoutVars>
          <dgm:hierBranch val="init"/>
        </dgm:presLayoutVars>
      </dgm:prSet>
      <dgm:spPr/>
    </dgm:pt>
    <dgm:pt modelId="{FA949B67-3DB7-47FA-97C9-4A653E762F22}" type="pres">
      <dgm:prSet presAssocID="{CF717C8A-B40B-4AFF-BF49-65ABB7DF8190}" presName="rootComposite" presStyleCnt="0"/>
      <dgm:spPr/>
    </dgm:pt>
    <dgm:pt modelId="{7D64F4A3-0E55-47AC-A59B-9D5A9DC25552}" type="pres">
      <dgm:prSet presAssocID="{CF717C8A-B40B-4AFF-BF49-65ABB7DF8190}" presName="rootText" presStyleLbl="node2" presStyleIdx="2" presStyleCnt="3">
        <dgm:presLayoutVars>
          <dgm:chPref val="3"/>
        </dgm:presLayoutVars>
      </dgm:prSet>
      <dgm:spPr/>
    </dgm:pt>
    <dgm:pt modelId="{5667CB49-EC34-46BC-AD2D-72F3BD95D049}" type="pres">
      <dgm:prSet presAssocID="{CF717C8A-B40B-4AFF-BF49-65ABB7DF8190}" presName="rootConnector" presStyleCnt="0"/>
      <dgm:spPr/>
    </dgm:pt>
    <dgm:pt modelId="{EB3A10DA-2FA4-4DAD-8341-8078D7F83716}" type="pres">
      <dgm:prSet presAssocID="{CF717C8A-B40B-4AFF-BF49-65ABB7DF8190}" presName="hierChild4" presStyleCnt="0"/>
      <dgm:spPr/>
    </dgm:pt>
    <dgm:pt modelId="{B05C5608-85C8-433E-A928-1755312B673B}" type="pres">
      <dgm:prSet presAssocID="{CF717C8A-B40B-4AFF-BF49-65ABB7DF8190}" presName="hierChild5" presStyleCnt="0"/>
      <dgm:spPr/>
    </dgm:pt>
    <dgm:pt modelId="{0E819307-1B4E-434E-BA76-D5A4192B0663}" type="pres">
      <dgm:prSet presAssocID="{47C757F0-AA23-46BE-9311-EA432CDEEAA1}" presName="hierChild3" presStyleCnt="0"/>
      <dgm:spPr/>
    </dgm:pt>
    <dgm:pt modelId="{7CC60CE2-51D0-47DE-A469-FE4884597341}" type="pres">
      <dgm:prSet presAssocID="{4294CB15-5EAF-442A-BADC-24588A60ECFF}" presName="Name111" presStyleLbl="parChTrans1D2" presStyleIdx="3" presStyleCnt="4"/>
      <dgm:spPr/>
    </dgm:pt>
    <dgm:pt modelId="{2C28615C-654F-4C05-9383-C72EAED46321}" type="pres">
      <dgm:prSet presAssocID="{B29BF47F-FB6F-4BB3-8B1F-25C507DDACF5}" presName="hierRoot3" presStyleCnt="0">
        <dgm:presLayoutVars>
          <dgm:hierBranch val="init"/>
        </dgm:presLayoutVars>
      </dgm:prSet>
      <dgm:spPr/>
    </dgm:pt>
    <dgm:pt modelId="{531B400A-09FB-4AC6-91D5-6C58DB555D6A}" type="pres">
      <dgm:prSet presAssocID="{B29BF47F-FB6F-4BB3-8B1F-25C507DDACF5}" presName="rootComposite3" presStyleCnt="0"/>
      <dgm:spPr/>
    </dgm:pt>
    <dgm:pt modelId="{15F46F7C-8483-49B2-9069-BD47518FA3C5}" type="pres">
      <dgm:prSet presAssocID="{B29BF47F-FB6F-4BB3-8B1F-25C507DDACF5}" presName="rootText3" presStyleLbl="asst1" presStyleIdx="0" presStyleCnt="1">
        <dgm:presLayoutVars>
          <dgm:chPref val="3"/>
        </dgm:presLayoutVars>
      </dgm:prSet>
      <dgm:spPr/>
    </dgm:pt>
    <dgm:pt modelId="{84CA6990-2D5D-47C3-9020-DF2944DEADCF}" type="pres">
      <dgm:prSet presAssocID="{B29BF47F-FB6F-4BB3-8B1F-25C507DDACF5}" presName="rootConnector3" presStyleCnt="0"/>
      <dgm:spPr/>
    </dgm:pt>
    <dgm:pt modelId="{0851F80F-8C6D-4400-A85F-BC390C21E4EE}" type="pres">
      <dgm:prSet presAssocID="{B29BF47F-FB6F-4BB3-8B1F-25C507DDACF5}" presName="hierChild6" presStyleCnt="0"/>
      <dgm:spPr/>
    </dgm:pt>
    <dgm:pt modelId="{3025C0A7-DA6F-4394-8167-7956EFF162F0}" type="pres">
      <dgm:prSet presAssocID="{B29BF47F-FB6F-4BB3-8B1F-25C507DDACF5}" presName="hierChild7" presStyleCnt="0"/>
      <dgm:spPr/>
    </dgm:pt>
  </dgm:ptLst>
  <dgm:cxnLst>
    <dgm:cxn modelId="{5CAA2FC3-2C47-4BC4-B951-D1B63498B674}" srcId="{A77D31B3-3808-4FBA-8FA4-CC8D448A173E}" destId="{47C757F0-AA23-46BE-9311-EA432CDEEAA1}" srcOrd="0" destOrd="0" parTransId="{AB39B06D-FE6C-48B2-B5B4-77CD0C8CF7AD}" sibTransId="{DF0D1C21-B79E-4875-B7FA-EF183CB48B88}"/>
    <dgm:cxn modelId="{04AFB4CD-5216-4CB0-B09F-8E0A3126BC87}" srcId="{47C757F0-AA23-46BE-9311-EA432CDEEAA1}" destId="{B29BF47F-FB6F-4BB3-8B1F-25C507DDACF5}" srcOrd="0" destOrd="0" parTransId="{4294CB15-5EAF-442A-BADC-24588A60ECFF}" sibTransId="{4FBEC948-3FA9-4375-B83A-B44348E5F34D}"/>
    <dgm:cxn modelId="{C378A8B1-6359-4129-82BD-B74D6A58A19B}" srcId="{47C757F0-AA23-46BE-9311-EA432CDEEAA1}" destId="{12714FC6-8B41-47E5-91DD-F02D34D23B93}" srcOrd="1" destOrd="0" parTransId="{EACD17F5-D793-4A43-B489-D1804D50CFEF}" sibTransId="{FA45D93F-0724-4936-AA45-E6762732A19D}"/>
    <dgm:cxn modelId="{3541B7D4-201A-4C54-8B37-EF4147B4E995}" srcId="{47C757F0-AA23-46BE-9311-EA432CDEEAA1}" destId="{4EC42421-831D-4CD3-8215-2AF4300F9C01}" srcOrd="2" destOrd="0" parTransId="{8D5FB264-0A5C-4C3A-85B7-453D9BD837DF}" sibTransId="{A1825131-D805-48C8-BFCE-E45C02E6F5CE}"/>
    <dgm:cxn modelId="{D99FF134-D976-4E15-9946-4A515997C77D}" srcId="{47C757F0-AA23-46BE-9311-EA432CDEEAA1}" destId="{CF717C8A-B40B-4AFF-BF49-65ABB7DF8190}" srcOrd="3" destOrd="0" parTransId="{CCF68ADE-40B6-47D0-93C1-88EC13ADC8AC}" sibTransId="{630D3E0B-D1D7-4E1A-8193-515AA5E1866F}"/>
    <dgm:cxn modelId="{0A07927D-ECE1-457B-A923-86A78535BA3A}" type="presOf" srcId="{A77D31B3-3808-4FBA-8FA4-CC8D448A173E}" destId="{E498DC9C-C5AC-4482-A26F-3B99DC5D79F0}" srcOrd="0" destOrd="0" presId="urn:microsoft.com/office/officeart/2005/8/layout/orgChart1"/>
    <dgm:cxn modelId="{1C74FAD5-E63D-4F6E-8D99-CB7447A71326}" type="presParOf" srcId="{E498DC9C-C5AC-4482-A26F-3B99DC5D79F0}" destId="{F728C3E8-5128-4BB6-90CC-A86769ECE335}" srcOrd="0" destOrd="0" presId="urn:microsoft.com/office/officeart/2005/8/layout/orgChart1"/>
    <dgm:cxn modelId="{F4B7E1C3-3338-49F5-ADEB-8394C06A84BD}" type="presParOf" srcId="{F728C3E8-5128-4BB6-90CC-A86769ECE335}" destId="{79147750-B6BF-43FD-83A0-7ACDC9B53EFF}" srcOrd="0" destOrd="0" presId="urn:microsoft.com/office/officeart/2005/8/layout/orgChart1"/>
    <dgm:cxn modelId="{A5A3CAF7-5CE3-4A66-AA3A-8D9E8BCC0DB2}" type="presOf" srcId="{47C757F0-AA23-46BE-9311-EA432CDEEAA1}" destId="{79147750-B6BF-43FD-83A0-7ACDC9B53EFF}" srcOrd="0" destOrd="0" presId="urn:microsoft.com/office/officeart/2005/8/layout/orgChart1"/>
    <dgm:cxn modelId="{901FB952-3C32-4D02-8A4B-957D6A7294CF}" type="presParOf" srcId="{79147750-B6BF-43FD-83A0-7ACDC9B53EFF}" destId="{AE79172D-D441-42BB-84EA-E3D989670DED}" srcOrd="0" destOrd="0" presId="urn:microsoft.com/office/officeart/2005/8/layout/orgChart1"/>
    <dgm:cxn modelId="{A29BA91F-E063-46AE-B3D6-9E17EEA2F3B4}" type="presOf" srcId="{47C757F0-AA23-46BE-9311-EA432CDEEAA1}" destId="{AE79172D-D441-42BB-84EA-E3D989670DED}" srcOrd="0" destOrd="0" presId="urn:microsoft.com/office/officeart/2005/8/layout/orgChart1"/>
    <dgm:cxn modelId="{E6B81361-C98E-4B8F-843A-D5CCF5D5E64C}" type="presParOf" srcId="{79147750-B6BF-43FD-83A0-7ACDC9B53EFF}" destId="{86420519-308D-4A6A-8FEA-6FB2E39BA448}" srcOrd="1" destOrd="0" presId="urn:microsoft.com/office/officeart/2005/8/layout/orgChart1"/>
    <dgm:cxn modelId="{6C2D9440-3546-48BE-B3D3-FEC62D72965B}" type="presOf" srcId="{47C757F0-AA23-46BE-9311-EA432CDEEAA1}" destId="{86420519-308D-4A6A-8FEA-6FB2E39BA448}" srcOrd="0" destOrd="0" presId="urn:microsoft.com/office/officeart/2005/8/layout/orgChart1"/>
    <dgm:cxn modelId="{B42DEEA2-B83A-45DE-8D82-74A2FC3B59F8}" type="presParOf" srcId="{F728C3E8-5128-4BB6-90CC-A86769ECE335}" destId="{9A0FF10C-81C7-47CD-A320-768F2009480B}" srcOrd="1" destOrd="0" presId="urn:microsoft.com/office/officeart/2005/8/layout/orgChart1"/>
    <dgm:cxn modelId="{A8BD7078-F599-4434-BA2F-D46AD2C41084}" type="presParOf" srcId="{9A0FF10C-81C7-47CD-A320-768F2009480B}" destId="{6A259130-4455-44E0-969B-948D1249687E}" srcOrd="0" destOrd="1" presId="urn:microsoft.com/office/officeart/2005/8/layout/orgChart1"/>
    <dgm:cxn modelId="{4B72F837-6ADC-4FF3-9528-7F23DACFA97E}" type="presOf" srcId="{EACD17F5-D793-4A43-B489-D1804D50CFEF}" destId="{6A259130-4455-44E0-969B-948D1249687E}" srcOrd="0" destOrd="0" presId="urn:microsoft.com/office/officeart/2005/8/layout/orgChart1"/>
    <dgm:cxn modelId="{2213B321-FB39-43C2-BA15-FF6D65051425}" type="presParOf" srcId="{9A0FF10C-81C7-47CD-A320-768F2009480B}" destId="{D6C5C065-A308-417C-8ECC-04FC2BEC646C}" srcOrd="1" destOrd="1" presId="urn:microsoft.com/office/officeart/2005/8/layout/orgChart1"/>
    <dgm:cxn modelId="{9301BD27-5678-47FC-9FFC-A28DA10C902C}" type="presParOf" srcId="{D6C5C065-A308-417C-8ECC-04FC2BEC646C}" destId="{E36491EF-5019-46FD-BC82-1BD579B9EE0E}" srcOrd="0" destOrd="1" presId="urn:microsoft.com/office/officeart/2005/8/layout/orgChart1"/>
    <dgm:cxn modelId="{46EAE98E-5651-4190-8567-60BF65CF15C5}" type="presOf" srcId="{12714FC6-8B41-47E5-91DD-F02D34D23B93}" destId="{E36491EF-5019-46FD-BC82-1BD579B9EE0E}" srcOrd="0" destOrd="0" presId="urn:microsoft.com/office/officeart/2005/8/layout/orgChart1"/>
    <dgm:cxn modelId="{4B189CE8-00BC-473C-95B6-370204F32E20}" type="presParOf" srcId="{E36491EF-5019-46FD-BC82-1BD579B9EE0E}" destId="{43B7C837-49D6-40CE-BBAB-953D9E4BA7ED}" srcOrd="0" destOrd="0" presId="urn:microsoft.com/office/officeart/2005/8/layout/orgChart1"/>
    <dgm:cxn modelId="{132614EC-7567-4E3D-873C-A8D8007837E1}" type="presOf" srcId="{12714FC6-8B41-47E5-91DD-F02D34D23B93}" destId="{43B7C837-49D6-40CE-BBAB-953D9E4BA7ED}" srcOrd="0" destOrd="0" presId="urn:microsoft.com/office/officeart/2005/8/layout/orgChart1"/>
    <dgm:cxn modelId="{235496C1-9684-4336-B8E4-982A116425AB}" type="presParOf" srcId="{E36491EF-5019-46FD-BC82-1BD579B9EE0E}" destId="{9A037140-9B69-4B9F-A134-F2F2EB0F2E32}" srcOrd="1" destOrd="0" presId="urn:microsoft.com/office/officeart/2005/8/layout/orgChart1"/>
    <dgm:cxn modelId="{682B94F2-4F31-4CF7-8D58-4B6467376059}" type="presOf" srcId="{12714FC6-8B41-47E5-91DD-F02D34D23B93}" destId="{9A037140-9B69-4B9F-A134-F2F2EB0F2E32}" srcOrd="0" destOrd="0" presId="urn:microsoft.com/office/officeart/2005/8/layout/orgChart1"/>
    <dgm:cxn modelId="{B745C861-2EC8-419D-A4B2-24F5E200B19D}" type="presParOf" srcId="{D6C5C065-A308-417C-8ECC-04FC2BEC646C}" destId="{FA37AA5D-87C2-47F6-9B72-B753C073E744}" srcOrd="1" destOrd="1" presId="urn:microsoft.com/office/officeart/2005/8/layout/orgChart1"/>
    <dgm:cxn modelId="{03BDD7E3-3741-4E76-B1D8-58142CB3A2BE}" type="presParOf" srcId="{D6C5C065-A308-417C-8ECC-04FC2BEC646C}" destId="{A7309641-2A58-41EA-9E42-56812CF298ED}" srcOrd="2" destOrd="1" presId="urn:microsoft.com/office/officeart/2005/8/layout/orgChart1"/>
    <dgm:cxn modelId="{D66393CA-EA4E-47DD-BEEE-90C42B64E7CB}" type="presParOf" srcId="{9A0FF10C-81C7-47CD-A320-768F2009480B}" destId="{F492B679-3C8C-4E72-95A8-8B81298826E7}" srcOrd="2" destOrd="1" presId="urn:microsoft.com/office/officeart/2005/8/layout/orgChart1"/>
    <dgm:cxn modelId="{0C15EFB6-047D-4954-91B9-E0E20442D866}" type="presOf" srcId="{8D5FB264-0A5C-4C3A-85B7-453D9BD837DF}" destId="{F492B679-3C8C-4E72-95A8-8B81298826E7}" srcOrd="0" destOrd="0" presId="urn:microsoft.com/office/officeart/2005/8/layout/orgChart1"/>
    <dgm:cxn modelId="{40EFCA95-B2FE-47EC-AA2A-7C4EB05830BA}" type="presParOf" srcId="{9A0FF10C-81C7-47CD-A320-768F2009480B}" destId="{C6F584B9-7EA2-46D8-913B-8F508509ECAB}" srcOrd="3" destOrd="1" presId="urn:microsoft.com/office/officeart/2005/8/layout/orgChart1"/>
    <dgm:cxn modelId="{989AF881-7DE9-426E-8911-B992B77D6291}" type="presParOf" srcId="{C6F584B9-7EA2-46D8-913B-8F508509ECAB}" destId="{6CAD9CE6-86A1-4F7D-98A6-3AF53F55F9E3}" srcOrd="0" destOrd="3" presId="urn:microsoft.com/office/officeart/2005/8/layout/orgChart1"/>
    <dgm:cxn modelId="{33DCD046-DABB-4C81-8F16-F3C1CAB2AAE2}" type="presOf" srcId="{4EC42421-831D-4CD3-8215-2AF4300F9C01}" destId="{6CAD9CE6-86A1-4F7D-98A6-3AF53F55F9E3}" srcOrd="0" destOrd="0" presId="urn:microsoft.com/office/officeart/2005/8/layout/orgChart1"/>
    <dgm:cxn modelId="{0241192A-69FC-46C7-991B-8395ECB8FA52}" type="presParOf" srcId="{6CAD9CE6-86A1-4F7D-98A6-3AF53F55F9E3}" destId="{08A0D1D2-3A20-4D63-8E35-B7C8B6B16D48}" srcOrd="0" destOrd="0" presId="urn:microsoft.com/office/officeart/2005/8/layout/orgChart1"/>
    <dgm:cxn modelId="{EF5ACBA0-63CF-4C37-AEDA-1E9A5C420AEC}" type="presOf" srcId="{4EC42421-831D-4CD3-8215-2AF4300F9C01}" destId="{08A0D1D2-3A20-4D63-8E35-B7C8B6B16D48}" srcOrd="0" destOrd="0" presId="urn:microsoft.com/office/officeart/2005/8/layout/orgChart1"/>
    <dgm:cxn modelId="{80905F19-F61E-45A7-BFF4-BBA5953F64A2}" type="presParOf" srcId="{6CAD9CE6-86A1-4F7D-98A6-3AF53F55F9E3}" destId="{6238C53E-A961-488B-8FBD-6EC13507B069}" srcOrd="1" destOrd="0" presId="urn:microsoft.com/office/officeart/2005/8/layout/orgChart1"/>
    <dgm:cxn modelId="{31C59359-5F7D-4422-8675-B4E3CA49186C}" type="presOf" srcId="{4EC42421-831D-4CD3-8215-2AF4300F9C01}" destId="{6238C53E-A961-488B-8FBD-6EC13507B069}" srcOrd="0" destOrd="0" presId="urn:microsoft.com/office/officeart/2005/8/layout/orgChart1"/>
    <dgm:cxn modelId="{3941E40B-3582-45C2-94D4-8A584B2B1275}" type="presParOf" srcId="{C6F584B9-7EA2-46D8-913B-8F508509ECAB}" destId="{A9C46FD3-3BE9-4E6E-BFF6-B0B42B13F857}" srcOrd="1" destOrd="3" presId="urn:microsoft.com/office/officeart/2005/8/layout/orgChart1"/>
    <dgm:cxn modelId="{B1B13C1E-2F9F-402A-A333-B31C29DDE9F8}" type="presParOf" srcId="{C6F584B9-7EA2-46D8-913B-8F508509ECAB}" destId="{A663BBFB-A120-4F5B-82EC-DB644DB9966B}" srcOrd="2" destOrd="3" presId="urn:microsoft.com/office/officeart/2005/8/layout/orgChart1"/>
    <dgm:cxn modelId="{8C7A6C58-D8A7-4EB9-9508-687DF188233C}" type="presParOf" srcId="{9A0FF10C-81C7-47CD-A320-768F2009480B}" destId="{AB3A8128-6C86-49B7-B5CC-0153888815E5}" srcOrd="4" destOrd="1" presId="urn:microsoft.com/office/officeart/2005/8/layout/orgChart1"/>
    <dgm:cxn modelId="{70376634-7CB8-410B-9616-E288719FCD27}" type="presOf" srcId="{CCF68ADE-40B6-47D0-93C1-88EC13ADC8AC}" destId="{AB3A8128-6C86-49B7-B5CC-0153888815E5}" srcOrd="0" destOrd="0" presId="urn:microsoft.com/office/officeart/2005/8/layout/orgChart1"/>
    <dgm:cxn modelId="{3AD849F2-F0C7-4283-8E34-C268EB3F84DD}" type="presParOf" srcId="{9A0FF10C-81C7-47CD-A320-768F2009480B}" destId="{1A917F9A-DDE6-4568-B35C-7FABCEF0A586}" srcOrd="5" destOrd="1" presId="urn:microsoft.com/office/officeart/2005/8/layout/orgChart1"/>
    <dgm:cxn modelId="{B6290789-6075-41E4-899B-B7CDB902E409}" type="presParOf" srcId="{1A917F9A-DDE6-4568-B35C-7FABCEF0A586}" destId="{FA949B67-3DB7-47FA-97C9-4A653E762F22}" srcOrd="0" destOrd="5" presId="urn:microsoft.com/office/officeart/2005/8/layout/orgChart1"/>
    <dgm:cxn modelId="{865A0D2E-615D-49B3-BBFD-E9792CCFCEAA}" type="presOf" srcId="{CF717C8A-B40B-4AFF-BF49-65ABB7DF8190}" destId="{FA949B67-3DB7-47FA-97C9-4A653E762F22}" srcOrd="0" destOrd="0" presId="urn:microsoft.com/office/officeart/2005/8/layout/orgChart1"/>
    <dgm:cxn modelId="{A243D908-6516-4A41-AA47-0FC1CC357514}" type="presParOf" srcId="{FA949B67-3DB7-47FA-97C9-4A653E762F22}" destId="{7D64F4A3-0E55-47AC-A59B-9D5A9DC25552}" srcOrd="0" destOrd="0" presId="urn:microsoft.com/office/officeart/2005/8/layout/orgChart1"/>
    <dgm:cxn modelId="{D73C0189-CC4B-4FB9-AFF2-3F6073C888E9}" type="presOf" srcId="{CF717C8A-B40B-4AFF-BF49-65ABB7DF8190}" destId="{7D64F4A3-0E55-47AC-A59B-9D5A9DC25552}" srcOrd="0" destOrd="0" presId="urn:microsoft.com/office/officeart/2005/8/layout/orgChart1"/>
    <dgm:cxn modelId="{98C3096E-347A-4482-A199-FE474472F739}" type="presParOf" srcId="{FA949B67-3DB7-47FA-97C9-4A653E762F22}" destId="{5667CB49-EC34-46BC-AD2D-72F3BD95D049}" srcOrd="1" destOrd="0" presId="urn:microsoft.com/office/officeart/2005/8/layout/orgChart1"/>
    <dgm:cxn modelId="{26292AE3-A52C-48CB-BC33-9BABD225250A}" type="presOf" srcId="{CF717C8A-B40B-4AFF-BF49-65ABB7DF8190}" destId="{5667CB49-EC34-46BC-AD2D-72F3BD95D049}" srcOrd="0" destOrd="0" presId="urn:microsoft.com/office/officeart/2005/8/layout/orgChart1"/>
    <dgm:cxn modelId="{DA08B18F-8B87-46DC-BCBA-9474C7E0AF71}" type="presParOf" srcId="{1A917F9A-DDE6-4568-B35C-7FABCEF0A586}" destId="{EB3A10DA-2FA4-4DAD-8341-8078D7F83716}" srcOrd="1" destOrd="5" presId="urn:microsoft.com/office/officeart/2005/8/layout/orgChart1"/>
    <dgm:cxn modelId="{A93DD302-5A98-4AA6-B96E-0FF4D62DA959}" type="presParOf" srcId="{1A917F9A-DDE6-4568-B35C-7FABCEF0A586}" destId="{B05C5608-85C8-433E-A928-1755312B673B}" srcOrd="2" destOrd="5" presId="urn:microsoft.com/office/officeart/2005/8/layout/orgChart1"/>
    <dgm:cxn modelId="{D23A5933-BA36-4FC5-84B8-FE0C71A96DF7}" type="presParOf" srcId="{F728C3E8-5128-4BB6-90CC-A86769ECE335}" destId="{0E819307-1B4E-434E-BA76-D5A4192B0663}" srcOrd="2" destOrd="0" presId="urn:microsoft.com/office/officeart/2005/8/layout/orgChart1"/>
    <dgm:cxn modelId="{34A71C0D-45C9-44A3-A118-FD820C14AB62}" type="presParOf" srcId="{0E819307-1B4E-434E-BA76-D5A4192B0663}" destId="{7CC60CE2-51D0-47DE-A469-FE4884597341}" srcOrd="0" destOrd="2" presId="urn:microsoft.com/office/officeart/2005/8/layout/orgChart1"/>
    <dgm:cxn modelId="{AE213AA3-7161-4A37-9D35-F5E4B4E25C7B}" type="presOf" srcId="{4294CB15-5EAF-442A-BADC-24588A60ECFF}" destId="{7CC60CE2-51D0-47DE-A469-FE4884597341}" srcOrd="0" destOrd="0" presId="urn:microsoft.com/office/officeart/2005/8/layout/orgChart1"/>
    <dgm:cxn modelId="{DB8C4358-97F8-4FBC-B606-55331FF0EF9C}" type="presParOf" srcId="{0E819307-1B4E-434E-BA76-D5A4192B0663}" destId="{2C28615C-654F-4C05-9383-C72EAED46321}" srcOrd="1" destOrd="2" presId="urn:microsoft.com/office/officeart/2005/8/layout/orgChart1"/>
    <dgm:cxn modelId="{2BA9F505-AC0F-4AB3-993F-D49D540FD966}" type="presParOf" srcId="{2C28615C-654F-4C05-9383-C72EAED46321}" destId="{531B400A-09FB-4AC6-91D5-6C58DB555D6A}" srcOrd="0" destOrd="1" presId="urn:microsoft.com/office/officeart/2005/8/layout/orgChart1"/>
    <dgm:cxn modelId="{DF2C747F-2B1A-4887-A0D2-28EC3FFF62B8}" type="presOf" srcId="{B29BF47F-FB6F-4BB3-8B1F-25C507DDACF5}" destId="{531B400A-09FB-4AC6-91D5-6C58DB555D6A}" srcOrd="0" destOrd="0" presId="urn:microsoft.com/office/officeart/2005/8/layout/orgChart1"/>
    <dgm:cxn modelId="{78C1FAF9-B15E-4510-8499-86873CF1E8EC}" type="presParOf" srcId="{531B400A-09FB-4AC6-91D5-6C58DB555D6A}" destId="{15F46F7C-8483-49B2-9069-BD47518FA3C5}" srcOrd="0" destOrd="0" presId="urn:microsoft.com/office/officeart/2005/8/layout/orgChart1"/>
    <dgm:cxn modelId="{6D25D18D-B94A-4C2C-AB78-9BFA19FB7BD6}" type="presOf" srcId="{B29BF47F-FB6F-4BB3-8B1F-25C507DDACF5}" destId="{15F46F7C-8483-49B2-9069-BD47518FA3C5}" srcOrd="0" destOrd="0" presId="urn:microsoft.com/office/officeart/2005/8/layout/orgChart1"/>
    <dgm:cxn modelId="{DD114C4E-2068-48C5-83F7-03755EA58065}" type="presParOf" srcId="{531B400A-09FB-4AC6-91D5-6C58DB555D6A}" destId="{84CA6990-2D5D-47C3-9020-DF2944DEADCF}" srcOrd="1" destOrd="0" presId="urn:microsoft.com/office/officeart/2005/8/layout/orgChart1"/>
    <dgm:cxn modelId="{43990040-162B-4690-8973-F7DFB0A504D7}" type="presOf" srcId="{B29BF47F-FB6F-4BB3-8B1F-25C507DDACF5}" destId="{84CA6990-2D5D-47C3-9020-DF2944DEADCF}" srcOrd="0" destOrd="0" presId="urn:microsoft.com/office/officeart/2005/8/layout/orgChart1"/>
    <dgm:cxn modelId="{5CDD5FA7-D0A1-4C5A-B8E6-4D9516DE8F74}" type="presParOf" srcId="{2C28615C-654F-4C05-9383-C72EAED46321}" destId="{0851F80F-8C6D-4400-A85F-BC390C21E4EE}" srcOrd="1" destOrd="1" presId="urn:microsoft.com/office/officeart/2005/8/layout/orgChart1"/>
    <dgm:cxn modelId="{56BD1D29-85FA-4A94-976E-7ECDE7D2965F}" type="presParOf" srcId="{2C28615C-654F-4C05-9383-C72EAED46321}" destId="{3025C0A7-DA6F-4394-8167-7956EFF162F0}" srcOrd="2" destOrd="1" presId="urn:microsoft.com/office/officeart/2005/8/layout/orgChart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2505075" cy="3815080"/>
        <a:chOff x="0" y="0"/>
        <a:chExt cx="2505075" cy="3815080"/>
      </a:xfrm>
    </dsp:grpSpPr>
    <dsp:sp>
      <dsp:nvSpPr>
        <dsp:cNvPr id="5" name="任意多边形 4"/>
        <dsp:cNvSpPr/>
      </dsp:nvSpPr>
      <dsp:spPr bwMode="white">
        <a:xfrm>
          <a:off x="366239" y="1570600"/>
          <a:ext cx="886298" cy="673880"/>
        </a:xfrm>
        <a:custGeom>
          <a:avLst/>
          <a:gdLst/>
          <a:ahLst/>
          <a:cxnLst/>
          <a:pathLst>
            <a:path w="1396" h="1061">
              <a:moveTo>
                <a:pt x="1396" y="0"/>
              </a:moveTo>
              <a:lnTo>
                <a:pt x="1396" y="940"/>
              </a:lnTo>
              <a:lnTo>
                <a:pt x="0" y="940"/>
              </a:lnTo>
              <a:lnTo>
                <a:pt x="0" y="1061"/>
              </a:lnTo>
            </a:path>
          </a:pathLst>
        </a:custGeom>
      </dsp:spPr>
      <dsp:style>
        <a:lnRef idx="2">
          <a:schemeClr val="dk1">
            <a:shade val="60000"/>
          </a:schemeClr>
        </a:lnRef>
        <a:fillRef idx="0">
          <a:schemeClr val="dk1"/>
        </a:fillRef>
        <a:effectRef idx="0">
          <a:scrgbClr r="0" g="0" b="0"/>
        </a:effectRef>
        <a:fontRef idx="minor"/>
      </dsp:style>
      <dsp:txXfrm>
        <a:off x="366239" y="1570600"/>
        <a:ext cx="886298" cy="673880"/>
      </dsp:txXfrm>
    </dsp:sp>
    <dsp:sp>
      <dsp:nvSpPr>
        <dsp:cNvPr id="8" name="任意多边形 7"/>
        <dsp:cNvSpPr/>
      </dsp:nvSpPr>
      <dsp:spPr bwMode="white">
        <a:xfrm>
          <a:off x="1252538" y="1570600"/>
          <a:ext cx="0" cy="673880"/>
        </a:xfrm>
        <a:custGeom>
          <a:avLst/>
          <a:gdLst/>
          <a:ahLst/>
          <a:cxnLst/>
          <a:pathLst>
            <a:path h="1061">
              <a:moveTo>
                <a:pt x="0" y="0"/>
              </a:moveTo>
              <a:lnTo>
                <a:pt x="0" y="1061"/>
              </a:lnTo>
            </a:path>
          </a:pathLst>
        </a:custGeom>
      </dsp:spPr>
      <dsp:style>
        <a:lnRef idx="2">
          <a:schemeClr val="dk1">
            <a:shade val="60000"/>
          </a:schemeClr>
        </a:lnRef>
        <a:fillRef idx="0">
          <a:schemeClr val="dk1"/>
        </a:fillRef>
        <a:effectRef idx="0">
          <a:scrgbClr r="0" g="0" b="0"/>
        </a:effectRef>
        <a:fontRef idx="minor"/>
      </dsp:style>
      <dsp:txXfrm>
        <a:off x="1252538" y="1570600"/>
        <a:ext cx="0" cy="673880"/>
      </dsp:txXfrm>
    </dsp:sp>
    <dsp:sp>
      <dsp:nvSpPr>
        <dsp:cNvPr id="11" name="任意多边形 10"/>
        <dsp:cNvSpPr/>
      </dsp:nvSpPr>
      <dsp:spPr bwMode="white">
        <a:xfrm>
          <a:off x="1252538" y="1570600"/>
          <a:ext cx="886298" cy="673880"/>
        </a:xfrm>
        <a:custGeom>
          <a:avLst/>
          <a:gdLst/>
          <a:ahLst/>
          <a:cxnLst/>
          <a:pathLst>
            <a:path w="1396" h="1061">
              <a:moveTo>
                <a:pt x="0" y="0"/>
              </a:moveTo>
              <a:lnTo>
                <a:pt x="0" y="940"/>
              </a:lnTo>
              <a:lnTo>
                <a:pt x="1396" y="940"/>
              </a:lnTo>
              <a:lnTo>
                <a:pt x="1396" y="1061"/>
              </a:lnTo>
            </a:path>
          </a:pathLst>
        </a:custGeom>
      </dsp:spPr>
      <dsp:style>
        <a:lnRef idx="2">
          <a:schemeClr val="dk1">
            <a:shade val="60000"/>
          </a:schemeClr>
        </a:lnRef>
        <a:fillRef idx="0">
          <a:schemeClr val="dk1"/>
        </a:fillRef>
        <a:effectRef idx="0">
          <a:scrgbClr r="0" g="0" b="0"/>
        </a:effectRef>
        <a:fontRef idx="minor"/>
      </dsp:style>
      <dsp:txXfrm>
        <a:off x="1252538" y="1570600"/>
        <a:ext cx="886298" cy="673880"/>
      </dsp:txXfrm>
    </dsp:sp>
    <dsp:sp>
      <dsp:nvSpPr>
        <dsp:cNvPr id="14" name="任意多边形 13"/>
        <dsp:cNvSpPr/>
      </dsp:nvSpPr>
      <dsp:spPr bwMode="white">
        <a:xfrm>
          <a:off x="1175627" y="1570600"/>
          <a:ext cx="76910" cy="336940"/>
        </a:xfrm>
        <a:custGeom>
          <a:avLst/>
          <a:gdLst/>
          <a:ahLst/>
          <a:cxnLst/>
          <a:pathLst>
            <a:path w="121" h="531">
              <a:moveTo>
                <a:pt x="121" y="0"/>
              </a:moveTo>
              <a:lnTo>
                <a:pt x="121" y="531"/>
              </a:lnTo>
              <a:lnTo>
                <a:pt x="0" y="531"/>
              </a:lnTo>
            </a:path>
          </a:pathLst>
        </a:custGeom>
      </dsp:spPr>
      <dsp:style>
        <a:lnRef idx="2">
          <a:schemeClr val="dk1">
            <a:shade val="60000"/>
          </a:schemeClr>
        </a:lnRef>
        <a:fillRef idx="0">
          <a:schemeClr val="dk1"/>
        </a:fillRef>
        <a:effectRef idx="0">
          <a:scrgbClr r="0" g="0" b="0"/>
        </a:effectRef>
        <a:fontRef idx="minor"/>
      </dsp:style>
      <dsp:txXfrm>
        <a:off x="1175627" y="1570600"/>
        <a:ext cx="76910" cy="336940"/>
      </dsp:txXfrm>
    </dsp:sp>
    <dsp:sp>
      <dsp:nvSpPr>
        <dsp:cNvPr id="3" name="矩形 2"/>
        <dsp:cNvSpPr/>
      </dsp:nvSpPr>
      <dsp:spPr bwMode="white">
        <a:xfrm>
          <a:off x="886298" y="1204361"/>
          <a:ext cx="732478" cy="36623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8890" tIns="8890" rIns="8890" bIns="8890" anchor="ctr"/>
        <a:lstStyle>
          <a:lvl1pPr algn="ctr">
            <a:defRPr sz="1400"/>
          </a:lvl1pPr>
          <a:lvl2pPr marL="57150" indent="-57150">
            <a:defRPr sz="1000"/>
          </a:lvl2pPr>
          <a:lvl3pPr marL="114300" indent="-57150">
            <a:defRPr sz="1000"/>
          </a:lvl3pPr>
          <a:lvl4pPr marL="171450" indent="-57150">
            <a:defRPr sz="1000"/>
          </a:lvl4pPr>
          <a:lvl5pPr marL="228600" indent="-57150">
            <a:defRPr sz="1000"/>
          </a:lvl5pPr>
          <a:lvl6pPr marL="285750" indent="-57150">
            <a:defRPr sz="1000"/>
          </a:lvl6pPr>
          <a:lvl7pPr marL="342900" indent="-57150">
            <a:defRPr sz="1000"/>
          </a:lvl7pPr>
          <a:lvl8pPr marL="400050" indent="-57150">
            <a:defRPr sz="1000"/>
          </a:lvl8pPr>
          <a:lvl9pPr marL="457200" indent="-57150">
            <a:defRPr sz="1000"/>
          </a:lvl9pPr>
        </a:lstStyle>
        <a:p>
          <a:pPr lvl="0">
            <a:lnSpc>
              <a:spcPct val="100000"/>
            </a:lnSpc>
            <a:spcBef>
              <a:spcPct val="0"/>
            </a:spcBef>
            <a:spcAft>
              <a:spcPct val="35000"/>
            </a:spcAft>
          </a:pPr>
          <a:r>
            <a:rPr lang="zh-CN" altLang="en-US">
              <a:solidFill>
                <a:schemeClr val="dk1"/>
              </a:solidFill>
            </a:rPr>
            <a:t>法官</a:t>
          </a:r>
          <a:endParaRPr lang="zh-CN" altLang="en-US">
            <a:solidFill>
              <a:schemeClr val="dk1"/>
            </a:solidFill>
          </a:endParaRPr>
        </a:p>
      </dsp:txBody>
      <dsp:txXfrm>
        <a:off x="886298" y="1204361"/>
        <a:ext cx="732478" cy="366239"/>
      </dsp:txXfrm>
    </dsp:sp>
    <dsp:sp>
      <dsp:nvSpPr>
        <dsp:cNvPr id="6" name="矩形 5"/>
        <dsp:cNvSpPr/>
      </dsp:nvSpPr>
      <dsp:spPr bwMode="white">
        <a:xfrm>
          <a:off x="0" y="2244480"/>
          <a:ext cx="732478" cy="36623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8890" tIns="8890" rIns="8890" bIns="8890" anchor="ctr"/>
        <a:lstStyle>
          <a:lvl1pPr algn="ctr">
            <a:defRPr sz="1400"/>
          </a:lvl1pPr>
          <a:lvl2pPr marL="57150" indent="-57150">
            <a:defRPr sz="1000"/>
          </a:lvl2pPr>
          <a:lvl3pPr marL="114300" indent="-57150">
            <a:defRPr sz="1000"/>
          </a:lvl3pPr>
          <a:lvl4pPr marL="171450" indent="-57150">
            <a:defRPr sz="1000"/>
          </a:lvl4pPr>
          <a:lvl5pPr marL="228600" indent="-57150">
            <a:defRPr sz="1000"/>
          </a:lvl5pPr>
          <a:lvl6pPr marL="285750" indent="-57150">
            <a:defRPr sz="1000"/>
          </a:lvl6pPr>
          <a:lvl7pPr marL="342900" indent="-57150">
            <a:defRPr sz="1000"/>
          </a:lvl7pPr>
          <a:lvl8pPr marL="400050" indent="-57150">
            <a:defRPr sz="1000"/>
          </a:lvl8pPr>
          <a:lvl9pPr marL="457200" indent="-57150">
            <a:defRPr sz="1000"/>
          </a:lvl9pPr>
        </a:lstStyle>
        <a:p>
          <a:pPr lvl="0">
            <a:lnSpc>
              <a:spcPct val="100000"/>
            </a:lnSpc>
            <a:spcBef>
              <a:spcPct val="0"/>
            </a:spcBef>
            <a:spcAft>
              <a:spcPct val="35000"/>
            </a:spcAft>
          </a:pPr>
          <a:r>
            <a:rPr lang="zh-CN" altLang="en-US">
              <a:solidFill>
                <a:schemeClr val="dk1"/>
              </a:solidFill>
            </a:rPr>
            <a:t>法官助理</a:t>
          </a:r>
          <a:endParaRPr lang="zh-CN" altLang="en-US">
            <a:solidFill>
              <a:schemeClr val="dk1"/>
            </a:solidFill>
          </a:endParaRPr>
        </a:p>
      </dsp:txBody>
      <dsp:txXfrm>
        <a:off x="0" y="2244480"/>
        <a:ext cx="732478" cy="366239"/>
      </dsp:txXfrm>
    </dsp:sp>
    <dsp:sp>
      <dsp:nvSpPr>
        <dsp:cNvPr id="9" name="矩形 8"/>
        <dsp:cNvSpPr/>
      </dsp:nvSpPr>
      <dsp:spPr bwMode="white">
        <a:xfrm>
          <a:off x="886298" y="2244480"/>
          <a:ext cx="732478" cy="36623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8890" tIns="8890" rIns="8890" bIns="8890" anchor="ctr"/>
        <a:lstStyle>
          <a:lvl1pPr algn="ctr">
            <a:defRPr sz="1400"/>
          </a:lvl1pPr>
          <a:lvl2pPr marL="57150" indent="-57150">
            <a:defRPr sz="1000"/>
          </a:lvl2pPr>
          <a:lvl3pPr marL="114300" indent="-57150">
            <a:defRPr sz="1000"/>
          </a:lvl3pPr>
          <a:lvl4pPr marL="171450" indent="-57150">
            <a:defRPr sz="1000"/>
          </a:lvl4pPr>
          <a:lvl5pPr marL="228600" indent="-57150">
            <a:defRPr sz="1000"/>
          </a:lvl5pPr>
          <a:lvl6pPr marL="285750" indent="-57150">
            <a:defRPr sz="1000"/>
          </a:lvl6pPr>
          <a:lvl7pPr marL="342900" indent="-57150">
            <a:defRPr sz="1000"/>
          </a:lvl7pPr>
          <a:lvl8pPr marL="400050" indent="-57150">
            <a:defRPr sz="1000"/>
          </a:lvl8pPr>
          <a:lvl9pPr marL="457200" indent="-57150">
            <a:defRPr sz="1000"/>
          </a:lvl9pPr>
        </a:lstStyle>
        <a:p>
          <a:pPr lvl="0">
            <a:lnSpc>
              <a:spcPct val="100000"/>
            </a:lnSpc>
            <a:spcBef>
              <a:spcPct val="0"/>
            </a:spcBef>
            <a:spcAft>
              <a:spcPct val="35000"/>
            </a:spcAft>
          </a:pPr>
          <a:r>
            <a:rPr lang="zh-CN" altLang="en-US">
              <a:solidFill>
                <a:schemeClr val="dk1"/>
              </a:solidFill>
            </a:rPr>
            <a:t>书记员</a:t>
          </a:r>
          <a:endParaRPr lang="zh-CN" altLang="en-US">
            <a:solidFill>
              <a:schemeClr val="dk1"/>
            </a:solidFill>
          </a:endParaRPr>
        </a:p>
      </dsp:txBody>
      <dsp:txXfrm>
        <a:off x="886298" y="2244480"/>
        <a:ext cx="732478" cy="366239"/>
      </dsp:txXfrm>
    </dsp:sp>
    <dsp:sp>
      <dsp:nvSpPr>
        <dsp:cNvPr id="12" name="矩形 11"/>
        <dsp:cNvSpPr/>
      </dsp:nvSpPr>
      <dsp:spPr bwMode="white">
        <a:xfrm>
          <a:off x="1772597" y="2244480"/>
          <a:ext cx="732478" cy="36623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6350" tIns="6350" rIns="6350" bIns="6350" anchor="ctr"/>
        <a:lstStyle>
          <a:lvl1pPr algn="ctr">
            <a:defRPr sz="1400"/>
          </a:lvl1pPr>
          <a:lvl2pPr marL="57150" indent="-57150">
            <a:defRPr sz="1000"/>
          </a:lvl2pPr>
          <a:lvl3pPr marL="114300" indent="-57150">
            <a:defRPr sz="1000"/>
          </a:lvl3pPr>
          <a:lvl4pPr marL="171450" indent="-57150">
            <a:defRPr sz="1000"/>
          </a:lvl4pPr>
          <a:lvl5pPr marL="228600" indent="-57150">
            <a:defRPr sz="1000"/>
          </a:lvl5pPr>
          <a:lvl6pPr marL="285750" indent="-57150">
            <a:defRPr sz="1000"/>
          </a:lvl6pPr>
          <a:lvl7pPr marL="342900" indent="-57150">
            <a:defRPr sz="1000"/>
          </a:lvl7pPr>
          <a:lvl8pPr marL="400050" indent="-57150">
            <a:defRPr sz="1000"/>
          </a:lvl8pPr>
          <a:lvl9pPr marL="457200" indent="-57150">
            <a:defRPr sz="1000"/>
          </a:lvl9pPr>
        </a:lstStyle>
        <a:p>
          <a:pPr lvl="0">
            <a:lnSpc>
              <a:spcPct val="100000"/>
            </a:lnSpc>
            <a:spcBef>
              <a:spcPct val="0"/>
            </a:spcBef>
            <a:spcAft>
              <a:spcPct val="35000"/>
            </a:spcAft>
          </a:pPr>
          <a:r>
            <a:rPr lang="zh-CN" altLang="en-US" sz="1050">
              <a:solidFill>
                <a:schemeClr val="dk1"/>
              </a:solidFill>
            </a:rPr>
            <a:t>其他辅助人员</a:t>
          </a:r>
          <a:endParaRPr lang="zh-CN" altLang="en-US" sz="1050">
            <a:solidFill>
              <a:schemeClr val="dk1"/>
            </a:solidFill>
          </a:endParaRPr>
        </a:p>
      </dsp:txBody>
      <dsp:txXfrm>
        <a:off x="1772597" y="2244480"/>
        <a:ext cx="732478" cy="366239"/>
      </dsp:txXfrm>
    </dsp:sp>
    <dsp:sp>
      <dsp:nvSpPr>
        <dsp:cNvPr id="15" name="矩形 14"/>
        <dsp:cNvSpPr/>
      </dsp:nvSpPr>
      <dsp:spPr bwMode="white">
        <a:xfrm>
          <a:off x="443149" y="1724420"/>
          <a:ext cx="732478" cy="36623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8890" tIns="8890" rIns="8890" bIns="8890" anchor="ctr"/>
        <a:lstStyle>
          <a:lvl1pPr algn="ctr">
            <a:defRPr sz="1400"/>
          </a:lvl1pPr>
          <a:lvl2pPr marL="57150" indent="-57150">
            <a:defRPr sz="1000"/>
          </a:lvl2pPr>
          <a:lvl3pPr marL="114300" indent="-57150">
            <a:defRPr sz="1000"/>
          </a:lvl3pPr>
          <a:lvl4pPr marL="171450" indent="-57150">
            <a:defRPr sz="1000"/>
          </a:lvl4pPr>
          <a:lvl5pPr marL="228600" indent="-57150">
            <a:defRPr sz="1000"/>
          </a:lvl5pPr>
          <a:lvl6pPr marL="285750" indent="-57150">
            <a:defRPr sz="1000"/>
          </a:lvl6pPr>
          <a:lvl7pPr marL="342900" indent="-57150">
            <a:defRPr sz="1000"/>
          </a:lvl7pPr>
          <a:lvl8pPr marL="400050" indent="-57150">
            <a:defRPr sz="1000"/>
          </a:lvl8pPr>
          <a:lvl9pPr marL="457200" indent="-57150">
            <a:defRPr sz="1000"/>
          </a:lvl9pPr>
        </a:lstStyle>
        <a:p>
          <a:pPr lvl="0">
            <a:lnSpc>
              <a:spcPct val="100000"/>
            </a:lnSpc>
            <a:spcBef>
              <a:spcPct val="0"/>
            </a:spcBef>
            <a:spcAft>
              <a:spcPct val="35000"/>
            </a:spcAft>
          </a:pPr>
          <a:r>
            <a:rPr lang="zh-CN" altLang="en-US">
              <a:solidFill>
                <a:schemeClr val="dk1"/>
              </a:solidFill>
            </a:rPr>
            <a:t>审判权</a:t>
          </a:r>
          <a:endParaRPr lang="zh-CN" altLang="en-US">
            <a:solidFill>
              <a:schemeClr val="dk1"/>
            </a:solidFill>
          </a:endParaRPr>
        </a:p>
      </dsp:txBody>
      <dsp:txXfrm>
        <a:off x="443149" y="1724420"/>
        <a:ext cx="732478" cy="366239"/>
      </dsp:txXfrm>
    </dsp:sp>
    <dsp:sp>
      <dsp:nvSpPr>
        <dsp:cNvPr id="4" name="矩形 3" hidden="1"/>
        <dsp:cNvSpPr/>
      </dsp:nvSpPr>
      <dsp:spPr bwMode="white">
        <a:xfrm>
          <a:off x="886298" y="1204361"/>
          <a:ext cx="146496" cy="366239"/>
        </a:xfrm>
        <a:prstGeom prst="rect">
          <a:avLst/>
        </a:prstGeom>
      </dsp:spPr>
      <dsp:style>
        <a:lnRef idx="2">
          <a:schemeClr val="dk1">
            <a:shade val="80000"/>
          </a:schemeClr>
        </a:lnRef>
        <a:fillRef idx="1">
          <a:schemeClr val="lt1"/>
        </a:fillRef>
        <a:effectRef idx="0">
          <a:scrgbClr r="0" g="0" b="0"/>
        </a:effectRef>
        <a:fontRef idx="minor">
          <a:schemeClr val="lt1"/>
        </a:fontRef>
      </dsp:style>
      <dsp:txXfrm>
        <a:off x="886298" y="1204361"/>
        <a:ext cx="146496" cy="366239"/>
      </dsp:txXfrm>
    </dsp:sp>
    <dsp:sp>
      <dsp:nvSpPr>
        <dsp:cNvPr id="7" name="矩形 6" hidden="1"/>
        <dsp:cNvSpPr/>
      </dsp:nvSpPr>
      <dsp:spPr bwMode="white">
        <a:xfrm>
          <a:off x="0" y="2244480"/>
          <a:ext cx="146496" cy="366239"/>
        </a:xfrm>
        <a:prstGeom prst="rect">
          <a:avLst/>
        </a:prstGeom>
      </dsp:spPr>
      <dsp:style>
        <a:lnRef idx="2">
          <a:schemeClr val="dk1">
            <a:shade val="80000"/>
          </a:schemeClr>
        </a:lnRef>
        <a:fillRef idx="1">
          <a:schemeClr val="lt1"/>
        </a:fillRef>
        <a:effectRef idx="0">
          <a:scrgbClr r="0" g="0" b="0"/>
        </a:effectRef>
        <a:fontRef idx="minor">
          <a:schemeClr val="lt1"/>
        </a:fontRef>
      </dsp:style>
      <dsp:txXfrm>
        <a:off x="0" y="2244480"/>
        <a:ext cx="146496" cy="366239"/>
      </dsp:txXfrm>
    </dsp:sp>
    <dsp:sp>
      <dsp:nvSpPr>
        <dsp:cNvPr id="10" name="矩形 9" hidden="1"/>
        <dsp:cNvSpPr/>
      </dsp:nvSpPr>
      <dsp:spPr bwMode="white">
        <a:xfrm>
          <a:off x="886298" y="2244480"/>
          <a:ext cx="146496" cy="366239"/>
        </a:xfrm>
        <a:prstGeom prst="rect">
          <a:avLst/>
        </a:prstGeom>
      </dsp:spPr>
      <dsp:style>
        <a:lnRef idx="2">
          <a:schemeClr val="dk1">
            <a:shade val="80000"/>
          </a:schemeClr>
        </a:lnRef>
        <a:fillRef idx="1">
          <a:schemeClr val="lt1"/>
        </a:fillRef>
        <a:effectRef idx="0">
          <a:scrgbClr r="0" g="0" b="0"/>
        </a:effectRef>
        <a:fontRef idx="minor">
          <a:schemeClr val="lt1"/>
        </a:fontRef>
      </dsp:style>
      <dsp:txXfrm>
        <a:off x="886298" y="2244480"/>
        <a:ext cx="146496" cy="366239"/>
      </dsp:txXfrm>
    </dsp:sp>
    <dsp:sp>
      <dsp:nvSpPr>
        <dsp:cNvPr id="13" name="矩形 12" hidden="1"/>
        <dsp:cNvSpPr/>
      </dsp:nvSpPr>
      <dsp:spPr bwMode="white">
        <a:xfrm>
          <a:off x="1772597" y="2244480"/>
          <a:ext cx="146496" cy="366239"/>
        </a:xfrm>
        <a:prstGeom prst="rect">
          <a:avLst/>
        </a:prstGeom>
      </dsp:spPr>
      <dsp:style>
        <a:lnRef idx="2">
          <a:schemeClr val="dk1">
            <a:shade val="80000"/>
          </a:schemeClr>
        </a:lnRef>
        <a:fillRef idx="1">
          <a:schemeClr val="lt1"/>
        </a:fillRef>
        <a:effectRef idx="0">
          <a:scrgbClr r="0" g="0" b="0"/>
        </a:effectRef>
        <a:fontRef idx="minor">
          <a:schemeClr val="lt1"/>
        </a:fontRef>
      </dsp:style>
      <dsp:txXfrm>
        <a:off x="1772597" y="2244480"/>
        <a:ext cx="146496" cy="366239"/>
      </dsp:txXfrm>
    </dsp:sp>
    <dsp:sp>
      <dsp:nvSpPr>
        <dsp:cNvPr id="16" name="矩形 15" hidden="1"/>
        <dsp:cNvSpPr/>
      </dsp:nvSpPr>
      <dsp:spPr bwMode="white">
        <a:xfrm>
          <a:off x="443149" y="1724420"/>
          <a:ext cx="146496" cy="366239"/>
        </a:xfrm>
        <a:prstGeom prst="rect">
          <a:avLst/>
        </a:prstGeom>
      </dsp:spPr>
      <dsp:style>
        <a:lnRef idx="2">
          <a:schemeClr val="dk1">
            <a:shade val="80000"/>
          </a:schemeClr>
        </a:lnRef>
        <a:fillRef idx="1">
          <a:schemeClr val="lt1"/>
        </a:fillRef>
        <a:effectRef idx="0">
          <a:scrgbClr r="0" g="0" b="0"/>
        </a:effectRef>
        <a:fontRef idx="minor">
          <a:schemeClr val="lt1"/>
        </a:fontRef>
      </dsp:style>
      <dsp:txXfrm>
        <a:off x="443149" y="1724420"/>
        <a:ext cx="146496" cy="3662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2406650" cy="3194685"/>
        <a:chOff x="0" y="0"/>
        <a:chExt cx="2406650" cy="3194685"/>
      </a:xfrm>
    </dsp:grpSpPr>
    <dsp:sp>
      <dsp:nvSpPr>
        <dsp:cNvPr id="34" name="任意多边形 33"/>
        <dsp:cNvSpPr/>
      </dsp:nvSpPr>
      <dsp:spPr bwMode="white">
        <a:xfrm>
          <a:off x="1088982" y="1096411"/>
          <a:ext cx="114343" cy="500932"/>
        </a:xfrm>
        <a:custGeom>
          <a:avLst/>
          <a:gdLst/>
          <a:ahLst/>
          <a:cxnLst/>
          <a:pathLst>
            <a:path w="180" h="789">
              <a:moveTo>
                <a:pt x="180" y="0"/>
              </a:moveTo>
              <a:lnTo>
                <a:pt x="180" y="789"/>
              </a:lnTo>
              <a:lnTo>
                <a:pt x="0" y="789"/>
              </a:lnTo>
            </a:path>
          </a:pathLst>
        </a:custGeom>
      </dsp:spPr>
      <dsp:style>
        <a:lnRef idx="2">
          <a:schemeClr val="dk1">
            <a:shade val="60000"/>
          </a:schemeClr>
        </a:lnRef>
        <a:fillRef idx="0">
          <a:schemeClr val="dk1"/>
        </a:fillRef>
        <a:effectRef idx="0">
          <a:scrgbClr r="0" g="0" b="0"/>
        </a:effectRef>
        <a:fontRef idx="minor"/>
      </dsp:style>
      <dsp:txXfrm>
        <a:off x="1088982" y="1096411"/>
        <a:ext cx="114343" cy="500932"/>
      </dsp:txXfrm>
    </dsp:sp>
    <dsp:sp>
      <dsp:nvSpPr>
        <dsp:cNvPr id="35" name="任意多边形 34"/>
        <dsp:cNvSpPr/>
      </dsp:nvSpPr>
      <dsp:spPr bwMode="white">
        <a:xfrm>
          <a:off x="1203325" y="1096411"/>
          <a:ext cx="114343" cy="500932"/>
        </a:xfrm>
        <a:custGeom>
          <a:avLst/>
          <a:gdLst/>
          <a:ahLst/>
          <a:cxnLst/>
          <a:pathLst>
            <a:path w="180" h="789">
              <a:moveTo>
                <a:pt x="0" y="0"/>
              </a:moveTo>
              <a:lnTo>
                <a:pt x="0" y="789"/>
              </a:lnTo>
              <a:lnTo>
                <a:pt x="180" y="789"/>
              </a:lnTo>
            </a:path>
          </a:pathLst>
        </a:custGeom>
      </dsp:spPr>
      <dsp:style>
        <a:lnRef idx="2">
          <a:schemeClr val="dk1">
            <a:shade val="60000"/>
          </a:schemeClr>
        </a:lnRef>
        <a:fillRef idx="0">
          <a:schemeClr val="dk1"/>
        </a:fillRef>
        <a:effectRef idx="0">
          <a:scrgbClr r="0" g="0" b="0"/>
        </a:effectRef>
        <a:fontRef idx="minor"/>
      </dsp:style>
      <dsp:txXfrm>
        <a:off x="1203325" y="1096411"/>
        <a:ext cx="114343" cy="500932"/>
      </dsp:txXfrm>
    </dsp:sp>
    <dsp:sp>
      <dsp:nvSpPr>
        <dsp:cNvPr id="36" name="任意多边形 35"/>
        <dsp:cNvSpPr/>
      </dsp:nvSpPr>
      <dsp:spPr bwMode="white">
        <a:xfrm>
          <a:off x="1088982" y="1096411"/>
          <a:ext cx="114343" cy="1274109"/>
        </a:xfrm>
        <a:custGeom>
          <a:avLst/>
          <a:gdLst/>
          <a:ahLst/>
          <a:cxnLst/>
          <a:pathLst>
            <a:path w="180" h="2006">
              <a:moveTo>
                <a:pt x="180" y="0"/>
              </a:moveTo>
              <a:lnTo>
                <a:pt x="180" y="2006"/>
              </a:lnTo>
              <a:lnTo>
                <a:pt x="0" y="2006"/>
              </a:lnTo>
            </a:path>
          </a:pathLst>
        </a:custGeom>
      </dsp:spPr>
      <dsp:style>
        <a:lnRef idx="2">
          <a:schemeClr val="dk1">
            <a:shade val="60000"/>
          </a:schemeClr>
        </a:lnRef>
        <a:fillRef idx="0">
          <a:schemeClr val="dk1"/>
        </a:fillRef>
        <a:effectRef idx="0">
          <a:scrgbClr r="0" g="0" b="0"/>
        </a:effectRef>
        <a:fontRef idx="minor"/>
      </dsp:style>
      <dsp:txXfrm>
        <a:off x="1088982" y="1096411"/>
        <a:ext cx="114343" cy="1274109"/>
      </dsp:txXfrm>
    </dsp:sp>
    <dsp:sp>
      <dsp:nvSpPr>
        <dsp:cNvPr id="26" name="矩形 25"/>
        <dsp:cNvSpPr/>
      </dsp:nvSpPr>
      <dsp:spPr bwMode="white">
        <a:xfrm>
          <a:off x="658834" y="551920"/>
          <a:ext cx="1088982" cy="544491"/>
        </a:xfrm>
        <a:prstGeom prst="rect">
          <a:avLst/>
        </a:prstGeom>
      </dsp:spPr>
      <dsp:style>
        <a:lnRef idx="3">
          <a:schemeClr val="dk1">
            <a:shade val="80000"/>
          </a:schemeClr>
        </a:lnRef>
        <a:fillRef idx="1">
          <a:schemeClr val="lt1"/>
        </a:fillRef>
        <a:effectRef idx="1">
          <a:scrgbClr r="0" g="0" b="0"/>
        </a:effectRef>
        <a:fontRef idx="minor">
          <a:schemeClr val="lt1"/>
        </a:fontRef>
      </dsp:style>
      <dsp:txBody>
        <a:bodyPr vert="horz" wrap="square" lIns="7620" tIns="7620" rIns="7620" bIns="7620" anchor="ctr"/>
        <a:lstStyle>
          <a:lvl1pPr algn="ctr">
            <a:defRPr sz="1200"/>
          </a:lvl1pPr>
          <a:lvl2pPr marL="57150" indent="-57150">
            <a:defRPr sz="900"/>
          </a:lvl2pPr>
          <a:lvl3pPr marL="114300" indent="-57150">
            <a:defRPr sz="900"/>
          </a:lvl3pPr>
          <a:lvl4pPr marL="171450" indent="-57150">
            <a:defRPr sz="900"/>
          </a:lvl4pPr>
          <a:lvl5pPr marL="228600" indent="-57150">
            <a:defRPr sz="900"/>
          </a:lvl5pPr>
          <a:lvl6pPr marL="285750" indent="-57150">
            <a:defRPr sz="900"/>
          </a:lvl6pPr>
          <a:lvl7pPr marL="342900" indent="-57150">
            <a:defRPr sz="900"/>
          </a:lvl7pPr>
          <a:lvl8pPr marL="400050" indent="-57150">
            <a:defRPr sz="900"/>
          </a:lvl8pPr>
          <a:lvl9pPr marL="457200" indent="-57150">
            <a:defRPr sz="900"/>
          </a:lvl9pPr>
        </a:lstStyle>
        <a:p>
          <a:pPr lvl="0">
            <a:lnSpc>
              <a:spcPct val="100000"/>
            </a:lnSpc>
            <a:spcBef>
              <a:spcPct val="0"/>
            </a:spcBef>
            <a:spcAft>
              <a:spcPct val="35000"/>
            </a:spcAft>
            <a:buNone/>
          </a:pPr>
          <a:endParaRPr lang="zh-CN" altLang="en-US">
            <a:solidFill>
              <a:schemeClr val="dk1"/>
            </a:solidFill>
          </a:endParaRPr>
        </a:p>
        <a:p>
          <a:pPr lvl="0">
            <a:lnSpc>
              <a:spcPct val="100000"/>
            </a:lnSpc>
            <a:spcBef>
              <a:spcPct val="0"/>
            </a:spcBef>
            <a:spcAft>
              <a:spcPct val="35000"/>
            </a:spcAft>
            <a:buNone/>
          </a:pPr>
          <a:r>
            <a:rPr lang="zh-CN" altLang="en-US">
              <a:solidFill>
                <a:schemeClr val="dk1"/>
              </a:solidFill>
            </a:rPr>
            <a:t>法官选拔机关</a:t>
          </a:r>
          <a:endParaRPr lang="zh-CN" altLang="en-US">
            <a:solidFill>
              <a:schemeClr val="dk1"/>
            </a:solidFill>
          </a:endParaRPr>
        </a:p>
      </dsp:txBody>
      <dsp:txXfrm>
        <a:off x="658834" y="551920"/>
        <a:ext cx="1088982" cy="544491"/>
      </dsp:txXfrm>
    </dsp:sp>
    <dsp:sp>
      <dsp:nvSpPr>
        <dsp:cNvPr id="6" name="矩形 5"/>
        <dsp:cNvSpPr/>
      </dsp:nvSpPr>
      <dsp:spPr bwMode="white">
        <a:xfrm>
          <a:off x="0" y="1325097"/>
          <a:ext cx="1088982" cy="544491"/>
        </a:xfrm>
        <a:prstGeom prst="rect">
          <a:avLst/>
        </a:prstGeom>
      </dsp:spPr>
      <dsp:style>
        <a:lnRef idx="3">
          <a:schemeClr val="dk1">
            <a:shade val="80000"/>
          </a:schemeClr>
        </a:lnRef>
        <a:fillRef idx="1">
          <a:schemeClr val="lt1"/>
        </a:fillRef>
        <a:effectRef idx="1">
          <a:scrgbClr r="0" g="0" b="0"/>
        </a:effectRef>
        <a:fontRef idx="minor">
          <a:schemeClr val="lt1"/>
        </a:fontRef>
      </dsp:style>
      <dsp:txBody>
        <a:bodyPr vert="horz" wrap="square" lIns="7620" tIns="7620" rIns="7620" bIns="7620" anchor="ctr"/>
        <a:lstStyle>
          <a:lvl1pPr algn="ctr">
            <a:defRPr sz="1200"/>
          </a:lvl1pPr>
          <a:lvl2pPr marL="57150" indent="-57150">
            <a:defRPr sz="900"/>
          </a:lvl2pPr>
          <a:lvl3pPr marL="114300" indent="-57150">
            <a:defRPr sz="900"/>
          </a:lvl3pPr>
          <a:lvl4pPr marL="171450" indent="-57150">
            <a:defRPr sz="900"/>
          </a:lvl4pPr>
          <a:lvl5pPr marL="228600" indent="-57150">
            <a:defRPr sz="900"/>
          </a:lvl5pPr>
          <a:lvl6pPr marL="285750" indent="-57150">
            <a:defRPr sz="900"/>
          </a:lvl6pPr>
          <a:lvl7pPr marL="342900" indent="-57150">
            <a:defRPr sz="900"/>
          </a:lvl7pPr>
          <a:lvl8pPr marL="400050" indent="-57150">
            <a:defRPr sz="900"/>
          </a:lvl8pPr>
          <a:lvl9pPr marL="457200" indent="-57150">
            <a:defRPr sz="900"/>
          </a:lvl9pPr>
        </a:lstStyle>
        <a:p>
          <a:pPr lvl="0">
            <a:lnSpc>
              <a:spcPct val="100000"/>
            </a:lnSpc>
            <a:spcBef>
              <a:spcPct val="0"/>
            </a:spcBef>
            <a:spcAft>
              <a:spcPct val="35000"/>
            </a:spcAft>
          </a:pPr>
          <a:r>
            <a:rPr lang="zh-CN" altLang="en-US">
              <a:solidFill>
                <a:schemeClr val="dk1"/>
              </a:solidFill>
            </a:rPr>
            <a:t>监督机关</a:t>
          </a:r>
          <a:endParaRPr lang="zh-CN" altLang="en-US">
            <a:solidFill>
              <a:schemeClr val="dk1"/>
            </a:solidFill>
          </a:endParaRPr>
        </a:p>
      </dsp:txBody>
      <dsp:txXfrm>
        <a:off x="0" y="1325097"/>
        <a:ext cx="1088982" cy="544491"/>
      </dsp:txXfrm>
    </dsp:sp>
    <dsp:sp>
      <dsp:nvSpPr>
        <dsp:cNvPr id="9" name="矩形 8"/>
        <dsp:cNvSpPr/>
      </dsp:nvSpPr>
      <dsp:spPr bwMode="white">
        <a:xfrm>
          <a:off x="1317668" y="1325097"/>
          <a:ext cx="1088982" cy="544491"/>
        </a:xfrm>
        <a:prstGeom prst="rect">
          <a:avLst/>
        </a:prstGeom>
      </dsp:spPr>
      <dsp:style>
        <a:lnRef idx="3">
          <a:schemeClr val="dk1">
            <a:shade val="80000"/>
          </a:schemeClr>
        </a:lnRef>
        <a:fillRef idx="1">
          <a:schemeClr val="lt1"/>
        </a:fillRef>
        <a:effectRef idx="1">
          <a:scrgbClr r="0" g="0" b="0"/>
        </a:effectRef>
        <a:fontRef idx="minor">
          <a:schemeClr val="lt1"/>
        </a:fontRef>
      </dsp:style>
      <dsp:txBody>
        <a:bodyPr vert="horz" wrap="square" lIns="7620" tIns="7620" rIns="7620" bIns="7620" anchor="ctr"/>
        <a:lstStyle>
          <a:lvl1pPr algn="ctr">
            <a:defRPr sz="1200"/>
          </a:lvl1pPr>
          <a:lvl2pPr marL="57150" indent="-57150">
            <a:defRPr sz="900"/>
          </a:lvl2pPr>
          <a:lvl3pPr marL="114300" indent="-57150">
            <a:defRPr sz="900"/>
          </a:lvl3pPr>
          <a:lvl4pPr marL="171450" indent="-57150">
            <a:defRPr sz="900"/>
          </a:lvl4pPr>
          <a:lvl5pPr marL="228600" indent="-57150">
            <a:defRPr sz="900"/>
          </a:lvl5pPr>
          <a:lvl6pPr marL="285750" indent="-57150">
            <a:defRPr sz="900"/>
          </a:lvl6pPr>
          <a:lvl7pPr marL="342900" indent="-57150">
            <a:defRPr sz="900"/>
          </a:lvl7pPr>
          <a:lvl8pPr marL="400050" indent="-57150">
            <a:defRPr sz="900"/>
          </a:lvl8pPr>
          <a:lvl9pPr marL="457200" indent="-57150">
            <a:defRPr sz="900"/>
          </a:lvl9pPr>
        </a:lstStyle>
        <a:p>
          <a:pPr lvl="0">
            <a:lnSpc>
              <a:spcPct val="100000"/>
            </a:lnSpc>
            <a:spcBef>
              <a:spcPct val="0"/>
            </a:spcBef>
            <a:spcAft>
              <a:spcPct val="35000"/>
            </a:spcAft>
            <a:buNone/>
          </a:pPr>
          <a:endParaRPr lang="zh-CN" altLang="en-US">
            <a:solidFill>
              <a:schemeClr val="dk1"/>
            </a:solidFill>
          </a:endParaRPr>
        </a:p>
        <a:p>
          <a:pPr lvl="0">
            <a:lnSpc>
              <a:spcPct val="100000"/>
            </a:lnSpc>
            <a:spcBef>
              <a:spcPct val="0"/>
            </a:spcBef>
            <a:spcAft>
              <a:spcPct val="35000"/>
            </a:spcAft>
            <a:buNone/>
          </a:pPr>
          <a:r>
            <a:rPr lang="zh-CN" altLang="en-US">
              <a:solidFill>
                <a:schemeClr val="dk1"/>
              </a:solidFill>
            </a:rPr>
            <a:t>考评机关</a:t>
          </a:r>
          <a:endParaRPr lang="zh-CN" altLang="en-US">
            <a:solidFill>
              <a:schemeClr val="dk1"/>
            </a:solidFill>
          </a:endParaRPr>
        </a:p>
      </dsp:txBody>
      <dsp:txXfrm>
        <a:off x="1317668" y="1325097"/>
        <a:ext cx="1088982" cy="544491"/>
      </dsp:txXfrm>
    </dsp:sp>
    <dsp:sp>
      <dsp:nvSpPr>
        <dsp:cNvPr id="12" name="矩形 11"/>
        <dsp:cNvSpPr/>
      </dsp:nvSpPr>
      <dsp:spPr bwMode="white">
        <a:xfrm>
          <a:off x="0" y="2098274"/>
          <a:ext cx="1088982" cy="544491"/>
        </a:xfrm>
        <a:prstGeom prst="rect">
          <a:avLst/>
        </a:prstGeom>
      </dsp:spPr>
      <dsp:style>
        <a:lnRef idx="3">
          <a:schemeClr val="dk1">
            <a:shade val="80000"/>
          </a:schemeClr>
        </a:lnRef>
        <a:fillRef idx="1">
          <a:schemeClr val="lt1"/>
        </a:fillRef>
        <a:effectRef idx="1">
          <a:scrgbClr r="0" g="0" b="0"/>
        </a:effectRef>
        <a:fontRef idx="minor">
          <a:schemeClr val="lt1"/>
        </a:fontRef>
      </dsp:style>
      <dsp:txBody>
        <a:bodyPr vert="horz" wrap="square" lIns="7620" tIns="7620" rIns="7620" bIns="7620" anchor="ctr"/>
        <a:lstStyle>
          <a:lvl1pPr algn="ctr">
            <a:defRPr sz="1200"/>
          </a:lvl1pPr>
          <a:lvl2pPr marL="57150" indent="-57150">
            <a:defRPr sz="900"/>
          </a:lvl2pPr>
          <a:lvl3pPr marL="114300" indent="-57150">
            <a:defRPr sz="900"/>
          </a:lvl3pPr>
          <a:lvl4pPr marL="171450" indent="-57150">
            <a:defRPr sz="900"/>
          </a:lvl4pPr>
          <a:lvl5pPr marL="228600" indent="-57150">
            <a:defRPr sz="900"/>
          </a:lvl5pPr>
          <a:lvl6pPr marL="285750" indent="-57150">
            <a:defRPr sz="900"/>
          </a:lvl6pPr>
          <a:lvl7pPr marL="342900" indent="-57150">
            <a:defRPr sz="900"/>
          </a:lvl7pPr>
          <a:lvl8pPr marL="400050" indent="-57150">
            <a:defRPr sz="900"/>
          </a:lvl8pPr>
          <a:lvl9pPr marL="457200" indent="-57150">
            <a:defRPr sz="900"/>
          </a:lvl9pPr>
        </a:lstStyle>
        <a:p>
          <a:pPr lvl="0">
            <a:lnSpc>
              <a:spcPct val="100000"/>
            </a:lnSpc>
            <a:spcBef>
              <a:spcPct val="0"/>
            </a:spcBef>
            <a:spcAft>
              <a:spcPct val="35000"/>
            </a:spcAft>
            <a:buNone/>
          </a:pPr>
          <a:endParaRPr lang="zh-CN" altLang="en-US">
            <a:solidFill>
              <a:schemeClr val="dk1"/>
            </a:solidFill>
          </a:endParaRPr>
        </a:p>
        <a:p>
          <a:pPr lvl="0">
            <a:lnSpc>
              <a:spcPct val="100000"/>
            </a:lnSpc>
            <a:spcBef>
              <a:spcPct val="0"/>
            </a:spcBef>
            <a:spcAft>
              <a:spcPct val="35000"/>
            </a:spcAft>
            <a:buNone/>
          </a:pPr>
          <a:r>
            <a:rPr lang="zh-CN" altLang="en-US">
              <a:solidFill>
                <a:schemeClr val="dk1"/>
              </a:solidFill>
            </a:rPr>
            <a:t>法官</a:t>
          </a:r>
          <a:endParaRPr lang="zh-CN" altLang="en-US">
            <a:solidFill>
              <a:schemeClr val="dk1"/>
            </a:solidFill>
          </a:endParaRPr>
        </a:p>
      </dsp:txBody>
      <dsp:txXfrm>
        <a:off x="0" y="2098274"/>
        <a:ext cx="1088982" cy="544491"/>
      </dsp:txXfrm>
    </dsp:sp>
    <dsp:sp>
      <dsp:nvSpPr>
        <dsp:cNvPr id="27" name="矩形 26" hidden="1"/>
        <dsp:cNvSpPr/>
      </dsp:nvSpPr>
      <dsp:spPr bwMode="white">
        <a:xfrm>
          <a:off x="1530020" y="551920"/>
          <a:ext cx="217796" cy="544491"/>
        </a:xfrm>
        <a:prstGeom prst="rect">
          <a:avLst/>
        </a:prstGeom>
      </dsp:spPr>
      <dsp:style>
        <a:lnRef idx="3">
          <a:schemeClr val="dk1">
            <a:shade val="80000"/>
          </a:schemeClr>
        </a:lnRef>
        <a:fillRef idx="1">
          <a:schemeClr val="lt1"/>
        </a:fillRef>
        <a:effectRef idx="1">
          <a:scrgbClr r="0" g="0" b="0"/>
        </a:effectRef>
        <a:fontRef idx="minor">
          <a:schemeClr val="lt1"/>
        </a:fontRef>
      </dsp:style>
      <dsp:txXfrm>
        <a:off x="1530020" y="551920"/>
        <a:ext cx="217796" cy="544491"/>
      </dsp:txXfrm>
    </dsp:sp>
    <dsp:sp>
      <dsp:nvSpPr>
        <dsp:cNvPr id="7" name="矩形 6" hidden="1"/>
        <dsp:cNvSpPr/>
      </dsp:nvSpPr>
      <dsp:spPr bwMode="white">
        <a:xfrm>
          <a:off x="0" y="1325097"/>
          <a:ext cx="217796" cy="544491"/>
        </a:xfrm>
        <a:prstGeom prst="rect">
          <a:avLst/>
        </a:prstGeom>
      </dsp:spPr>
      <dsp:style>
        <a:lnRef idx="3">
          <a:schemeClr val="dk1">
            <a:shade val="80000"/>
          </a:schemeClr>
        </a:lnRef>
        <a:fillRef idx="1">
          <a:schemeClr val="lt1"/>
        </a:fillRef>
        <a:effectRef idx="1">
          <a:scrgbClr r="0" g="0" b="0"/>
        </a:effectRef>
        <a:fontRef idx="minor">
          <a:schemeClr val="lt1"/>
        </a:fontRef>
      </dsp:style>
      <dsp:txXfrm>
        <a:off x="0" y="1325097"/>
        <a:ext cx="217796" cy="544491"/>
      </dsp:txXfrm>
    </dsp:sp>
    <dsp:sp>
      <dsp:nvSpPr>
        <dsp:cNvPr id="10" name="矩形 9" hidden="1"/>
        <dsp:cNvSpPr/>
      </dsp:nvSpPr>
      <dsp:spPr bwMode="white">
        <a:xfrm>
          <a:off x="1317668" y="1325097"/>
          <a:ext cx="217796" cy="544491"/>
        </a:xfrm>
        <a:prstGeom prst="rect">
          <a:avLst/>
        </a:prstGeom>
      </dsp:spPr>
      <dsp:style>
        <a:lnRef idx="3">
          <a:schemeClr val="dk1">
            <a:shade val="80000"/>
          </a:schemeClr>
        </a:lnRef>
        <a:fillRef idx="1">
          <a:schemeClr val="lt1"/>
        </a:fillRef>
        <a:effectRef idx="1">
          <a:scrgbClr r="0" g="0" b="0"/>
        </a:effectRef>
        <a:fontRef idx="minor">
          <a:schemeClr val="lt1"/>
        </a:fontRef>
      </dsp:style>
      <dsp:txXfrm>
        <a:off x="1317668" y="1325097"/>
        <a:ext cx="217796" cy="544491"/>
      </dsp:txXfrm>
    </dsp:sp>
    <dsp:sp>
      <dsp:nvSpPr>
        <dsp:cNvPr id="13" name="矩形 12" hidden="1"/>
        <dsp:cNvSpPr/>
      </dsp:nvSpPr>
      <dsp:spPr bwMode="white">
        <a:xfrm>
          <a:off x="0" y="2098274"/>
          <a:ext cx="217796" cy="544491"/>
        </a:xfrm>
        <a:prstGeom prst="rect">
          <a:avLst/>
        </a:prstGeom>
      </dsp:spPr>
      <dsp:style>
        <a:lnRef idx="3">
          <a:schemeClr val="dk1">
            <a:shade val="80000"/>
          </a:schemeClr>
        </a:lnRef>
        <a:fillRef idx="1">
          <a:schemeClr val="lt1"/>
        </a:fillRef>
        <a:effectRef idx="1">
          <a:scrgbClr r="0" g="0" b="0"/>
        </a:effectRef>
        <a:fontRef idx="minor">
          <a:schemeClr val="lt1"/>
        </a:fontRef>
      </dsp:style>
      <dsp:txXfrm>
        <a:off x="0" y="2098274"/>
        <a:ext cx="217796" cy="544491"/>
      </dsp:txXfrm>
    </dsp:sp>
  </dsp:spTree>
</dsp:drawing>
</file>

<file path=word/diagrams/drawing3.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2536825" cy="3810000"/>
        <a:chOff x="0" y="0"/>
        <a:chExt cx="2536825" cy="3810000"/>
      </a:xfrm>
    </dsp:grpSpPr>
    <dsp:sp>
      <dsp:nvSpPr>
        <dsp:cNvPr id="5" name="任意多边形 4"/>
        <dsp:cNvSpPr/>
      </dsp:nvSpPr>
      <dsp:spPr bwMode="white">
        <a:xfrm>
          <a:off x="370881" y="1563790"/>
          <a:ext cx="897532" cy="682421"/>
        </a:xfrm>
        <a:custGeom>
          <a:avLst/>
          <a:gdLst/>
          <a:ahLst/>
          <a:cxnLst/>
          <a:pathLst>
            <a:path w="1413" h="1075">
              <a:moveTo>
                <a:pt x="1413" y="0"/>
              </a:moveTo>
              <a:lnTo>
                <a:pt x="1413" y="952"/>
              </a:lnTo>
              <a:lnTo>
                <a:pt x="0" y="952"/>
              </a:lnTo>
              <a:lnTo>
                <a:pt x="0" y="1075"/>
              </a:lnTo>
            </a:path>
          </a:pathLst>
        </a:custGeom>
      </dsp:spPr>
      <dsp:style>
        <a:lnRef idx="2">
          <a:schemeClr val="dk1">
            <a:shade val="60000"/>
          </a:schemeClr>
        </a:lnRef>
        <a:fillRef idx="0">
          <a:schemeClr val="dk1"/>
        </a:fillRef>
        <a:effectRef idx="0">
          <a:scrgbClr r="0" g="0" b="0"/>
        </a:effectRef>
        <a:fontRef idx="minor"/>
      </dsp:style>
      <dsp:txXfrm>
        <a:off x="370881" y="1563790"/>
        <a:ext cx="897532" cy="682421"/>
      </dsp:txXfrm>
    </dsp:sp>
    <dsp:sp>
      <dsp:nvSpPr>
        <dsp:cNvPr id="8" name="任意多边形 7"/>
        <dsp:cNvSpPr/>
      </dsp:nvSpPr>
      <dsp:spPr bwMode="white">
        <a:xfrm>
          <a:off x="1268413" y="1563790"/>
          <a:ext cx="0" cy="682421"/>
        </a:xfrm>
        <a:custGeom>
          <a:avLst/>
          <a:gdLst/>
          <a:ahLst/>
          <a:cxnLst/>
          <a:pathLst>
            <a:path h="1075">
              <a:moveTo>
                <a:pt x="0" y="0"/>
              </a:moveTo>
              <a:lnTo>
                <a:pt x="0" y="1075"/>
              </a:lnTo>
            </a:path>
          </a:pathLst>
        </a:custGeom>
      </dsp:spPr>
      <dsp:style>
        <a:lnRef idx="2">
          <a:schemeClr val="dk1">
            <a:shade val="60000"/>
          </a:schemeClr>
        </a:lnRef>
        <a:fillRef idx="0">
          <a:schemeClr val="dk1"/>
        </a:fillRef>
        <a:effectRef idx="0">
          <a:scrgbClr r="0" g="0" b="0"/>
        </a:effectRef>
        <a:fontRef idx="minor"/>
      </dsp:style>
      <dsp:txXfrm>
        <a:off x="1268413" y="1563790"/>
        <a:ext cx="0" cy="682421"/>
      </dsp:txXfrm>
    </dsp:sp>
    <dsp:sp>
      <dsp:nvSpPr>
        <dsp:cNvPr id="11" name="任意多边形 10"/>
        <dsp:cNvSpPr/>
      </dsp:nvSpPr>
      <dsp:spPr bwMode="white">
        <a:xfrm>
          <a:off x="1268413" y="1563790"/>
          <a:ext cx="897532" cy="682421"/>
        </a:xfrm>
        <a:custGeom>
          <a:avLst/>
          <a:gdLst/>
          <a:ahLst/>
          <a:cxnLst/>
          <a:pathLst>
            <a:path w="1413" h="1075">
              <a:moveTo>
                <a:pt x="0" y="0"/>
              </a:moveTo>
              <a:lnTo>
                <a:pt x="0" y="952"/>
              </a:lnTo>
              <a:lnTo>
                <a:pt x="1413" y="952"/>
              </a:lnTo>
              <a:lnTo>
                <a:pt x="1413" y="1075"/>
              </a:lnTo>
            </a:path>
          </a:pathLst>
        </a:custGeom>
      </dsp:spPr>
      <dsp:style>
        <a:lnRef idx="2">
          <a:schemeClr val="dk1">
            <a:shade val="60000"/>
          </a:schemeClr>
        </a:lnRef>
        <a:fillRef idx="0">
          <a:schemeClr val="dk1"/>
        </a:fillRef>
        <a:effectRef idx="0">
          <a:scrgbClr r="0" g="0" b="0"/>
        </a:effectRef>
        <a:fontRef idx="minor"/>
      </dsp:style>
      <dsp:txXfrm>
        <a:off x="1268413" y="1563790"/>
        <a:ext cx="897532" cy="682421"/>
      </dsp:txXfrm>
    </dsp:sp>
    <dsp:sp>
      <dsp:nvSpPr>
        <dsp:cNvPr id="14" name="任意多边形 13"/>
        <dsp:cNvSpPr/>
      </dsp:nvSpPr>
      <dsp:spPr bwMode="white">
        <a:xfrm>
          <a:off x="1190528" y="1563790"/>
          <a:ext cx="77885" cy="341210"/>
        </a:xfrm>
        <a:custGeom>
          <a:avLst/>
          <a:gdLst/>
          <a:ahLst/>
          <a:cxnLst/>
          <a:pathLst>
            <a:path w="123" h="537">
              <a:moveTo>
                <a:pt x="123" y="0"/>
              </a:moveTo>
              <a:lnTo>
                <a:pt x="123" y="537"/>
              </a:lnTo>
              <a:lnTo>
                <a:pt x="0" y="537"/>
              </a:lnTo>
            </a:path>
          </a:pathLst>
        </a:custGeom>
      </dsp:spPr>
      <dsp:style>
        <a:lnRef idx="2">
          <a:schemeClr val="dk1">
            <a:shade val="60000"/>
          </a:schemeClr>
        </a:lnRef>
        <a:fillRef idx="0">
          <a:schemeClr val="dk1"/>
        </a:fillRef>
        <a:effectRef idx="0">
          <a:scrgbClr r="0" g="0" b="0"/>
        </a:effectRef>
        <a:fontRef idx="minor"/>
      </dsp:style>
      <dsp:txXfrm>
        <a:off x="1190528" y="1563790"/>
        <a:ext cx="77885" cy="341210"/>
      </dsp:txXfrm>
    </dsp:sp>
    <dsp:sp>
      <dsp:nvSpPr>
        <dsp:cNvPr id="3" name="矩形 2"/>
        <dsp:cNvSpPr/>
      </dsp:nvSpPr>
      <dsp:spPr bwMode="white">
        <a:xfrm>
          <a:off x="897532" y="1192909"/>
          <a:ext cx="741762" cy="370881"/>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8890" tIns="8890" rIns="8890" bIns="8890" anchor="ctr"/>
        <a:lstStyle>
          <a:lvl1pPr algn="ctr">
            <a:defRPr sz="1400"/>
          </a:lvl1pPr>
          <a:lvl2pPr marL="57150" indent="-57150">
            <a:defRPr sz="1000"/>
          </a:lvl2pPr>
          <a:lvl3pPr marL="114300" indent="-57150">
            <a:defRPr sz="1000"/>
          </a:lvl3pPr>
          <a:lvl4pPr marL="171450" indent="-57150">
            <a:defRPr sz="1000"/>
          </a:lvl4pPr>
          <a:lvl5pPr marL="228600" indent="-57150">
            <a:defRPr sz="1000"/>
          </a:lvl5pPr>
          <a:lvl6pPr marL="285750" indent="-57150">
            <a:defRPr sz="1000"/>
          </a:lvl6pPr>
          <a:lvl7pPr marL="342900" indent="-57150">
            <a:defRPr sz="1000"/>
          </a:lvl7pPr>
          <a:lvl8pPr marL="400050" indent="-57150">
            <a:defRPr sz="1000"/>
          </a:lvl8pPr>
          <a:lvl9pPr marL="457200" indent="-57150">
            <a:defRPr sz="1000"/>
          </a:lvl9pPr>
        </a:lstStyle>
        <a:p>
          <a:pPr lvl="0">
            <a:lnSpc>
              <a:spcPct val="100000"/>
            </a:lnSpc>
            <a:spcBef>
              <a:spcPct val="0"/>
            </a:spcBef>
            <a:spcAft>
              <a:spcPct val="35000"/>
            </a:spcAft>
            <a:buNone/>
          </a:pPr>
          <a:r>
            <a:rPr lang="zh-CN" altLang="en-US">
              <a:solidFill>
                <a:schemeClr val="dk1"/>
              </a:solidFill>
            </a:rPr>
            <a:t>法官</a:t>
          </a:r>
          <a:endParaRPr lang="zh-CN" altLang="en-US">
            <a:solidFill>
              <a:schemeClr val="dk1"/>
            </a:solidFill>
          </a:endParaRPr>
        </a:p>
      </dsp:txBody>
      <dsp:txXfrm>
        <a:off x="897532" y="1192909"/>
        <a:ext cx="741762" cy="370881"/>
      </dsp:txXfrm>
    </dsp:sp>
    <dsp:sp>
      <dsp:nvSpPr>
        <dsp:cNvPr id="6" name="矩形 5"/>
        <dsp:cNvSpPr/>
      </dsp:nvSpPr>
      <dsp:spPr bwMode="white">
        <a:xfrm>
          <a:off x="0" y="2246210"/>
          <a:ext cx="741762" cy="370881"/>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8890" tIns="8890" rIns="8890" bIns="8890" anchor="ctr"/>
        <a:lstStyle>
          <a:lvl1pPr algn="ctr">
            <a:defRPr sz="1400"/>
          </a:lvl1pPr>
          <a:lvl2pPr marL="57150" indent="-57150">
            <a:defRPr sz="1000"/>
          </a:lvl2pPr>
          <a:lvl3pPr marL="114300" indent="-57150">
            <a:defRPr sz="1000"/>
          </a:lvl3pPr>
          <a:lvl4pPr marL="171450" indent="-57150">
            <a:defRPr sz="1000"/>
          </a:lvl4pPr>
          <a:lvl5pPr marL="228600" indent="-57150">
            <a:defRPr sz="1000"/>
          </a:lvl5pPr>
          <a:lvl6pPr marL="285750" indent="-57150">
            <a:defRPr sz="1000"/>
          </a:lvl6pPr>
          <a:lvl7pPr marL="342900" indent="-57150">
            <a:defRPr sz="1000"/>
          </a:lvl7pPr>
          <a:lvl8pPr marL="400050" indent="-57150">
            <a:defRPr sz="1000"/>
          </a:lvl8pPr>
          <a:lvl9pPr marL="457200" indent="-57150">
            <a:defRPr sz="1000"/>
          </a:lvl9pPr>
        </a:lstStyle>
        <a:p>
          <a:pPr lvl="0">
            <a:lnSpc>
              <a:spcPct val="100000"/>
            </a:lnSpc>
            <a:spcBef>
              <a:spcPct val="0"/>
            </a:spcBef>
            <a:spcAft>
              <a:spcPct val="35000"/>
            </a:spcAft>
            <a:buNone/>
          </a:pPr>
          <a:r>
            <a:rPr lang="zh-CN" altLang="en-US">
              <a:solidFill>
                <a:schemeClr val="dk1"/>
              </a:solidFill>
            </a:rPr>
            <a:t>法官助理</a:t>
          </a:r>
          <a:endParaRPr lang="zh-CN" altLang="en-US">
            <a:solidFill>
              <a:schemeClr val="dk1"/>
            </a:solidFill>
          </a:endParaRPr>
        </a:p>
      </dsp:txBody>
      <dsp:txXfrm>
        <a:off x="0" y="2246210"/>
        <a:ext cx="741762" cy="370881"/>
      </dsp:txXfrm>
    </dsp:sp>
    <dsp:sp>
      <dsp:nvSpPr>
        <dsp:cNvPr id="9" name="矩形 8"/>
        <dsp:cNvSpPr/>
      </dsp:nvSpPr>
      <dsp:spPr bwMode="white">
        <a:xfrm>
          <a:off x="897532" y="2246210"/>
          <a:ext cx="741762" cy="370881"/>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8890" tIns="8890" rIns="8890" bIns="8890" anchor="ctr"/>
        <a:lstStyle>
          <a:lvl1pPr algn="ctr">
            <a:defRPr sz="1400"/>
          </a:lvl1pPr>
          <a:lvl2pPr marL="57150" indent="-57150">
            <a:defRPr sz="1000"/>
          </a:lvl2pPr>
          <a:lvl3pPr marL="114300" indent="-57150">
            <a:defRPr sz="1000"/>
          </a:lvl3pPr>
          <a:lvl4pPr marL="171450" indent="-57150">
            <a:defRPr sz="1000"/>
          </a:lvl4pPr>
          <a:lvl5pPr marL="228600" indent="-57150">
            <a:defRPr sz="1000"/>
          </a:lvl5pPr>
          <a:lvl6pPr marL="285750" indent="-57150">
            <a:defRPr sz="1000"/>
          </a:lvl6pPr>
          <a:lvl7pPr marL="342900" indent="-57150">
            <a:defRPr sz="1000"/>
          </a:lvl7pPr>
          <a:lvl8pPr marL="400050" indent="-57150">
            <a:defRPr sz="1000"/>
          </a:lvl8pPr>
          <a:lvl9pPr marL="457200" indent="-57150">
            <a:defRPr sz="1000"/>
          </a:lvl9pPr>
        </a:lstStyle>
        <a:p>
          <a:pPr lvl="0">
            <a:lnSpc>
              <a:spcPct val="100000"/>
            </a:lnSpc>
            <a:spcBef>
              <a:spcPct val="0"/>
            </a:spcBef>
            <a:spcAft>
              <a:spcPct val="35000"/>
            </a:spcAft>
            <a:buNone/>
          </a:pPr>
          <a:r>
            <a:rPr lang="zh-CN" altLang="en-US">
              <a:solidFill>
                <a:schemeClr val="dk1"/>
              </a:solidFill>
            </a:rPr>
            <a:t>书记员</a:t>
          </a:r>
          <a:endParaRPr lang="zh-CN" altLang="en-US">
            <a:solidFill>
              <a:schemeClr val="dk1"/>
            </a:solidFill>
          </a:endParaRPr>
        </a:p>
      </dsp:txBody>
      <dsp:txXfrm>
        <a:off x="897532" y="2246210"/>
        <a:ext cx="741762" cy="370881"/>
      </dsp:txXfrm>
    </dsp:sp>
    <dsp:sp>
      <dsp:nvSpPr>
        <dsp:cNvPr id="12" name="矩形 11"/>
        <dsp:cNvSpPr/>
      </dsp:nvSpPr>
      <dsp:spPr bwMode="white">
        <a:xfrm>
          <a:off x="1795063" y="2246210"/>
          <a:ext cx="741762" cy="370881"/>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6350" tIns="6350" rIns="6350" bIns="6350" anchor="ctr"/>
        <a:lstStyle>
          <a:lvl1pPr algn="ctr">
            <a:defRPr sz="1400"/>
          </a:lvl1pPr>
          <a:lvl2pPr marL="57150" indent="-57150">
            <a:defRPr sz="1000"/>
          </a:lvl2pPr>
          <a:lvl3pPr marL="114300" indent="-57150">
            <a:defRPr sz="1000"/>
          </a:lvl3pPr>
          <a:lvl4pPr marL="171450" indent="-57150">
            <a:defRPr sz="1000"/>
          </a:lvl4pPr>
          <a:lvl5pPr marL="228600" indent="-57150">
            <a:defRPr sz="1000"/>
          </a:lvl5pPr>
          <a:lvl6pPr marL="285750" indent="-57150">
            <a:defRPr sz="1000"/>
          </a:lvl6pPr>
          <a:lvl7pPr marL="342900" indent="-57150">
            <a:defRPr sz="1000"/>
          </a:lvl7pPr>
          <a:lvl8pPr marL="400050" indent="-57150">
            <a:defRPr sz="1000"/>
          </a:lvl8pPr>
          <a:lvl9pPr marL="457200" indent="-57150">
            <a:defRPr sz="1000"/>
          </a:lvl9pPr>
        </a:lstStyle>
        <a:p>
          <a:pPr lvl="0">
            <a:lnSpc>
              <a:spcPct val="100000"/>
            </a:lnSpc>
            <a:spcBef>
              <a:spcPct val="0"/>
            </a:spcBef>
            <a:spcAft>
              <a:spcPct val="35000"/>
            </a:spcAft>
            <a:buNone/>
          </a:pPr>
          <a:r>
            <a:rPr lang="zh-CN" altLang="en-US" sz="1050">
              <a:solidFill>
                <a:schemeClr val="dk1"/>
              </a:solidFill>
            </a:rPr>
            <a:t>其他辅助人员</a:t>
          </a:r>
          <a:endParaRPr lang="zh-CN" altLang="en-US" sz="1050">
            <a:solidFill>
              <a:schemeClr val="dk1"/>
            </a:solidFill>
          </a:endParaRPr>
        </a:p>
      </dsp:txBody>
      <dsp:txXfrm>
        <a:off x="1795063" y="2246210"/>
        <a:ext cx="741762" cy="370881"/>
      </dsp:txXfrm>
    </dsp:sp>
    <dsp:sp>
      <dsp:nvSpPr>
        <dsp:cNvPr id="15" name="矩形 14"/>
        <dsp:cNvSpPr/>
      </dsp:nvSpPr>
      <dsp:spPr bwMode="white">
        <a:xfrm>
          <a:off x="448766" y="1719560"/>
          <a:ext cx="741762" cy="370881"/>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8890" tIns="8890" rIns="8890" bIns="8890" anchor="ctr"/>
        <a:lstStyle>
          <a:lvl1pPr algn="ctr">
            <a:defRPr sz="1400"/>
          </a:lvl1pPr>
          <a:lvl2pPr marL="57150" indent="-57150">
            <a:defRPr sz="1000"/>
          </a:lvl2pPr>
          <a:lvl3pPr marL="114300" indent="-57150">
            <a:defRPr sz="1000"/>
          </a:lvl3pPr>
          <a:lvl4pPr marL="171450" indent="-57150">
            <a:defRPr sz="1000"/>
          </a:lvl4pPr>
          <a:lvl5pPr marL="228600" indent="-57150">
            <a:defRPr sz="1000"/>
          </a:lvl5pPr>
          <a:lvl6pPr marL="285750" indent="-57150">
            <a:defRPr sz="1000"/>
          </a:lvl6pPr>
          <a:lvl7pPr marL="342900" indent="-57150">
            <a:defRPr sz="1000"/>
          </a:lvl7pPr>
          <a:lvl8pPr marL="400050" indent="-57150">
            <a:defRPr sz="1000"/>
          </a:lvl8pPr>
          <a:lvl9pPr marL="457200" indent="-57150">
            <a:defRPr sz="1000"/>
          </a:lvl9pPr>
        </a:lstStyle>
        <a:p>
          <a:pPr lvl="0">
            <a:lnSpc>
              <a:spcPct val="100000"/>
            </a:lnSpc>
            <a:spcBef>
              <a:spcPct val="0"/>
            </a:spcBef>
            <a:spcAft>
              <a:spcPct val="35000"/>
            </a:spcAft>
            <a:buNone/>
          </a:pPr>
          <a:r>
            <a:rPr lang="zh-CN" altLang="en-US">
              <a:solidFill>
                <a:schemeClr val="dk1"/>
              </a:solidFill>
            </a:rPr>
            <a:t>审判权</a:t>
          </a:r>
          <a:endParaRPr lang="zh-CN" altLang="en-US">
            <a:solidFill>
              <a:schemeClr val="dk1"/>
            </a:solidFill>
          </a:endParaRPr>
        </a:p>
      </dsp:txBody>
      <dsp:txXfrm>
        <a:off x="448766" y="1719560"/>
        <a:ext cx="741762" cy="370881"/>
      </dsp:txXfrm>
    </dsp:sp>
    <dsp:sp>
      <dsp:nvSpPr>
        <dsp:cNvPr id="4" name="矩形 3" hidden="1"/>
        <dsp:cNvSpPr/>
      </dsp:nvSpPr>
      <dsp:spPr bwMode="white">
        <a:xfrm>
          <a:off x="897532" y="1192909"/>
          <a:ext cx="148352" cy="370881"/>
        </a:xfrm>
        <a:prstGeom prst="rect">
          <a:avLst/>
        </a:prstGeom>
      </dsp:spPr>
      <dsp:style>
        <a:lnRef idx="2">
          <a:schemeClr val="dk1">
            <a:shade val="80000"/>
          </a:schemeClr>
        </a:lnRef>
        <a:fillRef idx="1">
          <a:schemeClr val="lt1"/>
        </a:fillRef>
        <a:effectRef idx="0">
          <a:scrgbClr r="0" g="0" b="0"/>
        </a:effectRef>
        <a:fontRef idx="minor">
          <a:schemeClr val="lt1"/>
        </a:fontRef>
      </dsp:style>
      <dsp:txXfrm>
        <a:off x="897532" y="1192909"/>
        <a:ext cx="148352" cy="370881"/>
      </dsp:txXfrm>
    </dsp:sp>
    <dsp:sp>
      <dsp:nvSpPr>
        <dsp:cNvPr id="7" name="矩形 6" hidden="1"/>
        <dsp:cNvSpPr/>
      </dsp:nvSpPr>
      <dsp:spPr bwMode="white">
        <a:xfrm>
          <a:off x="0" y="2246210"/>
          <a:ext cx="148352" cy="370881"/>
        </a:xfrm>
        <a:prstGeom prst="rect">
          <a:avLst/>
        </a:prstGeom>
      </dsp:spPr>
      <dsp:style>
        <a:lnRef idx="2">
          <a:schemeClr val="dk1">
            <a:shade val="80000"/>
          </a:schemeClr>
        </a:lnRef>
        <a:fillRef idx="1">
          <a:schemeClr val="lt1"/>
        </a:fillRef>
        <a:effectRef idx="0">
          <a:scrgbClr r="0" g="0" b="0"/>
        </a:effectRef>
        <a:fontRef idx="minor">
          <a:schemeClr val="lt1"/>
        </a:fontRef>
      </dsp:style>
      <dsp:txXfrm>
        <a:off x="0" y="2246210"/>
        <a:ext cx="148352" cy="370881"/>
      </dsp:txXfrm>
    </dsp:sp>
    <dsp:sp>
      <dsp:nvSpPr>
        <dsp:cNvPr id="10" name="矩形 9" hidden="1"/>
        <dsp:cNvSpPr/>
      </dsp:nvSpPr>
      <dsp:spPr bwMode="white">
        <a:xfrm>
          <a:off x="897532" y="2246210"/>
          <a:ext cx="148352" cy="370881"/>
        </a:xfrm>
        <a:prstGeom prst="rect">
          <a:avLst/>
        </a:prstGeom>
      </dsp:spPr>
      <dsp:style>
        <a:lnRef idx="2">
          <a:schemeClr val="dk1">
            <a:shade val="80000"/>
          </a:schemeClr>
        </a:lnRef>
        <a:fillRef idx="1">
          <a:schemeClr val="lt1"/>
        </a:fillRef>
        <a:effectRef idx="0">
          <a:scrgbClr r="0" g="0" b="0"/>
        </a:effectRef>
        <a:fontRef idx="minor">
          <a:schemeClr val="lt1"/>
        </a:fontRef>
      </dsp:style>
      <dsp:txXfrm>
        <a:off x="897532" y="2246210"/>
        <a:ext cx="148352" cy="370881"/>
      </dsp:txXfrm>
    </dsp:sp>
    <dsp:sp>
      <dsp:nvSpPr>
        <dsp:cNvPr id="13" name="矩形 12" hidden="1"/>
        <dsp:cNvSpPr/>
      </dsp:nvSpPr>
      <dsp:spPr bwMode="white">
        <a:xfrm>
          <a:off x="1795063" y="2246210"/>
          <a:ext cx="148352" cy="370881"/>
        </a:xfrm>
        <a:prstGeom prst="rect">
          <a:avLst/>
        </a:prstGeom>
      </dsp:spPr>
      <dsp:style>
        <a:lnRef idx="2">
          <a:schemeClr val="dk1">
            <a:shade val="80000"/>
          </a:schemeClr>
        </a:lnRef>
        <a:fillRef idx="1">
          <a:schemeClr val="lt1"/>
        </a:fillRef>
        <a:effectRef idx="0">
          <a:scrgbClr r="0" g="0" b="0"/>
        </a:effectRef>
        <a:fontRef idx="minor">
          <a:schemeClr val="lt1"/>
        </a:fontRef>
      </dsp:style>
      <dsp:txXfrm>
        <a:off x="1795063" y="2246210"/>
        <a:ext cx="148352" cy="370881"/>
      </dsp:txXfrm>
    </dsp:sp>
    <dsp:sp>
      <dsp:nvSpPr>
        <dsp:cNvPr id="16" name="矩形 15" hidden="1"/>
        <dsp:cNvSpPr/>
      </dsp:nvSpPr>
      <dsp:spPr bwMode="white">
        <a:xfrm>
          <a:off x="448766" y="1719560"/>
          <a:ext cx="148352" cy="370881"/>
        </a:xfrm>
        <a:prstGeom prst="rect">
          <a:avLst/>
        </a:prstGeom>
      </dsp:spPr>
      <dsp:style>
        <a:lnRef idx="2">
          <a:schemeClr val="dk1">
            <a:shade val="80000"/>
          </a:schemeClr>
        </a:lnRef>
        <a:fillRef idx="1">
          <a:schemeClr val="lt1"/>
        </a:fillRef>
        <a:effectRef idx="0">
          <a:scrgbClr r="0" g="0" b="0"/>
        </a:effectRef>
        <a:fontRef idx="minor">
          <a:schemeClr val="lt1"/>
        </a:fontRef>
      </dsp:style>
      <dsp:txXfrm>
        <a:off x="448766" y="1719560"/>
        <a:ext cx="148352" cy="3708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rSet csTypeId="urn:microsoft.com/office/officeart/2005/8/colors/accent6_5"/>
        </dgm:pt>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rSet csTypeId="urn:microsoft.com/office/officeart/2005/8/colors/accent6_5"/>
        </dgm:pt>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rSet csTypeId="urn:microsoft.com/office/officeart/2005/8/colors/accent6_5"/>
        </dgm:pt>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3">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1">
        <a:scrgbClr r="0" g="0" b="0"/>
      </a:effectRef>
      <a:fontRef idx="minor">
        <a:schemeClr val="lt1"/>
      </a:fontRef>
    </dgm:style>
  </dgm:styleLbl>
  <dgm:styleLbl name="asst0">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3">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1">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3">
        <a:scrgbClr r="0" g="0" b="0"/>
      </a:lnRef>
      <a:fillRef idx="1">
        <a:scrgbClr r="0" g="0" b="0"/>
      </a:fillRef>
      <a:effectRef idx="1">
        <a:scrgbClr r="0" g="0" b="0"/>
      </a:effectRef>
      <a:fontRef idx="minor"/>
    </dgm:style>
  </dgm:styleLbl>
  <dgm:styleLbl name="fgShp">
    <dgm:scene3d>
      <a:camera prst="orthographicFront"/>
      <a:lightRig rig="threePt" dir="t"/>
    </dgm:scene3d>
    <dgm:txPr/>
    <dgm:style>
      <a:lnRef idx="3">
        <a:scrgbClr r="0" g="0" b="0"/>
      </a:lnRef>
      <a:fillRef idx="1">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0">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1">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3">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2017-05-14T02:05:00Z</dcterms:created>
  <dc:creator>Administrator</dc:creator>
  <cp:lastModifiedBy>Administrator</cp:lastModifiedBy>
  <dcterms:modified xsi:type="dcterms:W3CDTF">2017-06-07T13:18:16Z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