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sz w:val="30"/>
          <w:szCs w:val="30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kern w:val="0"/>
          <w:sz w:val="36"/>
          <w:szCs w:val="36"/>
          <w:lang w:val="en-US"/>
        </w:rPr>
      </w:pPr>
      <w:r>
        <w:rPr>
          <w:rFonts w:hint="eastAsia" w:ascii="黑体" w:hAnsi="宋体" w:eastAsia="黑体" w:cs="宋体"/>
          <w:kern w:val="0"/>
          <w:sz w:val="36"/>
          <w:szCs w:val="36"/>
          <w:lang w:val="en-US" w:eastAsia="zh-CN" w:bidi="ar"/>
        </w:rPr>
        <w:t>全国法院第三十四届学术讨论会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kern w:val="0"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36"/>
          <w:szCs w:val="36"/>
          <w:lang w:val="en-US" w:eastAsia="zh-CN" w:bidi="ar"/>
        </w:rPr>
        <w:t>一等奖论文公示名单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b/>
          <w:bCs w:val="0"/>
          <w:kern w:val="0"/>
          <w:sz w:val="36"/>
          <w:szCs w:val="36"/>
          <w:lang w:val="en-US"/>
        </w:rPr>
      </w:pPr>
      <w:r>
        <w:rPr>
          <w:rFonts w:hint="eastAsia" w:ascii="仿宋" w:hAnsi="仿宋" w:eastAsia="仿宋" w:cs="宋体"/>
          <w:b/>
          <w:bCs w:val="0"/>
          <w:kern w:val="0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" w:cs="Times New Roman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1.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人民法院信息化建设背景下审判质效评估的可比性优化进路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上海市第二中级人民法院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黄伯青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上海市第二中级人民法院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顾嘉旻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2.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附备位债权调解书的执行正当性之制度落实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200" w:firstLineChars="40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——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以审查与救济模式选择为视角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北京市大兴区人民法院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程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立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北京市大兴区人民法院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熊诗岚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3.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行贿案件审判中违法所得追缴的问题与对策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500" w:firstLineChars="50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——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以裁判文书网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300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份生效判决为研究样本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ab/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重庆市第一中级人民法院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刘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璐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重庆市第一中级人民法院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孟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颖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4.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判断之前何以判断：法官前见在案件事实认定中的偏差及消减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 xml:space="preserve">江苏省高级人民法院  张  龑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江苏省淮安市中级人民法院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左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霞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审视与平衡：刑事指导性案例司法适用的实践演绎与路径探寻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ab/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ab/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天津市河北区人民法院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张鑫鑫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走向伟大判决：裁判文书如何实现基于程序正义、实体正义的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“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表达正义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”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500" w:firstLineChars="50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——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基于对裁判文书文体之分析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北京知识产权法院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张忠涛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7.“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幽灵抗辩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”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司法应对路径探析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500" w:firstLineChars="50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——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以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172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个无罪辩护案件为研究对象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江西省永丰县人民法院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陈春英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江西省永丰县人民法院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赵文娟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8.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境外追赃有限引入资产分享制度的思辨与构建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500" w:firstLineChars="500"/>
        <w:jc w:val="left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——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以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“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超额利润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”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分享机制为镜鉴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湖南省益阳市赫山区人民法院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钟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婷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湖南省高级人民法院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李家成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240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9.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行贿罪类型化的建构与实践应用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2400" w:firstLine="1500" w:firstLineChars="50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——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以行贿行为的主动性为变量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               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河北省南和县人民法院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贠彦强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10.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自主、限制与平衡：诉前鉴定中审判权介入的谦抑性规则构建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四川省遂宁市中级人民法院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敖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强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四川省遂宁市中级人民法院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赵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锋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四川省遂宁市中级人民法院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刘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11.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程序的分配正义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500" w:firstLineChars="50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——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四级法院行政诉讼审理模式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“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同质化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”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之变革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江苏省南通市中级人民法院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殷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勤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江苏省南通市中级人民法院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谷昔伟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12.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破译司法裁判的备用密码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: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后果主义审判的实践困境及纾解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浙江省海宁市法学会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王建强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嘉兴学院文法学院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童建华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浙江省海宁市法学会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许志华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13.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检视与探索：刑事裁判在后续民事案件中既判力规则之厘清与再造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ab/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安徽省芜湖市鸠江区人民法院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冯韵东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14.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刑事裁判援引公序良俗的理论逻辑与论证规范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800" w:firstLineChars="60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——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基于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1356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件司法案件的分析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ab/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广东省广州市海珠区人民法院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杨佩霞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15.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非指导性案例类案回应规则探究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800" w:firstLineChars="60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——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基于庭审与裁判说理分流为视角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ab/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广西壮族自治区柳州市柳南区人民法院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熊文镇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16.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中级法院职能定位视野下二审独任制的适用流程强化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500" w:firstLineChars="50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——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以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“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漏斗分析法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”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下的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“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流失因素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”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规制为导向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河南省平顶山市中级人民法院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闫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宝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河南省平顶山市中级人民法院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宋红彦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河南省平顶山市中级人民法院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雷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东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17.“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补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”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不如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“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堵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”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：裁判文书质量校验与提升的路径探究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500" w:firstLineChars="50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——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以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957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份补正裁定及关联文书为考察对象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ab/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湖北省襄阳市中级人民法院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孙晓云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18.“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适度宽容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”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：量刑建议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“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明显不当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”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司法审查的标准厘定与规则构建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ab/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ab/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新疆维吾尔自治区高级人民法院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闫平超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北京市第三中级人民法院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蓝向东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北京市第三中级人民法院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方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19.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实质化解纠纷视角下预备合并之诉的适用路径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500" w:firstLineChars="50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——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以合同类案件的一次解纷为研究视角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ab/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福建省厦门市思明区人民法院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刘远萍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福建省厦门市思明区人民法院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黄丽婷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>20.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 xml:space="preserve">预展与纾困：博弈论视阈下当事人申请提级管辖机制的制度探索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北京市第二中级人民法院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李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雪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eastAsia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北京市第二中级人民法院</w:t>
      </w: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贾相力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"/>
          <w:sz w:val="30"/>
          <w:szCs w:val="30"/>
          <w:lang w:val="en-US"/>
        </w:rPr>
      </w:pPr>
      <w:r>
        <w:rPr>
          <w:rFonts w:hint="eastAsia" w:ascii="等线" w:hAnsi="等线" w:eastAsia="仿宋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051E7C"/>
    <w:multiLevelType w:val="multilevel"/>
    <w:tmpl w:val="17051E7C"/>
    <w:lvl w:ilvl="0" w:tentative="0">
      <w:start w:val="5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YTAyYzAzZjM2Y2ZmNTAxMjkyZmNhNTM0NGE1MTIifQ=="/>
    <w:docVar w:name="KSO_WPS_MARK_KEY" w:val="5b0a9a96-c3b8-42b7-a1f3-a8abb3c788ad"/>
  </w:docVars>
  <w:rsids>
    <w:rsidRoot w:val="49D07B64"/>
    <w:rsid w:val="022F0B42"/>
    <w:rsid w:val="04743058"/>
    <w:rsid w:val="264269DA"/>
    <w:rsid w:val="443D4C20"/>
    <w:rsid w:val="49D0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1211</Words>
  <Characters>1249</Characters>
  <Lines>0</Lines>
  <Paragraphs>0</Paragraphs>
  <TotalTime>23</TotalTime>
  <ScaleCrop>false</ScaleCrop>
  <LinksUpToDate>false</LinksUpToDate>
  <CharactersWithSpaces>1426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2022-12-22T07:21:00Z</dcterms:created>
  <dc:creator>张佚名</dc:creator>
  <cp:lastModifiedBy>yepzhao</cp:lastModifiedBy>
  <dcterms:modified xsi:type="dcterms:W3CDTF">2022-12-23T01:17:22Z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BC5D6812A5744B5C849C7256AC7B75FD</vt:lpwstr>
  </property>
</Properties>
</file>