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sz w:val="44"/>
          <w:szCs w:val="44"/>
          <w:lang w:val="en-US" w:eastAsia="zh-CN"/>
        </w:rPr>
      </w:pPr>
      <w:r>
        <w:rPr>
          <w:rFonts w:hint="eastAsia"/>
          <w:lang w:val="en-US" w:eastAsia="zh-CN"/>
        </w:rPr>
        <w:t xml:space="preserve">                 </w:t>
      </w:r>
      <w:r>
        <w:rPr>
          <w:rFonts w:hint="eastAsia"/>
          <w:sz w:val="44"/>
          <w:szCs w:val="44"/>
          <w:lang w:val="en-US" w:eastAsia="zh-CN"/>
        </w:rPr>
        <w:t>人权与国际人权法简说</w:t>
      </w:r>
    </w:p>
    <w:p>
      <w:pPr>
        <w:ind w:firstLine="880" w:firstLineChars="200"/>
        <w:rPr>
          <w:rFonts w:hint="eastAsia"/>
          <w:sz w:val="28"/>
          <w:szCs w:val="28"/>
          <w:lang w:val="en-US" w:eastAsia="zh-CN"/>
        </w:rPr>
      </w:pPr>
      <w:r>
        <w:rPr>
          <w:rFonts w:hint="eastAsia"/>
          <w:sz w:val="44"/>
          <w:szCs w:val="44"/>
          <w:lang w:val="en-US" w:eastAsia="zh-CN"/>
        </w:rPr>
        <w:t xml:space="preserve">                </w:t>
      </w:r>
      <w:r>
        <w:rPr>
          <w:rFonts w:hint="eastAsia"/>
          <w:sz w:val="28"/>
          <w:szCs w:val="28"/>
          <w:lang w:val="en-US" w:eastAsia="zh-CN"/>
        </w:rPr>
        <w:t>余孝安/文</w:t>
      </w:r>
    </w:p>
    <w:p>
      <w:pPr>
        <w:ind w:firstLine="560" w:firstLineChars="200"/>
        <w:rPr>
          <w:rFonts w:hint="eastAsia"/>
          <w:sz w:val="28"/>
          <w:szCs w:val="28"/>
          <w:lang w:val="en-US" w:eastAsia="zh-CN"/>
        </w:rPr>
      </w:pPr>
      <w:r>
        <w:rPr>
          <w:rFonts w:hint="eastAsia"/>
          <w:sz w:val="28"/>
          <w:szCs w:val="28"/>
          <w:lang w:val="en-US" w:eastAsia="zh-CN"/>
        </w:rPr>
        <w:t>国际形势风云变幻，人为灾难与自然灾害层出不穷，每到一个特殊形势下，人权就成为一个时期的炙手可热的“热词”走巷串户，</w:t>
      </w:r>
      <w:bookmarkStart w:id="0" w:name="_GoBack"/>
      <w:bookmarkEnd w:id="0"/>
      <w:r>
        <w:rPr>
          <w:rFonts w:hint="eastAsia"/>
          <w:sz w:val="28"/>
          <w:szCs w:val="28"/>
          <w:lang w:val="en-US" w:eastAsia="zh-CN"/>
        </w:rPr>
        <w:t>解读，标签，误读与正解泥沙俱下，为此国际法视野下的正读非常必要，笔者不妨抛砖引玉，正向作个概述，让“激情”回归“理性”。</w:t>
      </w:r>
    </w:p>
    <w:p>
      <w:pPr>
        <w:ind w:firstLine="560" w:firstLineChars="200"/>
        <w:rPr>
          <w:rFonts w:hint="eastAsia"/>
          <w:sz w:val="28"/>
          <w:szCs w:val="28"/>
          <w:lang w:val="en-US" w:eastAsia="zh-CN"/>
        </w:rPr>
      </w:pPr>
      <w:r>
        <w:rPr>
          <w:rFonts w:hint="eastAsia"/>
          <w:sz w:val="28"/>
          <w:szCs w:val="28"/>
          <w:lang w:val="en-US" w:eastAsia="zh-CN"/>
        </w:rPr>
        <w:t>人权的起源及国际人权法。古今中外，时代变换，政权更迭都与战争相随，与政治争斗，自然灾害互成，在人与社会互相依存的关系下，人是社会的主体，主体由个体向群体转化，群体之间的矛盾从原初的物质利益之争斗，发展到各种各样的利益冲突，自群体与地域结合界分，国家开始形成，利益争斗不断，战争层出不穷，世界各国概莫能外。政治集团内部纷争也不断发生。法律作为利益的护卫也因此而生。从国内法到国际法是因贸易和生存需要而生。在政治压迫中作为人本身固有的权利被摧残与剥夺，一二战期间，种族灭绝，酷刑，催生了国际人权法的型构，《联合国宪章》序言宣布“欲免后世再遭今代人类两度身历惨不堪言之战祸，重申基本人权，人格尊严与价值，以及男女与大小各国平等权利”。人权在一战前是各国国内法规定的概念，是指人所享有的基本权利，包括公民权利和政治权利，可追溯到1215年英国制定的《自由大宪章》。一战，特别是二战后，内涵得到扩张，不仅包括个人权利还包括集体权利，不仅包括人身权还包括财产权等比较广泛的权利。随着时代的进步，人权在进入国际视野，有了国际人权法。国际人权法，是指国际主体之间有关规定与保护人的基本权利和自由的原则、规则和制度的总称，据不完全统计宣言、决议、公约达70余个,其中的《联合国宪章》、《世界人权宣言》、《防止及惩办灭种罪公约》、《妇女政治权利公约》、《经济、社会、文化权利国际公约》、《公民及政治权利国际公约》等就是重要的国际法人权规范。</w:t>
      </w:r>
    </w:p>
    <w:p>
      <w:pPr>
        <w:ind w:firstLine="560" w:firstLineChars="200"/>
        <w:rPr>
          <w:rFonts w:hint="eastAsia"/>
          <w:sz w:val="28"/>
          <w:szCs w:val="28"/>
          <w:lang w:val="en-US" w:eastAsia="zh-CN"/>
        </w:rPr>
      </w:pPr>
      <w:r>
        <w:rPr>
          <w:rFonts w:hint="eastAsia"/>
          <w:sz w:val="28"/>
          <w:szCs w:val="28"/>
          <w:lang w:val="en-US" w:eastAsia="zh-CN"/>
        </w:rPr>
        <w:t>国际法人权的基本内容。根据国际法人权的集体与个人属性分为集体人权与个人基本权利和自由两类，对于集体人权可细分为自决权、发展权利，前者指外国奴役和殖民统治下的民族，有权决定其政治地位及自由从事其经济、社会与文化的发展，并摆脱殖民统治，建立民族独立国家的权利；后者指所有国家与民族有决定自由谋求他们的经济、社会和文化的权利。个人的基本权利和自由包括生存权、平等权、政治经济和文化权利与自由三大权利集合，生存权是指人民享有人身自由权和人身安全权，也称首要的人权，《世界人权宣言》第三条规定“人人享有生命、自由与人身安全”；平等权是指人在政治、经济、文化、社会各个方面享有平等权利，并履行平等的义务，民族、种族平等，男女平等；政治经济和文化权利与自由指直接与间接参与政事，人人享有思想、信仰自由，同工同酬、社会保障，任何人享有受教育的权利，并参加文化生活，享受科学进步及其应用所产生的利益。</w:t>
      </w:r>
    </w:p>
    <w:p>
      <w:pPr>
        <w:ind w:firstLine="560" w:firstLineChars="200"/>
        <w:rPr>
          <w:rFonts w:hint="eastAsia"/>
          <w:sz w:val="28"/>
          <w:szCs w:val="28"/>
          <w:lang w:val="en-US" w:eastAsia="zh-CN"/>
        </w:rPr>
      </w:pPr>
      <w:r>
        <w:rPr>
          <w:rFonts w:hint="eastAsia"/>
          <w:sz w:val="28"/>
          <w:szCs w:val="28"/>
          <w:lang w:val="en-US" w:eastAsia="zh-CN"/>
        </w:rPr>
        <w:t>人权的国际保护措施。一是通过规范性文件提供法律依据，《联合国宪章》及国家之间签订的国际性条约就是法律依据；二是建立保障机构或者国际人权保护的执行机构，根据《联合国宪章》设立的人权委员会是主要的机构，该机构的职责是专题研究，拟具建议和起草国际文书，调查关于侵犯人权的指控和处理来文等，其他还有根据人权公约设立的各种人权机构，如“人权事务委员会”、“消除种族歧视委员会”、“禁止酷刑委员会”、“儿童权利委员会”等，其职责来源各种国际条约，如人权事务委员会可以接受个人对国家及条约国之间的指控；三是实施程序，多数人权条约都规定了报告提交义务与审议报告的程序条款，和解制度，个人申诉制度等。对于违反国际法的行为，可追究其法律责任，包括国家责任与个人责任。国家不当行为是构成国家责任的前提，不当行为包括国家机关的行为、政府授权的实体、代表国家行使权利的行为、实际上代表国家行使权利的行为、别国或国际组织交由国家支配的机关行为、叛乱运动的机关行为、非代表国家行事的人的行为等，判断是否不当的标准是该项行为是否违背国际义务。对于国家不当行为根据其性质可分为一般的国际不当行为和国际罪行。国际罪行是违背国际社会的根本利益，如违背，禁止侵略的义务、禁止武力建立或维持殖民统治的义务、禁止奴隶制度、种族灭绝、种族隔离的义务、禁止大规模污染大气层或海洋的义务等，判断法理依据主要采用结果责任说，特殊情形可结合过失的主观要素进行考量。国际不当行为在一定条件下可以免除，如受害主体同意、对抗措施、不可抗力和偶然因素、危难与紧急状态情形，但是对于同意这种情形必须限制在不违背国际法的基本原则为前提。国际法责任的形式有限制主权、恢复原状、赔偿损失、道歉、刑事责任。</w:t>
      </w:r>
    </w:p>
    <w:p>
      <w:pPr>
        <w:ind w:firstLine="560" w:firstLineChars="200"/>
        <w:rPr>
          <w:rFonts w:hint="eastAsia"/>
          <w:sz w:val="28"/>
          <w:szCs w:val="28"/>
          <w:lang w:val="en-US" w:eastAsia="zh-CN"/>
        </w:rPr>
      </w:pPr>
      <w:r>
        <w:rPr>
          <w:rFonts w:hint="eastAsia"/>
          <w:sz w:val="28"/>
          <w:szCs w:val="28"/>
          <w:lang w:val="en-US" w:eastAsia="zh-CN"/>
        </w:rPr>
        <w:t>国际争端在人道主义思想指导下的解决方法。国际争端是国家在其国际关系上发生的争端。国际关系范围广泛，有经济关系、政治关系、文化关系和法律关系。解决争端的方法分为非强制方法和强制方法，前者有谈判、斡旋、调停、和解和国际调查方法，后者有仲裁和司法方法、战争方法，其他的反暴、报复、平时封锁、干涉等也是解决争端的形式。仲裁和司法方法是重要的国际争端解决方法。仲裁是当事国自愿接受的一种法律程序，国际仲裁法庭根据仲裁协定规定，各自选择仲裁员组成仲裁法庭进行裁决，仲裁所适用的法律由双方的协定确定，没有确定的由法庭确定适用的法律和制定的程序。仲裁实行一裁终裁制。司法解决是当事国自愿接受的基础上将争端交由一个国际法院或法庭，由法院或法庭进行审理与裁判的方法。法官是选举产生的，法院或法庭是固定的，如联合国的国际法院，适用的法律是国际法的内容。对于战争解决争端的方法争议比较大，战争是国家之间的武装冲突所造成的法律状态。传统国际法认为战争是国家之间解决国际争端的强制手段之一，但是随着国际法的发展战争受到限制，1919年6月28日订立的《国际联盟盟约》在序言中规定“……保持和平与安全起见，特允承受不从事战争之义务”，《巴黎非战公约》也有类似规定，《联合国宪章》规定“非为公共利益，不得使用武力”，《联合国宪章》规定使用武力只有两种情况，一是自卫；二是制止侵略行为，涉及战争的条约有三十多个，很多公约都涉及人权的保护条款及侵犯人权的法律责任，如《关于战俘待遇的日内瓦公约》、《关于战时保护平民的日内瓦公约》、《禁止使用核及热核武器宣言》、《关于侦察、逮捕、引渡和惩治战争犯罪和危害人类罪犯的国际合作原则》、《联合国禁止或限制使用某些可被认为具有过分伤害力或滥杀滥伤作用的常规武器会议最后文件》、《禁止化学武器公约》等对人权问题的规定都比较细致，如《陆战法规和惯例》规定，自愿军享有与被支援国正规武装部队同样的合法地位，享受同样的待遇，被俘后同样享受战俘待遇。发动战争在现代国际法上认为是犯罪行为，并以破坏和平罪、战争罪、反人道罪承担责任。主体上不仅发动战争的国家要承担国家责任，对于发动战争的重要成员及其他滥杀平民与战俘的指战员还要追究个人的刑事责任。如二次世界大战结束后，就按国际法规定组织了纽伦堡法庭及东京远东国际军事法庭，分别对戈林等12人判处绞刑、宣布纳粹党领导机构、秘密警察、党卫军为犯罪组织，对东条英机等7人判处绞刑，相应的国家也受到了限制主权等制裁。</w:t>
      </w:r>
    </w:p>
    <w:p>
      <w:pPr>
        <w:ind w:firstLine="560" w:firstLineChars="200"/>
        <w:rPr>
          <w:rFonts w:hint="default"/>
          <w:sz w:val="28"/>
          <w:szCs w:val="28"/>
          <w:lang w:val="en-US" w:eastAsia="zh-CN"/>
        </w:rPr>
      </w:pPr>
      <w:r>
        <w:rPr>
          <w:rFonts w:hint="eastAsia"/>
          <w:sz w:val="28"/>
          <w:szCs w:val="28"/>
          <w:lang w:val="en-US" w:eastAsia="zh-CN"/>
        </w:rPr>
        <w:t>作者：余孝安，高级法官，中国法学会会员，单位重庆市丰都县人民法院，联系电话13372770237，邮政编码408200，身份证号码512324196508230437.银行卡号，中国农业银行6228430477000215377.</w:t>
      </w:r>
    </w:p>
    <w:p>
      <w:pPr>
        <w:ind w:firstLine="560" w:firstLineChars="200"/>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E5DE3"/>
    <w:rsid w:val="06C2671D"/>
    <w:rsid w:val="10EB3ADF"/>
    <w:rsid w:val="172812F7"/>
    <w:rsid w:val="1DA67E6C"/>
    <w:rsid w:val="1EEE5DE3"/>
    <w:rsid w:val="32514E01"/>
    <w:rsid w:val="5B397064"/>
    <w:rsid w:val="6E1B6F5D"/>
    <w:rsid w:val="73B007CA"/>
    <w:rsid w:val="74E94CF9"/>
    <w:rsid w:val="7AD35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2022-03-05T09:46:00Z</dcterms:created>
  <dc:creator>Administrator</dc:creator>
  <cp:lastModifiedBy>Administrator</cp:lastModifiedBy>
  <dcterms:modified xsi:type="dcterms:W3CDTF">2022-03-09T12:54:48Z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