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0" w:firstLineChars="300"/>
        <w:rPr>
          <w:rFonts w:hint="eastAsia" w:ascii="黑体" w:hAnsi="黑体" w:eastAsia="黑体" w:cs="黑体"/>
          <w:sz w:val="32"/>
          <w:szCs w:val="32"/>
          <w:lang w:eastAsia="zh-CN"/>
        </w:rPr>
      </w:pPr>
      <w:r>
        <w:rPr>
          <w:rFonts w:hint="eastAsia" w:ascii="黑体" w:hAnsi="黑体" w:eastAsia="黑体" w:cs="黑体"/>
          <w:sz w:val="32"/>
          <w:szCs w:val="32"/>
          <w:lang w:eastAsia="zh-CN"/>
        </w:rPr>
        <w:t>人才培养的战术考量：</w:t>
      </w:r>
    </w:p>
    <w:p>
      <w:pPr>
        <w:ind w:firstLine="1280" w:firstLineChars="400"/>
        <w:rPr>
          <w:rFonts w:hint="eastAsia" w:ascii="黑体" w:hAnsi="黑体" w:eastAsia="黑体" w:cs="黑体"/>
          <w:sz w:val="32"/>
          <w:szCs w:val="32"/>
          <w:lang w:eastAsia="zh-CN"/>
        </w:rPr>
      </w:pPr>
      <w:r>
        <w:rPr>
          <w:rFonts w:hint="eastAsia" w:ascii="黑体" w:hAnsi="黑体" w:eastAsia="黑体" w:cs="黑体"/>
          <w:sz w:val="32"/>
          <w:szCs w:val="32"/>
          <w:lang w:eastAsia="zh-CN"/>
        </w:rPr>
        <w:t>以基础教育与高端人才培养对接为视角的考察</w:t>
      </w:r>
    </w:p>
    <w:p>
      <w:pPr>
        <w:ind w:firstLine="1280" w:firstLineChars="4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rPr>
          <w:rFonts w:hint="eastAsia"/>
          <w:sz w:val="28"/>
          <w:szCs w:val="28"/>
          <w:lang w:val="en-US" w:eastAsia="zh-CN"/>
        </w:rPr>
      </w:pPr>
      <w:r>
        <w:rPr>
          <w:rFonts w:hint="eastAsia" w:ascii="黑体" w:hAnsi="黑体" w:eastAsia="黑体" w:cs="黑体"/>
          <w:sz w:val="28"/>
          <w:szCs w:val="28"/>
          <w:lang w:val="en-US" w:eastAsia="zh-CN"/>
        </w:rPr>
        <w:t>摘要：</w:t>
      </w:r>
      <w:r>
        <w:rPr>
          <w:rFonts w:hint="eastAsia"/>
          <w:sz w:val="28"/>
          <w:szCs w:val="28"/>
          <w:lang w:val="en-US" w:eastAsia="zh-CN"/>
        </w:rPr>
        <w:t>发展尖端技术产业，生态农林产业等工农业及旅游文化业体系是我国高质量的要求，实现上述发展靠的人才战略，人才战略应当从基础教育着手，基础教育应当在机会平等下，考量学生综合素质的差异性，进行分层次教学，实现基础教育向职业高等教育与高尖端人才高等教育两个方向对接，这样才能满足我国经济高质量发展阶段的需求。</w:t>
      </w:r>
    </w:p>
    <w:p>
      <w:pPr>
        <w:rPr>
          <w:rFonts w:hint="eastAsia"/>
          <w:sz w:val="28"/>
          <w:szCs w:val="28"/>
          <w:lang w:val="en-US" w:eastAsia="zh-CN"/>
        </w:rPr>
      </w:pPr>
      <w:r>
        <w:rPr>
          <w:rFonts w:hint="eastAsia"/>
          <w:sz w:val="28"/>
          <w:szCs w:val="28"/>
          <w:lang w:val="en-US" w:eastAsia="zh-CN"/>
        </w:rPr>
        <w:t>关键词：基础教育 分层次教学 教育对接 高尖端人才培养</w:t>
      </w:r>
    </w:p>
    <w:p>
      <w:pPr>
        <w:rPr>
          <w:rFonts w:hint="eastAsia"/>
          <w:sz w:val="28"/>
          <w:szCs w:val="28"/>
          <w:lang w:val="en-US" w:eastAsia="zh-CN"/>
        </w:rPr>
      </w:pPr>
    </w:p>
    <w:p>
      <w:pPr>
        <w:rPr>
          <w:rFonts w:hint="eastAsia"/>
          <w:sz w:val="28"/>
          <w:szCs w:val="28"/>
          <w:lang w:val="en-US" w:eastAsia="zh-CN"/>
        </w:rPr>
      </w:pPr>
      <w:r>
        <w:rPr>
          <w:rFonts w:hint="eastAsia"/>
          <w:lang w:val="en-US" w:eastAsia="zh-CN"/>
        </w:rPr>
        <w:t xml:space="preserve">                                </w:t>
      </w:r>
      <w:r>
        <w:rPr>
          <w:rFonts w:hint="eastAsia"/>
          <w:sz w:val="28"/>
          <w:szCs w:val="28"/>
          <w:lang w:val="en-US" w:eastAsia="zh-CN"/>
        </w:rPr>
        <w:t>引  言</w:t>
      </w:r>
    </w:p>
    <w:p>
      <w:pPr>
        <w:ind w:firstLine="560" w:firstLineChars="200"/>
        <w:rPr>
          <w:rFonts w:hint="eastAsia"/>
          <w:sz w:val="28"/>
          <w:szCs w:val="28"/>
          <w:lang w:val="en-US" w:eastAsia="zh-CN"/>
        </w:rPr>
      </w:pPr>
      <w:r>
        <w:rPr>
          <w:rFonts w:hint="eastAsia"/>
          <w:sz w:val="28"/>
          <w:szCs w:val="28"/>
          <w:lang w:val="en-US" w:eastAsia="zh-CN"/>
        </w:rPr>
        <w:t>“我国经济已由高速增长阶段转向高质量发展阶段，正处在转变发展方式、优化经济结构、转换增长动力的攻关期，建设现代化经济体系是跨越关口的迫切要求和我国发展的战略目标。”</w:t>
      </w:r>
      <w:r>
        <w:rPr>
          <w:rStyle w:val="4"/>
          <w:rFonts w:hint="eastAsia"/>
          <w:sz w:val="28"/>
          <w:szCs w:val="28"/>
          <w:lang w:val="en-US" w:eastAsia="zh-CN"/>
        </w:rPr>
        <w:footnoteReference w:id="0"/>
      </w:r>
      <w:r>
        <w:rPr>
          <w:rFonts w:hint="eastAsia"/>
          <w:sz w:val="28"/>
          <w:szCs w:val="28"/>
          <w:lang w:val="en-US" w:eastAsia="zh-CN"/>
        </w:rPr>
        <w:t>，要实现现代经济体系目标，靠过去的人口红利，低端量大的制造业及庞大的土地产业无法实现这个目标，只能靠发展尖端技术产业，生态农林产业等健康协调的工农业及旅游文化业发展体系，才能实现我国的战略目标。而实现以上目标最核心的就是培养出一大批各行各业的高尖端技术人才，如何才能培养出一批高尖端技术人才呢，这就要靠教育，“教育是科技生产力与人才资源的重要结合点。”，</w:t>
      </w:r>
      <w:r>
        <w:rPr>
          <w:rStyle w:val="4"/>
          <w:rFonts w:hint="eastAsia"/>
          <w:sz w:val="28"/>
          <w:szCs w:val="28"/>
          <w:lang w:val="en-US" w:eastAsia="zh-CN"/>
        </w:rPr>
        <w:footnoteReference w:id="1"/>
      </w:r>
      <w:r>
        <w:rPr>
          <w:rFonts w:hint="eastAsia"/>
          <w:sz w:val="28"/>
          <w:szCs w:val="28"/>
          <w:lang w:val="en-US" w:eastAsia="zh-CN"/>
        </w:rPr>
        <w:t>首先要让基础教育与高等教育形成一个协调的体系；其次是改变教育的考核标准，改变教育的方式方法。本文以实证的方法围绕上述问题展开研究。</w:t>
      </w:r>
    </w:p>
    <w:p>
      <w:pPr>
        <w:numPr>
          <w:ilvl w:val="0"/>
          <w:numId w:val="1"/>
        </w:numPr>
        <w:ind w:firstLine="560" w:firstLineChars="200"/>
        <w:rPr>
          <w:rFonts w:hint="eastAsia"/>
          <w:sz w:val="28"/>
          <w:szCs w:val="28"/>
          <w:lang w:val="en-US" w:eastAsia="zh-CN"/>
        </w:rPr>
      </w:pPr>
      <w:r>
        <w:rPr>
          <w:rFonts w:hint="eastAsia"/>
          <w:sz w:val="28"/>
          <w:szCs w:val="28"/>
          <w:lang w:val="en-US" w:eastAsia="zh-CN"/>
        </w:rPr>
        <w:t>问题引入：从实证出发</w:t>
      </w:r>
    </w:p>
    <w:p>
      <w:pPr>
        <w:numPr>
          <w:ilvl w:val="0"/>
          <w:numId w:val="2"/>
        </w:numPr>
        <w:ind w:left="560" w:leftChars="0" w:firstLine="0" w:firstLineChars="0"/>
        <w:rPr>
          <w:rFonts w:hint="eastAsia"/>
          <w:sz w:val="28"/>
          <w:szCs w:val="28"/>
          <w:lang w:val="en-US" w:eastAsia="zh-CN"/>
        </w:rPr>
      </w:pPr>
      <w:r>
        <w:rPr>
          <w:rFonts w:hint="eastAsia"/>
          <w:sz w:val="28"/>
          <w:szCs w:val="28"/>
          <w:lang w:val="en-US" w:eastAsia="zh-CN"/>
        </w:rPr>
        <w:t>基础教育的现实</w:t>
      </w:r>
    </w:p>
    <w:p>
      <w:pPr>
        <w:numPr>
          <w:ilvl w:val="0"/>
          <w:numId w:val="0"/>
        </w:numPr>
        <w:ind w:firstLine="560" w:firstLineChars="200"/>
        <w:rPr>
          <w:rFonts w:hint="eastAsia"/>
          <w:sz w:val="28"/>
          <w:szCs w:val="28"/>
          <w:lang w:val="en-US" w:eastAsia="zh-CN"/>
        </w:rPr>
      </w:pPr>
      <w:r>
        <w:rPr>
          <w:rFonts w:hint="eastAsia"/>
          <w:sz w:val="28"/>
          <w:szCs w:val="28"/>
          <w:lang w:val="en-US" w:eastAsia="zh-CN"/>
        </w:rPr>
        <w:t>为了考察现有学生素质及教学中普遍存在的问题，笔者在A县任意选择了两所中学，并对其中的225名学生及60名教师进行了问卷调查，问卷调查的情况汇总表见图表一、二。</w:t>
      </w:r>
    </w:p>
    <w:p>
      <w:pPr>
        <w:ind w:firstLine="2800" w:firstLineChars="1000"/>
        <w:rPr>
          <w:rFonts w:hint="eastAsia"/>
          <w:sz w:val="28"/>
          <w:szCs w:val="28"/>
          <w:lang w:val="en-US" w:eastAsia="zh-CN"/>
        </w:rPr>
      </w:pPr>
      <w:r>
        <w:rPr>
          <w:rFonts w:hint="eastAsia"/>
          <w:sz w:val="28"/>
          <w:szCs w:val="28"/>
          <w:lang w:val="en-US" w:eastAsia="zh-CN"/>
        </w:rPr>
        <w:t xml:space="preserve">  </w:t>
      </w:r>
    </w:p>
    <w:p>
      <w:pPr>
        <w:ind w:firstLine="2800" w:firstLineChars="1000"/>
        <w:rPr>
          <w:rFonts w:hint="eastAsia"/>
          <w:sz w:val="28"/>
          <w:szCs w:val="28"/>
          <w:lang w:val="en-US" w:eastAsia="zh-CN"/>
        </w:rPr>
      </w:pPr>
    </w:p>
    <w:p>
      <w:pPr>
        <w:ind w:firstLine="2400" w:firstLineChars="1000"/>
        <w:rPr>
          <w:rFonts w:hint="eastAsia"/>
          <w:sz w:val="24"/>
          <w:szCs w:val="24"/>
          <w:lang w:eastAsia="zh-CN"/>
        </w:rPr>
      </w:pPr>
      <w:r>
        <w:rPr>
          <w:rFonts w:hint="eastAsia"/>
          <w:sz w:val="24"/>
          <w:szCs w:val="24"/>
          <w:lang w:eastAsia="zh-CN"/>
        </w:rPr>
        <w:t>学生素质情况调查表（图表一）</w:t>
      </w:r>
    </w:p>
    <w:tbl>
      <w:tblPr>
        <w:tblStyle w:val="6"/>
        <w:tblpPr w:leftFromText="180" w:rightFromText="180" w:vertAnchor="text" w:horzAnchor="page" w:tblpX="1822" w:tblpY="-1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89"/>
        <w:gridCol w:w="330"/>
        <w:gridCol w:w="383"/>
        <w:gridCol w:w="307"/>
        <w:gridCol w:w="300"/>
        <w:gridCol w:w="395"/>
        <w:gridCol w:w="310"/>
        <w:gridCol w:w="330"/>
        <w:gridCol w:w="362"/>
        <w:gridCol w:w="298"/>
        <w:gridCol w:w="330"/>
        <w:gridCol w:w="374"/>
        <w:gridCol w:w="316"/>
        <w:gridCol w:w="360"/>
        <w:gridCol w:w="328"/>
        <w:gridCol w:w="332"/>
        <w:gridCol w:w="315"/>
        <w:gridCol w:w="357"/>
        <w:gridCol w:w="348"/>
        <w:gridCol w:w="330"/>
        <w:gridCol w:w="324"/>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1002" w:type="dxa"/>
            <w:vMerge w:val="restart"/>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mc:AlternateContent>
                <mc:Choice Requires="wpsCustomData">
                  <wpsCustomData:diagonalParaType/>
                </mc:Choice>
              </mc:AlternateContent>
              <w:rPr>
                <w:rFonts w:hint="eastAsia"/>
                <w:vertAlign w:val="baseline"/>
                <w:lang w:val="en-US" w:eastAsia="zh-CN"/>
              </w:rPr>
            </w:pPr>
            <w:r>
              <w:rPr>
                <w:rFonts w:hint="eastAsia"/>
                <w:vertAlign w:val="baseline"/>
                <w:lang w:val="en-US" w:eastAsia="zh-CN"/>
              </w:rPr>
              <w:t>学生</w:t>
            </w:r>
          </w:p>
          <w:p>
            <w:pPr>
              <w:rPr>
                <w:rFonts w:hint="eastAsia"/>
                <w:vertAlign w:val="baseline"/>
                <w:lang w:val="en-US" w:eastAsia="zh-CN"/>
              </w:rPr>
            </w:pPr>
            <w:r>
              <w:rPr>
                <w:rFonts w:hint="eastAsia"/>
                <w:vertAlign w:val="baseline"/>
                <w:lang w:val="en-US" w:eastAsia="zh-CN"/>
              </w:rPr>
              <w:t>能力</w:t>
            </w:r>
          </w:p>
          <w:p>
            <w:pPr>
              <w:rPr>
                <w:rFonts w:hint="eastAsia"/>
                <w:vertAlign w:val="baseline"/>
                <w:lang w:val="en-US" w:eastAsia="zh-CN"/>
              </w:rPr>
            </w:pPr>
            <w:r>
              <w:rPr>
                <w:rFonts w:hint="eastAsia"/>
                <w:vertAlign w:val="baseline"/>
                <w:lang w:val="en-US" w:eastAsia="zh-CN"/>
              </w:rPr>
              <w:t>表现</w:t>
            </w:r>
          </w:p>
          <w:p>
            <w:pPr>
              <w:rPr>
                <w:rFonts w:hint="eastAsia"/>
                <w:vertAlign w:val="baseline"/>
                <w:lang w:val="en-US" w:eastAsia="zh-CN"/>
              </w:rPr>
            </w:pPr>
          </w:p>
        </w:tc>
        <w:tc>
          <w:tcPr>
            <w:tcW w:w="1002" w:type="dxa"/>
            <w:gridSpan w:val="3"/>
          </w:tcPr>
          <w:p>
            <w:pPr>
              <w:rPr>
                <w:rFonts w:hint="eastAsia"/>
                <w:vertAlign w:val="baseline"/>
                <w:lang w:val="en-US" w:eastAsia="zh-CN"/>
              </w:rPr>
            </w:pPr>
            <w:r>
              <w:rPr>
                <w:rFonts w:hint="eastAsia"/>
                <w:vertAlign w:val="baseline"/>
                <w:lang w:val="en-US" w:eastAsia="zh-CN"/>
              </w:rPr>
              <w:t>平时成绩</w:t>
            </w:r>
          </w:p>
        </w:tc>
        <w:tc>
          <w:tcPr>
            <w:tcW w:w="1002" w:type="dxa"/>
            <w:gridSpan w:val="3"/>
          </w:tcPr>
          <w:p>
            <w:pPr>
              <w:rPr>
                <w:rFonts w:hint="eastAsia"/>
                <w:vertAlign w:val="baseline"/>
                <w:lang w:val="en-US" w:eastAsia="zh-CN"/>
              </w:rPr>
            </w:pPr>
            <w:r>
              <w:rPr>
                <w:rFonts w:hint="eastAsia"/>
                <w:vertAlign w:val="baseline"/>
                <w:lang w:val="en-US" w:eastAsia="zh-CN"/>
              </w:rPr>
              <w:t>记忆力</w:t>
            </w:r>
          </w:p>
        </w:tc>
        <w:tc>
          <w:tcPr>
            <w:tcW w:w="1002" w:type="dxa"/>
            <w:gridSpan w:val="3"/>
          </w:tcPr>
          <w:p>
            <w:pPr>
              <w:rPr>
                <w:rFonts w:hint="eastAsia"/>
                <w:vertAlign w:val="baseline"/>
                <w:lang w:val="en-US" w:eastAsia="zh-CN"/>
              </w:rPr>
            </w:pPr>
            <w:r>
              <w:rPr>
                <w:rFonts w:hint="eastAsia"/>
                <w:vertAlign w:val="baseline"/>
                <w:lang w:val="en-US" w:eastAsia="zh-CN"/>
              </w:rPr>
              <w:t>自控力</w:t>
            </w:r>
          </w:p>
        </w:tc>
        <w:tc>
          <w:tcPr>
            <w:tcW w:w="1002" w:type="dxa"/>
            <w:gridSpan w:val="3"/>
          </w:tcPr>
          <w:p>
            <w:pPr>
              <w:rPr>
                <w:rFonts w:hint="eastAsia"/>
                <w:vertAlign w:val="baseline"/>
                <w:lang w:val="en-US" w:eastAsia="zh-CN"/>
              </w:rPr>
            </w:pPr>
            <w:r>
              <w:rPr>
                <w:rFonts w:hint="eastAsia"/>
                <w:vertAlign w:val="baseline"/>
                <w:lang w:val="en-US" w:eastAsia="zh-CN"/>
              </w:rPr>
              <w:t>应变能力</w:t>
            </w:r>
          </w:p>
        </w:tc>
        <w:tc>
          <w:tcPr>
            <w:tcW w:w="1004" w:type="dxa"/>
            <w:gridSpan w:val="3"/>
          </w:tcPr>
          <w:p>
            <w:pPr>
              <w:rPr>
                <w:rFonts w:hint="eastAsia"/>
                <w:vertAlign w:val="baseline"/>
                <w:lang w:val="en-US" w:eastAsia="zh-CN"/>
              </w:rPr>
            </w:pPr>
            <w:r>
              <w:rPr>
                <w:rFonts w:hint="eastAsia"/>
                <w:vertAlign w:val="baseline"/>
                <w:lang w:val="en-US" w:eastAsia="zh-CN"/>
              </w:rPr>
              <w:t>逻辑思维能力</w:t>
            </w:r>
          </w:p>
        </w:tc>
        <w:tc>
          <w:tcPr>
            <w:tcW w:w="1004" w:type="dxa"/>
            <w:gridSpan w:val="3"/>
          </w:tcPr>
          <w:p>
            <w:pPr>
              <w:rPr>
                <w:rFonts w:hint="eastAsia"/>
                <w:lang w:val="en-US" w:eastAsia="zh-CN"/>
              </w:rPr>
            </w:pPr>
            <w:r>
              <w:rPr>
                <w:rFonts w:hint="eastAsia"/>
                <w:lang w:val="en-US" w:eastAsia="zh-CN"/>
              </w:rPr>
              <w:t>形象思维能力</w:t>
            </w:r>
          </w:p>
        </w:tc>
        <w:tc>
          <w:tcPr>
            <w:tcW w:w="1002" w:type="dxa"/>
            <w:gridSpan w:val="3"/>
          </w:tcPr>
          <w:p>
            <w:pPr>
              <w:rPr>
                <w:rFonts w:hint="eastAsia"/>
                <w:vertAlign w:val="baseline"/>
                <w:lang w:val="en-US" w:eastAsia="zh-CN"/>
              </w:rPr>
            </w:pPr>
            <w:r>
              <w:rPr>
                <w:rFonts w:hint="eastAsia"/>
                <w:vertAlign w:val="baseline"/>
                <w:lang w:val="en-US" w:eastAsia="zh-CN"/>
              </w:rPr>
              <w:t>反向思维能力</w:t>
            </w:r>
          </w:p>
        </w:tc>
        <w:tc>
          <w:tcPr>
            <w:tcW w:w="500" w:type="dxa"/>
          </w:tcPr>
          <w:p>
            <w:pPr>
              <w:rPr>
                <w:rFonts w:hint="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002" w:type="dxa"/>
            <w:vMerge w:val="continue"/>
          </w:tcPr>
          <w:p>
            <w:pPr>
              <w:rPr>
                <w:rFonts w:hint="eastAsia"/>
                <w:vertAlign w:val="baseline"/>
                <w:lang w:val="en-US" w:eastAsia="zh-CN"/>
              </w:rPr>
            </w:pPr>
          </w:p>
        </w:tc>
        <w:tc>
          <w:tcPr>
            <w:tcW w:w="289" w:type="dxa"/>
          </w:tcPr>
          <w:p>
            <w:pPr>
              <w:rPr>
                <w:rFonts w:hint="eastAsia"/>
                <w:vertAlign w:val="baseline"/>
                <w:lang w:val="en-US" w:eastAsia="zh-CN"/>
              </w:rPr>
            </w:pPr>
            <w:r>
              <w:rPr>
                <w:rFonts w:hint="eastAsia"/>
                <w:vertAlign w:val="baseline"/>
                <w:lang w:val="en-US" w:eastAsia="zh-CN"/>
              </w:rPr>
              <w:t>优秀</w:t>
            </w:r>
          </w:p>
        </w:tc>
        <w:tc>
          <w:tcPr>
            <w:tcW w:w="330" w:type="dxa"/>
          </w:tcPr>
          <w:p>
            <w:pPr>
              <w:rPr>
                <w:rFonts w:hint="eastAsia"/>
                <w:vertAlign w:val="baseline"/>
                <w:lang w:val="en-US" w:eastAsia="zh-CN"/>
              </w:rPr>
            </w:pPr>
            <w:r>
              <w:rPr>
                <w:rFonts w:hint="eastAsia"/>
                <w:vertAlign w:val="baseline"/>
                <w:lang w:val="en-US" w:eastAsia="zh-CN"/>
              </w:rPr>
              <w:t>良好</w:t>
            </w:r>
          </w:p>
        </w:tc>
        <w:tc>
          <w:tcPr>
            <w:tcW w:w="383" w:type="dxa"/>
          </w:tcPr>
          <w:p>
            <w:pPr>
              <w:rPr>
                <w:rFonts w:hint="eastAsia"/>
                <w:vertAlign w:val="baseline"/>
                <w:lang w:val="en-US" w:eastAsia="zh-CN"/>
              </w:rPr>
            </w:pPr>
            <w:r>
              <w:rPr>
                <w:rFonts w:hint="eastAsia"/>
                <w:vertAlign w:val="baseline"/>
                <w:lang w:val="en-US" w:eastAsia="zh-CN"/>
              </w:rPr>
              <w:t>及格</w:t>
            </w:r>
          </w:p>
        </w:tc>
        <w:tc>
          <w:tcPr>
            <w:tcW w:w="307" w:type="dxa"/>
          </w:tcPr>
          <w:p>
            <w:pPr>
              <w:rPr>
                <w:rFonts w:hint="eastAsia"/>
                <w:vertAlign w:val="baseline"/>
                <w:lang w:val="en-US" w:eastAsia="zh-CN"/>
              </w:rPr>
            </w:pPr>
            <w:r>
              <w:rPr>
                <w:rFonts w:hint="eastAsia"/>
                <w:vertAlign w:val="baseline"/>
                <w:lang w:val="en-US" w:eastAsia="zh-CN"/>
              </w:rPr>
              <w:t>优秀</w:t>
            </w:r>
          </w:p>
        </w:tc>
        <w:tc>
          <w:tcPr>
            <w:tcW w:w="300" w:type="dxa"/>
          </w:tcPr>
          <w:p>
            <w:pPr>
              <w:rPr>
                <w:rFonts w:hint="eastAsia"/>
                <w:vertAlign w:val="baseline"/>
                <w:lang w:val="en-US" w:eastAsia="zh-CN"/>
              </w:rPr>
            </w:pPr>
            <w:r>
              <w:rPr>
                <w:rFonts w:hint="eastAsia"/>
                <w:vertAlign w:val="baseline"/>
                <w:lang w:val="en-US" w:eastAsia="zh-CN"/>
              </w:rPr>
              <w:t>良好</w:t>
            </w:r>
          </w:p>
        </w:tc>
        <w:tc>
          <w:tcPr>
            <w:tcW w:w="395" w:type="dxa"/>
          </w:tcPr>
          <w:p>
            <w:pPr>
              <w:rPr>
                <w:rFonts w:hint="eastAsia"/>
                <w:vertAlign w:val="baseline"/>
                <w:lang w:val="en-US" w:eastAsia="zh-CN"/>
              </w:rPr>
            </w:pPr>
            <w:r>
              <w:rPr>
                <w:rFonts w:hint="eastAsia"/>
                <w:vertAlign w:val="baseline"/>
                <w:lang w:val="en-US" w:eastAsia="zh-CN"/>
              </w:rPr>
              <w:t>及格</w:t>
            </w:r>
          </w:p>
        </w:tc>
        <w:tc>
          <w:tcPr>
            <w:tcW w:w="310" w:type="dxa"/>
          </w:tcPr>
          <w:p>
            <w:pPr>
              <w:rPr>
                <w:rFonts w:hint="eastAsia"/>
                <w:vertAlign w:val="baseline"/>
                <w:lang w:val="en-US" w:eastAsia="zh-CN"/>
              </w:rPr>
            </w:pPr>
            <w:r>
              <w:rPr>
                <w:rFonts w:hint="eastAsia"/>
                <w:vertAlign w:val="baseline"/>
                <w:lang w:val="en-US" w:eastAsia="zh-CN"/>
              </w:rPr>
              <w:t>优秀</w:t>
            </w:r>
          </w:p>
        </w:tc>
        <w:tc>
          <w:tcPr>
            <w:tcW w:w="330" w:type="dxa"/>
          </w:tcPr>
          <w:p>
            <w:pPr>
              <w:rPr>
                <w:rFonts w:hint="eastAsia"/>
                <w:vertAlign w:val="baseline"/>
                <w:lang w:val="en-US" w:eastAsia="zh-CN"/>
              </w:rPr>
            </w:pPr>
            <w:r>
              <w:rPr>
                <w:rFonts w:hint="eastAsia"/>
                <w:vertAlign w:val="baseline"/>
                <w:lang w:val="en-US" w:eastAsia="zh-CN"/>
              </w:rPr>
              <w:t>良好</w:t>
            </w:r>
          </w:p>
        </w:tc>
        <w:tc>
          <w:tcPr>
            <w:tcW w:w="362" w:type="dxa"/>
          </w:tcPr>
          <w:p>
            <w:pPr>
              <w:rPr>
                <w:rFonts w:hint="eastAsia"/>
                <w:vertAlign w:val="baseline"/>
                <w:lang w:val="en-US" w:eastAsia="zh-CN"/>
              </w:rPr>
            </w:pPr>
            <w:r>
              <w:rPr>
                <w:rFonts w:hint="eastAsia"/>
                <w:vertAlign w:val="baseline"/>
                <w:lang w:val="en-US" w:eastAsia="zh-CN"/>
              </w:rPr>
              <w:t>及格</w:t>
            </w:r>
          </w:p>
        </w:tc>
        <w:tc>
          <w:tcPr>
            <w:tcW w:w="298" w:type="dxa"/>
          </w:tcPr>
          <w:p>
            <w:pPr>
              <w:rPr>
                <w:rFonts w:hint="eastAsia"/>
                <w:vertAlign w:val="baseline"/>
                <w:lang w:val="en-US" w:eastAsia="zh-CN"/>
              </w:rPr>
            </w:pPr>
            <w:r>
              <w:rPr>
                <w:rFonts w:hint="eastAsia"/>
                <w:vertAlign w:val="baseline"/>
                <w:lang w:val="en-US" w:eastAsia="zh-CN"/>
              </w:rPr>
              <w:t>优秀</w:t>
            </w:r>
          </w:p>
        </w:tc>
        <w:tc>
          <w:tcPr>
            <w:tcW w:w="330" w:type="dxa"/>
          </w:tcPr>
          <w:p>
            <w:pPr>
              <w:rPr>
                <w:rFonts w:hint="eastAsia"/>
                <w:vertAlign w:val="baseline"/>
                <w:lang w:val="en-US" w:eastAsia="zh-CN"/>
              </w:rPr>
            </w:pPr>
            <w:r>
              <w:rPr>
                <w:rFonts w:hint="eastAsia"/>
                <w:vertAlign w:val="baseline"/>
                <w:lang w:val="en-US" w:eastAsia="zh-CN"/>
              </w:rPr>
              <w:t>良好</w:t>
            </w:r>
          </w:p>
        </w:tc>
        <w:tc>
          <w:tcPr>
            <w:tcW w:w="374" w:type="dxa"/>
          </w:tcPr>
          <w:p>
            <w:pPr>
              <w:rPr>
                <w:rFonts w:hint="eastAsia"/>
                <w:vertAlign w:val="baseline"/>
                <w:lang w:val="en-US" w:eastAsia="zh-CN"/>
              </w:rPr>
            </w:pPr>
            <w:r>
              <w:rPr>
                <w:rFonts w:hint="eastAsia"/>
                <w:vertAlign w:val="baseline"/>
                <w:lang w:val="en-US" w:eastAsia="zh-CN"/>
              </w:rPr>
              <w:t>及格</w:t>
            </w:r>
          </w:p>
        </w:tc>
        <w:tc>
          <w:tcPr>
            <w:tcW w:w="316" w:type="dxa"/>
          </w:tcPr>
          <w:p>
            <w:pPr>
              <w:rPr>
                <w:rFonts w:hint="eastAsia"/>
                <w:vertAlign w:val="baseline"/>
                <w:lang w:val="en-US" w:eastAsia="zh-CN"/>
              </w:rPr>
            </w:pPr>
            <w:r>
              <w:rPr>
                <w:rFonts w:hint="eastAsia"/>
                <w:vertAlign w:val="baseline"/>
                <w:lang w:val="en-US" w:eastAsia="zh-CN"/>
              </w:rPr>
              <w:t>优秀</w:t>
            </w:r>
          </w:p>
        </w:tc>
        <w:tc>
          <w:tcPr>
            <w:tcW w:w="360" w:type="dxa"/>
          </w:tcPr>
          <w:p>
            <w:pPr>
              <w:rPr>
                <w:rFonts w:hint="eastAsia"/>
                <w:vertAlign w:val="baseline"/>
                <w:lang w:val="en-US" w:eastAsia="zh-CN"/>
              </w:rPr>
            </w:pPr>
            <w:r>
              <w:rPr>
                <w:rFonts w:hint="eastAsia"/>
                <w:vertAlign w:val="baseline"/>
                <w:lang w:val="en-US" w:eastAsia="zh-CN"/>
              </w:rPr>
              <w:t>良好</w:t>
            </w:r>
          </w:p>
        </w:tc>
        <w:tc>
          <w:tcPr>
            <w:tcW w:w="328" w:type="dxa"/>
          </w:tcPr>
          <w:p>
            <w:pPr>
              <w:rPr>
                <w:rFonts w:hint="eastAsia"/>
                <w:vertAlign w:val="baseline"/>
                <w:lang w:val="en-US" w:eastAsia="zh-CN"/>
              </w:rPr>
            </w:pPr>
            <w:r>
              <w:rPr>
                <w:rFonts w:hint="eastAsia"/>
                <w:vertAlign w:val="baseline"/>
                <w:lang w:val="en-US" w:eastAsia="zh-CN"/>
              </w:rPr>
              <w:t>及格</w:t>
            </w:r>
          </w:p>
        </w:tc>
        <w:tc>
          <w:tcPr>
            <w:tcW w:w="332" w:type="dxa"/>
          </w:tcPr>
          <w:p>
            <w:pPr>
              <w:rPr>
                <w:rFonts w:hint="eastAsia"/>
                <w:vertAlign w:val="baseline"/>
                <w:lang w:val="en-US" w:eastAsia="zh-CN"/>
              </w:rPr>
            </w:pPr>
            <w:r>
              <w:rPr>
                <w:rFonts w:hint="eastAsia"/>
                <w:vertAlign w:val="baseline"/>
                <w:lang w:val="en-US" w:eastAsia="zh-CN"/>
              </w:rPr>
              <w:t>优秀</w:t>
            </w:r>
          </w:p>
        </w:tc>
        <w:tc>
          <w:tcPr>
            <w:tcW w:w="315" w:type="dxa"/>
          </w:tcPr>
          <w:p>
            <w:pPr>
              <w:rPr>
                <w:rFonts w:hint="eastAsia"/>
                <w:vertAlign w:val="baseline"/>
                <w:lang w:val="en-US" w:eastAsia="zh-CN"/>
              </w:rPr>
            </w:pPr>
            <w:r>
              <w:rPr>
                <w:rFonts w:hint="eastAsia"/>
                <w:vertAlign w:val="baseline"/>
                <w:lang w:val="en-US" w:eastAsia="zh-CN"/>
              </w:rPr>
              <w:t>良好</w:t>
            </w:r>
          </w:p>
        </w:tc>
        <w:tc>
          <w:tcPr>
            <w:tcW w:w="357" w:type="dxa"/>
          </w:tcPr>
          <w:p>
            <w:pPr>
              <w:rPr>
                <w:rFonts w:hint="eastAsia"/>
                <w:vertAlign w:val="baseline"/>
                <w:lang w:val="en-US" w:eastAsia="zh-CN"/>
              </w:rPr>
            </w:pPr>
            <w:r>
              <w:rPr>
                <w:rFonts w:hint="eastAsia"/>
                <w:vertAlign w:val="baseline"/>
                <w:lang w:val="en-US" w:eastAsia="zh-CN"/>
              </w:rPr>
              <w:t>及格</w:t>
            </w:r>
          </w:p>
        </w:tc>
        <w:tc>
          <w:tcPr>
            <w:tcW w:w="348" w:type="dxa"/>
          </w:tcPr>
          <w:p>
            <w:pPr>
              <w:rPr>
                <w:rFonts w:hint="eastAsia"/>
                <w:vertAlign w:val="baseline"/>
                <w:lang w:val="en-US" w:eastAsia="zh-CN"/>
              </w:rPr>
            </w:pPr>
            <w:r>
              <w:rPr>
                <w:rFonts w:hint="eastAsia"/>
                <w:vertAlign w:val="baseline"/>
                <w:lang w:val="en-US" w:eastAsia="zh-CN"/>
              </w:rPr>
              <w:t>优秀</w:t>
            </w:r>
          </w:p>
        </w:tc>
        <w:tc>
          <w:tcPr>
            <w:tcW w:w="330" w:type="dxa"/>
          </w:tcPr>
          <w:p>
            <w:pPr>
              <w:rPr>
                <w:rFonts w:hint="eastAsia"/>
                <w:vertAlign w:val="baseline"/>
                <w:lang w:val="en-US" w:eastAsia="zh-CN"/>
              </w:rPr>
            </w:pPr>
            <w:r>
              <w:rPr>
                <w:rFonts w:hint="eastAsia"/>
                <w:vertAlign w:val="baseline"/>
                <w:lang w:val="en-US" w:eastAsia="zh-CN"/>
              </w:rPr>
              <w:t>良好</w:t>
            </w:r>
          </w:p>
        </w:tc>
        <w:tc>
          <w:tcPr>
            <w:tcW w:w="324" w:type="dxa"/>
          </w:tcPr>
          <w:p>
            <w:pPr>
              <w:rPr>
                <w:rFonts w:hint="eastAsia"/>
                <w:vertAlign w:val="baseline"/>
                <w:lang w:val="en-US" w:eastAsia="zh-CN"/>
              </w:rPr>
            </w:pPr>
            <w:r>
              <w:rPr>
                <w:rFonts w:hint="eastAsia"/>
                <w:vertAlign w:val="baseline"/>
                <w:lang w:val="en-US" w:eastAsia="zh-CN"/>
              </w:rPr>
              <w:t>及格</w:t>
            </w:r>
          </w:p>
        </w:tc>
        <w:tc>
          <w:tcPr>
            <w:tcW w:w="500"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2" w:type="dxa"/>
          </w:tcPr>
          <w:p>
            <w:pPr>
              <w:rPr>
                <w:rFonts w:hint="eastAsia"/>
                <w:vertAlign w:val="baseline"/>
                <w:lang w:val="en-US" w:eastAsia="zh-CN"/>
              </w:rPr>
            </w:pPr>
            <w:r>
              <w:rPr>
                <w:rFonts w:hint="eastAsia"/>
                <w:vertAlign w:val="baseline"/>
                <w:lang w:val="en-US" w:eastAsia="zh-CN"/>
              </w:rPr>
              <w:t>225</w:t>
            </w:r>
          </w:p>
        </w:tc>
        <w:tc>
          <w:tcPr>
            <w:tcW w:w="289" w:type="dxa"/>
          </w:tcPr>
          <w:p>
            <w:pPr>
              <w:rPr>
                <w:rFonts w:hint="eastAsia"/>
                <w:sz w:val="18"/>
                <w:szCs w:val="18"/>
                <w:vertAlign w:val="baseline"/>
                <w:lang w:val="en-US" w:eastAsia="zh-CN"/>
              </w:rPr>
            </w:pPr>
            <w:r>
              <w:rPr>
                <w:rFonts w:hint="eastAsia"/>
                <w:sz w:val="18"/>
                <w:szCs w:val="18"/>
                <w:vertAlign w:val="baseline"/>
                <w:lang w:val="en-US" w:eastAsia="zh-CN"/>
              </w:rPr>
              <w:t>60</w:t>
            </w:r>
          </w:p>
        </w:tc>
        <w:tc>
          <w:tcPr>
            <w:tcW w:w="330" w:type="dxa"/>
          </w:tcPr>
          <w:p>
            <w:pPr>
              <w:rPr>
                <w:rFonts w:hint="eastAsia"/>
                <w:vertAlign w:val="baseline"/>
                <w:lang w:val="en-US" w:eastAsia="zh-CN"/>
              </w:rPr>
            </w:pPr>
            <w:r>
              <w:rPr>
                <w:rFonts w:hint="eastAsia"/>
                <w:vertAlign w:val="baseline"/>
                <w:lang w:val="en-US" w:eastAsia="zh-CN"/>
              </w:rPr>
              <w:t>111</w:t>
            </w:r>
          </w:p>
        </w:tc>
        <w:tc>
          <w:tcPr>
            <w:tcW w:w="383" w:type="dxa"/>
          </w:tcPr>
          <w:p>
            <w:pPr>
              <w:rPr>
                <w:rFonts w:hint="eastAsia"/>
                <w:vertAlign w:val="baseline"/>
                <w:lang w:val="en-US" w:eastAsia="zh-CN"/>
              </w:rPr>
            </w:pPr>
            <w:r>
              <w:rPr>
                <w:rFonts w:hint="eastAsia"/>
                <w:vertAlign w:val="baseline"/>
                <w:lang w:val="en-US" w:eastAsia="zh-CN"/>
              </w:rPr>
              <w:t>54</w:t>
            </w:r>
          </w:p>
        </w:tc>
        <w:tc>
          <w:tcPr>
            <w:tcW w:w="307" w:type="dxa"/>
          </w:tcPr>
          <w:p>
            <w:pPr>
              <w:rPr>
                <w:rFonts w:hint="eastAsia"/>
                <w:vertAlign w:val="baseline"/>
                <w:lang w:val="en-US" w:eastAsia="zh-CN"/>
              </w:rPr>
            </w:pPr>
            <w:r>
              <w:rPr>
                <w:rFonts w:hint="eastAsia"/>
                <w:vertAlign w:val="baseline"/>
                <w:lang w:val="en-US" w:eastAsia="zh-CN"/>
              </w:rPr>
              <w:t>73</w:t>
            </w:r>
          </w:p>
        </w:tc>
        <w:tc>
          <w:tcPr>
            <w:tcW w:w="300" w:type="dxa"/>
          </w:tcPr>
          <w:p>
            <w:pPr>
              <w:rPr>
                <w:rFonts w:hint="eastAsia"/>
                <w:vertAlign w:val="baseline"/>
                <w:lang w:val="en-US" w:eastAsia="zh-CN"/>
              </w:rPr>
            </w:pPr>
            <w:r>
              <w:rPr>
                <w:rFonts w:hint="eastAsia"/>
                <w:vertAlign w:val="baseline"/>
                <w:lang w:val="en-US" w:eastAsia="zh-CN"/>
              </w:rPr>
              <w:t>113</w:t>
            </w:r>
          </w:p>
        </w:tc>
        <w:tc>
          <w:tcPr>
            <w:tcW w:w="395" w:type="dxa"/>
          </w:tcPr>
          <w:p>
            <w:pPr>
              <w:rPr>
                <w:rFonts w:hint="eastAsia"/>
                <w:vertAlign w:val="baseline"/>
                <w:lang w:val="en-US" w:eastAsia="zh-CN"/>
              </w:rPr>
            </w:pPr>
            <w:r>
              <w:rPr>
                <w:rFonts w:hint="eastAsia"/>
                <w:vertAlign w:val="baseline"/>
                <w:lang w:val="en-US" w:eastAsia="zh-CN"/>
              </w:rPr>
              <w:t>34</w:t>
            </w:r>
          </w:p>
        </w:tc>
        <w:tc>
          <w:tcPr>
            <w:tcW w:w="310" w:type="dxa"/>
          </w:tcPr>
          <w:p>
            <w:pPr>
              <w:rPr>
                <w:rFonts w:hint="eastAsia"/>
                <w:vertAlign w:val="baseline"/>
                <w:lang w:val="en-US" w:eastAsia="zh-CN"/>
              </w:rPr>
            </w:pPr>
            <w:r>
              <w:rPr>
                <w:rFonts w:hint="eastAsia"/>
                <w:vertAlign w:val="baseline"/>
                <w:lang w:val="en-US" w:eastAsia="zh-CN"/>
              </w:rPr>
              <w:t>82</w:t>
            </w:r>
          </w:p>
        </w:tc>
        <w:tc>
          <w:tcPr>
            <w:tcW w:w="330" w:type="dxa"/>
          </w:tcPr>
          <w:p>
            <w:pPr>
              <w:rPr>
                <w:rFonts w:hint="eastAsia"/>
                <w:vertAlign w:val="baseline"/>
                <w:lang w:val="en-US" w:eastAsia="zh-CN"/>
              </w:rPr>
            </w:pPr>
            <w:r>
              <w:rPr>
                <w:rFonts w:hint="eastAsia"/>
                <w:vertAlign w:val="baseline"/>
                <w:lang w:val="en-US" w:eastAsia="zh-CN"/>
              </w:rPr>
              <w:t>96</w:t>
            </w:r>
          </w:p>
        </w:tc>
        <w:tc>
          <w:tcPr>
            <w:tcW w:w="362" w:type="dxa"/>
          </w:tcPr>
          <w:p>
            <w:pPr>
              <w:rPr>
                <w:rFonts w:hint="eastAsia"/>
                <w:vertAlign w:val="baseline"/>
                <w:lang w:val="en-US" w:eastAsia="zh-CN"/>
              </w:rPr>
            </w:pPr>
            <w:r>
              <w:rPr>
                <w:rFonts w:hint="eastAsia"/>
                <w:vertAlign w:val="baseline"/>
                <w:lang w:val="en-US" w:eastAsia="zh-CN"/>
              </w:rPr>
              <w:t>44</w:t>
            </w:r>
          </w:p>
        </w:tc>
        <w:tc>
          <w:tcPr>
            <w:tcW w:w="298" w:type="dxa"/>
          </w:tcPr>
          <w:p>
            <w:pPr>
              <w:rPr>
                <w:rFonts w:hint="eastAsia"/>
                <w:vertAlign w:val="baseline"/>
                <w:lang w:val="en-US" w:eastAsia="zh-CN"/>
              </w:rPr>
            </w:pPr>
            <w:r>
              <w:rPr>
                <w:rFonts w:hint="eastAsia"/>
                <w:vertAlign w:val="baseline"/>
                <w:lang w:val="en-US" w:eastAsia="zh-CN"/>
              </w:rPr>
              <w:t>79</w:t>
            </w:r>
          </w:p>
        </w:tc>
        <w:tc>
          <w:tcPr>
            <w:tcW w:w="330" w:type="dxa"/>
          </w:tcPr>
          <w:p>
            <w:pPr>
              <w:rPr>
                <w:rFonts w:hint="eastAsia"/>
                <w:vertAlign w:val="baseline"/>
                <w:lang w:val="en-US" w:eastAsia="zh-CN"/>
              </w:rPr>
            </w:pPr>
            <w:r>
              <w:rPr>
                <w:rFonts w:hint="eastAsia"/>
                <w:vertAlign w:val="baseline"/>
                <w:lang w:val="en-US" w:eastAsia="zh-CN"/>
              </w:rPr>
              <w:t>120</w:t>
            </w:r>
          </w:p>
        </w:tc>
        <w:tc>
          <w:tcPr>
            <w:tcW w:w="374" w:type="dxa"/>
          </w:tcPr>
          <w:p>
            <w:pPr>
              <w:rPr>
                <w:rFonts w:hint="eastAsia"/>
                <w:vertAlign w:val="baseline"/>
                <w:lang w:val="en-US" w:eastAsia="zh-CN"/>
              </w:rPr>
            </w:pPr>
            <w:r>
              <w:rPr>
                <w:rFonts w:hint="eastAsia"/>
                <w:vertAlign w:val="baseline"/>
                <w:lang w:val="en-US" w:eastAsia="zh-CN"/>
              </w:rPr>
              <w:t>20</w:t>
            </w:r>
          </w:p>
        </w:tc>
        <w:tc>
          <w:tcPr>
            <w:tcW w:w="316" w:type="dxa"/>
          </w:tcPr>
          <w:p>
            <w:pPr>
              <w:rPr>
                <w:rFonts w:hint="eastAsia"/>
                <w:vertAlign w:val="baseline"/>
                <w:lang w:val="en-US" w:eastAsia="zh-CN"/>
              </w:rPr>
            </w:pPr>
            <w:r>
              <w:rPr>
                <w:rFonts w:hint="eastAsia"/>
                <w:vertAlign w:val="baseline"/>
                <w:lang w:val="en-US" w:eastAsia="zh-CN"/>
              </w:rPr>
              <w:t>90</w:t>
            </w:r>
          </w:p>
        </w:tc>
        <w:tc>
          <w:tcPr>
            <w:tcW w:w="360" w:type="dxa"/>
          </w:tcPr>
          <w:p>
            <w:pPr>
              <w:rPr>
                <w:rFonts w:hint="eastAsia"/>
                <w:vertAlign w:val="baseline"/>
                <w:lang w:val="en-US" w:eastAsia="zh-CN"/>
              </w:rPr>
            </w:pPr>
            <w:r>
              <w:rPr>
                <w:rFonts w:hint="eastAsia"/>
                <w:vertAlign w:val="baseline"/>
                <w:lang w:val="en-US" w:eastAsia="zh-CN"/>
              </w:rPr>
              <w:t>88</w:t>
            </w:r>
          </w:p>
        </w:tc>
        <w:tc>
          <w:tcPr>
            <w:tcW w:w="328" w:type="dxa"/>
          </w:tcPr>
          <w:p>
            <w:pPr>
              <w:rPr>
                <w:rFonts w:hint="eastAsia"/>
                <w:vertAlign w:val="baseline"/>
                <w:lang w:val="en-US" w:eastAsia="zh-CN"/>
              </w:rPr>
            </w:pPr>
            <w:r>
              <w:rPr>
                <w:rFonts w:hint="eastAsia"/>
                <w:vertAlign w:val="baseline"/>
                <w:lang w:val="en-US" w:eastAsia="zh-CN"/>
              </w:rPr>
              <w:t>29</w:t>
            </w:r>
          </w:p>
        </w:tc>
        <w:tc>
          <w:tcPr>
            <w:tcW w:w="332" w:type="dxa"/>
          </w:tcPr>
          <w:p>
            <w:pPr>
              <w:rPr>
                <w:rFonts w:hint="eastAsia"/>
                <w:vertAlign w:val="baseline"/>
                <w:lang w:val="en-US" w:eastAsia="zh-CN"/>
              </w:rPr>
            </w:pPr>
            <w:r>
              <w:rPr>
                <w:rFonts w:hint="eastAsia"/>
                <w:vertAlign w:val="baseline"/>
                <w:lang w:val="en-US" w:eastAsia="zh-CN"/>
              </w:rPr>
              <w:t>89</w:t>
            </w:r>
          </w:p>
        </w:tc>
        <w:tc>
          <w:tcPr>
            <w:tcW w:w="315" w:type="dxa"/>
          </w:tcPr>
          <w:p>
            <w:pPr>
              <w:rPr>
                <w:rFonts w:hint="eastAsia"/>
                <w:vertAlign w:val="baseline"/>
                <w:lang w:val="en-US" w:eastAsia="zh-CN"/>
              </w:rPr>
            </w:pPr>
            <w:r>
              <w:rPr>
                <w:rFonts w:hint="eastAsia"/>
                <w:vertAlign w:val="baseline"/>
                <w:lang w:val="en-US" w:eastAsia="zh-CN"/>
              </w:rPr>
              <w:t>105</w:t>
            </w:r>
          </w:p>
        </w:tc>
        <w:tc>
          <w:tcPr>
            <w:tcW w:w="357" w:type="dxa"/>
          </w:tcPr>
          <w:p>
            <w:pPr>
              <w:rPr>
                <w:rFonts w:hint="eastAsia"/>
                <w:vertAlign w:val="baseline"/>
                <w:lang w:val="en-US" w:eastAsia="zh-CN"/>
              </w:rPr>
            </w:pPr>
            <w:r>
              <w:rPr>
                <w:rFonts w:hint="eastAsia"/>
                <w:vertAlign w:val="baseline"/>
                <w:lang w:val="en-US" w:eastAsia="zh-CN"/>
              </w:rPr>
              <w:t>29</w:t>
            </w:r>
          </w:p>
        </w:tc>
        <w:tc>
          <w:tcPr>
            <w:tcW w:w="348" w:type="dxa"/>
          </w:tcPr>
          <w:p>
            <w:pPr>
              <w:rPr>
                <w:rFonts w:hint="eastAsia"/>
                <w:vertAlign w:val="baseline"/>
                <w:lang w:val="en-US" w:eastAsia="zh-CN"/>
              </w:rPr>
            </w:pPr>
            <w:r>
              <w:rPr>
                <w:rFonts w:hint="eastAsia"/>
                <w:vertAlign w:val="baseline"/>
                <w:lang w:val="en-US" w:eastAsia="zh-CN"/>
              </w:rPr>
              <w:t>79</w:t>
            </w:r>
          </w:p>
        </w:tc>
        <w:tc>
          <w:tcPr>
            <w:tcW w:w="330" w:type="dxa"/>
          </w:tcPr>
          <w:p>
            <w:pPr>
              <w:rPr>
                <w:rFonts w:hint="eastAsia"/>
                <w:vertAlign w:val="baseline"/>
                <w:lang w:val="en-US" w:eastAsia="zh-CN"/>
              </w:rPr>
            </w:pPr>
            <w:r>
              <w:rPr>
                <w:rFonts w:hint="eastAsia"/>
                <w:vertAlign w:val="baseline"/>
                <w:lang w:val="en-US" w:eastAsia="zh-CN"/>
              </w:rPr>
              <w:t>116</w:t>
            </w:r>
          </w:p>
        </w:tc>
        <w:tc>
          <w:tcPr>
            <w:tcW w:w="324" w:type="dxa"/>
          </w:tcPr>
          <w:p>
            <w:pPr>
              <w:rPr>
                <w:rFonts w:hint="eastAsia"/>
                <w:vertAlign w:val="baseline"/>
                <w:lang w:val="en-US" w:eastAsia="zh-CN"/>
              </w:rPr>
            </w:pPr>
            <w:r>
              <w:rPr>
                <w:rFonts w:hint="eastAsia"/>
                <w:vertAlign w:val="baseline"/>
                <w:lang w:val="en-US" w:eastAsia="zh-CN"/>
              </w:rPr>
              <w:t>26</w:t>
            </w:r>
          </w:p>
        </w:tc>
        <w:tc>
          <w:tcPr>
            <w:tcW w:w="500" w:type="dxa"/>
          </w:tcPr>
          <w:p>
            <w:pPr>
              <w:rPr>
                <w:rFonts w:hint="eastAsia"/>
                <w:vertAlign w:val="baseline"/>
                <w:lang w:val="en-US" w:eastAsia="zh-CN"/>
              </w:rPr>
            </w:pPr>
          </w:p>
        </w:tc>
      </w:tr>
    </w:tbl>
    <w:p>
      <w:pPr>
        <w:ind w:firstLine="0" w:firstLineChars="0"/>
        <w:rPr>
          <w:rFonts w:hint="eastAsia"/>
          <w:lang w:val="en-US" w:eastAsia="zh-CN"/>
        </w:rPr>
      </w:pPr>
      <w:r>
        <w:rPr>
          <w:rFonts w:hint="eastAsia"/>
          <w:lang w:val="en-US" w:eastAsia="zh-CN"/>
        </w:rPr>
        <w:t>填表说明：自控力，是指自己控制自己情绪泛滥的能力，反应力是对老师同学等提出问题的反应快慢，逻辑思维能力主要指对数学、物理、化学试题解答、实验方面的能力，形象思维能力是指对形象实物的想象，临摹，描绘能力，反向思维能力是指对老师家长等所教的知识，进行怀疑，并证明其错误，寻求其他方法解决的能力。填表时学生根据自己情况在“优秀”“良好”“及格”（包括以下）三项中的一项上打“</w:t>
      </w:r>
      <w:r>
        <w:rPr>
          <w:rFonts w:hint="default" w:ascii="Arial" w:hAnsi="Arial" w:cs="Arial"/>
          <w:lang w:val="en-US" w:eastAsia="zh-CN"/>
        </w:rPr>
        <w:t>√</w:t>
      </w:r>
      <w:r>
        <w:rPr>
          <w:rFonts w:hint="eastAsia"/>
          <w:lang w:val="en-US" w:eastAsia="zh-CN"/>
        </w:rPr>
        <w:t>”。本表为隐名调查。</w:t>
      </w:r>
    </w:p>
    <w:p>
      <w:pPr>
        <w:ind w:firstLine="2100" w:firstLineChars="1000"/>
        <w:rPr>
          <w:rFonts w:hint="eastAsia"/>
          <w:sz w:val="28"/>
          <w:szCs w:val="28"/>
          <w:lang w:val="en-US" w:eastAsia="zh-CN"/>
        </w:rPr>
      </w:pPr>
      <w:r>
        <w:rPr>
          <w:rFonts w:hint="eastAsia"/>
          <w:lang w:val="en-US" w:eastAsia="zh-CN"/>
        </w:rPr>
        <w:t xml:space="preserve">           </w:t>
      </w:r>
      <w:r>
        <w:rPr>
          <w:rFonts w:hint="eastAsia"/>
          <w:sz w:val="28"/>
          <w:szCs w:val="28"/>
          <w:lang w:val="en-US" w:eastAsia="zh-CN"/>
        </w:rPr>
        <w:t>教学情况调查表（图表二）</w:t>
      </w:r>
    </w:p>
    <w:tbl>
      <w:tblPr>
        <w:tblStyle w:val="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89"/>
        <w:gridCol w:w="330"/>
        <w:gridCol w:w="383"/>
        <w:gridCol w:w="307"/>
        <w:gridCol w:w="300"/>
        <w:gridCol w:w="395"/>
        <w:gridCol w:w="310"/>
        <w:gridCol w:w="330"/>
        <w:gridCol w:w="362"/>
        <w:gridCol w:w="298"/>
        <w:gridCol w:w="330"/>
        <w:gridCol w:w="374"/>
        <w:gridCol w:w="316"/>
        <w:gridCol w:w="360"/>
        <w:gridCol w:w="328"/>
        <w:gridCol w:w="332"/>
        <w:gridCol w:w="315"/>
        <w:gridCol w:w="357"/>
        <w:gridCol w:w="348"/>
        <w:gridCol w:w="330"/>
        <w:gridCol w:w="324"/>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1002" w:type="dxa"/>
            <w:vMerge w:val="restart"/>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mc:AlternateContent>
                <mc:Choice Requires="wpsCustomData">
                  <wpsCustomData:diagonalParaType/>
                </mc:Choice>
              </mc:AlternateContent>
              <w:rPr>
                <w:rFonts w:hint="eastAsia" w:eastAsiaTheme="minorEastAsia"/>
                <w:vertAlign w:val="baseline"/>
                <w:lang w:val="en-US" w:eastAsia="zh-CN"/>
              </w:rPr>
            </w:pPr>
            <w:r>
              <w:rPr>
                <w:rFonts w:hint="eastAsia"/>
                <w:vertAlign w:val="baseline"/>
                <w:lang w:val="en-US" w:eastAsia="zh-CN"/>
              </w:rPr>
              <w:t>教师</w:t>
            </w:r>
          </w:p>
          <w:p>
            <w:pPr>
              <w:rPr>
                <w:rFonts w:hint="eastAsia"/>
                <w:vertAlign w:val="baseline"/>
                <w:lang w:val="en-US" w:eastAsia="zh-CN"/>
              </w:rPr>
            </w:pPr>
            <w:r>
              <w:rPr>
                <w:rFonts w:hint="eastAsia"/>
                <w:vertAlign w:val="baseline"/>
                <w:lang w:val="en-US" w:eastAsia="zh-CN"/>
              </w:rPr>
              <w:t>教学</w:t>
            </w:r>
          </w:p>
          <w:p>
            <w:pPr>
              <w:rPr>
                <w:rFonts w:hint="eastAsia"/>
                <w:vertAlign w:val="baseline"/>
                <w:lang w:val="en-US" w:eastAsia="zh-CN"/>
              </w:rPr>
            </w:pPr>
            <w:r>
              <w:rPr>
                <w:rFonts w:hint="eastAsia"/>
                <w:vertAlign w:val="baseline"/>
                <w:lang w:val="en-US" w:eastAsia="zh-CN"/>
              </w:rPr>
              <w:t>表现</w:t>
            </w:r>
          </w:p>
          <w:p>
            <w:pPr>
              <w:rPr>
                <w:rFonts w:hint="eastAsia"/>
                <w:vertAlign w:val="baseline"/>
                <w:lang w:val="en-US" w:eastAsia="zh-CN"/>
              </w:rPr>
            </w:pPr>
          </w:p>
        </w:tc>
        <w:tc>
          <w:tcPr>
            <w:tcW w:w="1002" w:type="dxa"/>
            <w:gridSpan w:val="3"/>
          </w:tcPr>
          <w:p>
            <w:pPr>
              <w:rPr>
                <w:rFonts w:hint="eastAsia"/>
                <w:vertAlign w:val="baseline"/>
                <w:lang w:val="en-US" w:eastAsia="zh-CN"/>
              </w:rPr>
            </w:pPr>
            <w:r>
              <w:rPr>
                <w:rFonts w:hint="eastAsia"/>
                <w:vertAlign w:val="baseline"/>
                <w:lang w:val="en-US" w:eastAsia="zh-CN"/>
              </w:rPr>
              <w:t>对教材知识教学</w:t>
            </w:r>
          </w:p>
        </w:tc>
        <w:tc>
          <w:tcPr>
            <w:tcW w:w="1002" w:type="dxa"/>
            <w:gridSpan w:val="3"/>
          </w:tcPr>
          <w:p>
            <w:pPr>
              <w:rPr>
                <w:rFonts w:hint="eastAsia"/>
                <w:vertAlign w:val="baseline"/>
                <w:lang w:val="en-US" w:eastAsia="zh-CN"/>
              </w:rPr>
            </w:pPr>
            <w:r>
              <w:rPr>
                <w:rFonts w:hint="eastAsia"/>
                <w:vertAlign w:val="baseline"/>
                <w:lang w:val="en-US" w:eastAsia="zh-CN"/>
              </w:rPr>
              <w:t>对学生记忆力培养</w:t>
            </w:r>
          </w:p>
        </w:tc>
        <w:tc>
          <w:tcPr>
            <w:tcW w:w="1002" w:type="dxa"/>
            <w:gridSpan w:val="3"/>
          </w:tcPr>
          <w:p>
            <w:pPr>
              <w:rPr>
                <w:rFonts w:hint="eastAsia"/>
                <w:vertAlign w:val="baseline"/>
                <w:lang w:val="en-US" w:eastAsia="zh-CN"/>
              </w:rPr>
            </w:pPr>
            <w:r>
              <w:rPr>
                <w:rFonts w:hint="eastAsia"/>
                <w:vertAlign w:val="baseline"/>
                <w:lang w:val="en-US" w:eastAsia="zh-CN"/>
              </w:rPr>
              <w:t>对学生自控力培养</w:t>
            </w:r>
          </w:p>
        </w:tc>
        <w:tc>
          <w:tcPr>
            <w:tcW w:w="1002" w:type="dxa"/>
            <w:gridSpan w:val="3"/>
          </w:tcPr>
          <w:p>
            <w:pPr>
              <w:rPr>
                <w:rFonts w:hint="eastAsia"/>
                <w:vertAlign w:val="baseline"/>
                <w:lang w:val="en-US" w:eastAsia="zh-CN"/>
              </w:rPr>
            </w:pPr>
            <w:r>
              <w:rPr>
                <w:rFonts w:hint="eastAsia"/>
                <w:vertAlign w:val="baseline"/>
                <w:lang w:val="en-US" w:eastAsia="zh-CN"/>
              </w:rPr>
              <w:t>对学生应变能力培养</w:t>
            </w:r>
          </w:p>
        </w:tc>
        <w:tc>
          <w:tcPr>
            <w:tcW w:w="1004" w:type="dxa"/>
            <w:gridSpan w:val="3"/>
          </w:tcPr>
          <w:p>
            <w:pPr>
              <w:rPr>
                <w:rFonts w:hint="eastAsia"/>
                <w:vertAlign w:val="baseline"/>
                <w:lang w:val="en-US" w:eastAsia="zh-CN"/>
              </w:rPr>
            </w:pPr>
            <w:r>
              <w:rPr>
                <w:rFonts w:hint="eastAsia"/>
                <w:vertAlign w:val="baseline"/>
                <w:lang w:val="en-US" w:eastAsia="zh-CN"/>
              </w:rPr>
              <w:t>对学生逻辑思维能力培养</w:t>
            </w:r>
          </w:p>
        </w:tc>
        <w:tc>
          <w:tcPr>
            <w:tcW w:w="1004" w:type="dxa"/>
            <w:gridSpan w:val="3"/>
          </w:tcPr>
          <w:p>
            <w:pPr>
              <w:rPr>
                <w:rFonts w:hint="eastAsia"/>
                <w:lang w:val="en-US" w:eastAsia="zh-CN"/>
              </w:rPr>
            </w:pPr>
            <w:r>
              <w:rPr>
                <w:rFonts w:hint="eastAsia"/>
                <w:lang w:val="en-US" w:eastAsia="zh-CN"/>
              </w:rPr>
              <w:t>对学生形象思维能力培养</w:t>
            </w:r>
          </w:p>
        </w:tc>
        <w:tc>
          <w:tcPr>
            <w:tcW w:w="1002" w:type="dxa"/>
            <w:gridSpan w:val="3"/>
          </w:tcPr>
          <w:p>
            <w:pPr>
              <w:rPr>
                <w:rFonts w:hint="eastAsia"/>
                <w:vertAlign w:val="baseline"/>
                <w:lang w:val="en-US" w:eastAsia="zh-CN"/>
              </w:rPr>
            </w:pPr>
            <w:r>
              <w:rPr>
                <w:rFonts w:hint="eastAsia"/>
                <w:vertAlign w:val="baseline"/>
                <w:lang w:val="en-US" w:eastAsia="zh-CN"/>
              </w:rPr>
              <w:t>对学生反向思维能力培养</w:t>
            </w:r>
          </w:p>
        </w:tc>
        <w:tc>
          <w:tcPr>
            <w:tcW w:w="500" w:type="dxa"/>
          </w:tcPr>
          <w:p>
            <w:pPr>
              <w:rPr>
                <w:rFonts w:hint="eastAsia"/>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002" w:type="dxa"/>
            <w:vMerge w:val="continue"/>
          </w:tcPr>
          <w:p>
            <w:pPr>
              <w:rPr>
                <w:rFonts w:hint="eastAsia"/>
                <w:vertAlign w:val="baseline"/>
                <w:lang w:val="en-US" w:eastAsia="zh-CN"/>
              </w:rPr>
            </w:pPr>
          </w:p>
        </w:tc>
        <w:tc>
          <w:tcPr>
            <w:tcW w:w="289" w:type="dxa"/>
          </w:tcPr>
          <w:p>
            <w:pPr>
              <w:rPr>
                <w:rFonts w:hint="eastAsia"/>
                <w:vertAlign w:val="baseline"/>
                <w:lang w:val="en-US" w:eastAsia="zh-CN"/>
              </w:rPr>
            </w:pPr>
            <w:r>
              <w:rPr>
                <w:rFonts w:hint="eastAsia"/>
                <w:vertAlign w:val="baseline"/>
                <w:lang w:val="en-US" w:eastAsia="zh-CN"/>
              </w:rPr>
              <w:t>重视</w:t>
            </w:r>
          </w:p>
        </w:tc>
        <w:tc>
          <w:tcPr>
            <w:tcW w:w="330" w:type="dxa"/>
          </w:tcPr>
          <w:p>
            <w:pPr>
              <w:rPr>
                <w:rFonts w:hint="eastAsia"/>
                <w:vertAlign w:val="baseline"/>
                <w:lang w:val="en-US" w:eastAsia="zh-CN"/>
              </w:rPr>
            </w:pPr>
            <w:r>
              <w:rPr>
                <w:rFonts w:hint="eastAsia"/>
                <w:vertAlign w:val="baseline"/>
                <w:lang w:val="en-US" w:eastAsia="zh-CN"/>
              </w:rPr>
              <w:t>较重视</w:t>
            </w:r>
          </w:p>
        </w:tc>
        <w:tc>
          <w:tcPr>
            <w:tcW w:w="383" w:type="dxa"/>
          </w:tcPr>
          <w:p>
            <w:pPr>
              <w:rPr>
                <w:rFonts w:hint="eastAsia"/>
                <w:vertAlign w:val="baseline"/>
                <w:lang w:val="en-US" w:eastAsia="zh-CN"/>
              </w:rPr>
            </w:pPr>
            <w:r>
              <w:rPr>
                <w:rFonts w:hint="eastAsia"/>
                <w:vertAlign w:val="baseline"/>
                <w:lang w:val="en-US" w:eastAsia="zh-CN"/>
              </w:rPr>
              <w:t>不重视</w:t>
            </w:r>
          </w:p>
        </w:tc>
        <w:tc>
          <w:tcPr>
            <w:tcW w:w="307" w:type="dxa"/>
          </w:tcPr>
          <w:p>
            <w:pPr>
              <w:rPr>
                <w:rFonts w:hint="eastAsia"/>
                <w:vertAlign w:val="baseline"/>
                <w:lang w:val="en-US" w:eastAsia="zh-CN"/>
              </w:rPr>
            </w:pPr>
            <w:r>
              <w:rPr>
                <w:rFonts w:hint="eastAsia"/>
                <w:vertAlign w:val="baseline"/>
                <w:lang w:val="en-US" w:eastAsia="zh-CN"/>
              </w:rPr>
              <w:t>重视</w:t>
            </w:r>
          </w:p>
        </w:tc>
        <w:tc>
          <w:tcPr>
            <w:tcW w:w="300" w:type="dxa"/>
          </w:tcPr>
          <w:p>
            <w:pPr>
              <w:rPr>
                <w:rFonts w:hint="eastAsia"/>
                <w:vertAlign w:val="baseline"/>
                <w:lang w:val="en-US" w:eastAsia="zh-CN"/>
              </w:rPr>
            </w:pPr>
            <w:r>
              <w:rPr>
                <w:rFonts w:hint="eastAsia"/>
                <w:vertAlign w:val="baseline"/>
                <w:lang w:val="en-US" w:eastAsia="zh-CN"/>
              </w:rPr>
              <w:t>较重视</w:t>
            </w:r>
          </w:p>
        </w:tc>
        <w:tc>
          <w:tcPr>
            <w:tcW w:w="395" w:type="dxa"/>
          </w:tcPr>
          <w:p>
            <w:pPr>
              <w:rPr>
                <w:rFonts w:hint="eastAsia"/>
                <w:vertAlign w:val="baseline"/>
                <w:lang w:val="en-US" w:eastAsia="zh-CN"/>
              </w:rPr>
            </w:pPr>
            <w:r>
              <w:rPr>
                <w:rFonts w:hint="eastAsia"/>
                <w:vertAlign w:val="baseline"/>
                <w:lang w:val="en-US" w:eastAsia="zh-CN"/>
              </w:rPr>
              <w:t>不重视</w:t>
            </w:r>
          </w:p>
        </w:tc>
        <w:tc>
          <w:tcPr>
            <w:tcW w:w="310" w:type="dxa"/>
          </w:tcPr>
          <w:p>
            <w:pPr>
              <w:rPr>
                <w:rFonts w:hint="eastAsia"/>
                <w:vertAlign w:val="baseline"/>
                <w:lang w:val="en-US" w:eastAsia="zh-CN"/>
              </w:rPr>
            </w:pPr>
            <w:r>
              <w:rPr>
                <w:rFonts w:hint="eastAsia"/>
                <w:vertAlign w:val="baseline"/>
                <w:lang w:val="en-US" w:eastAsia="zh-CN"/>
              </w:rPr>
              <w:t>重视</w:t>
            </w:r>
          </w:p>
        </w:tc>
        <w:tc>
          <w:tcPr>
            <w:tcW w:w="330" w:type="dxa"/>
          </w:tcPr>
          <w:p>
            <w:pPr>
              <w:rPr>
                <w:rFonts w:hint="eastAsia"/>
                <w:vertAlign w:val="baseline"/>
                <w:lang w:val="en-US" w:eastAsia="zh-CN"/>
              </w:rPr>
            </w:pPr>
            <w:r>
              <w:rPr>
                <w:rFonts w:hint="eastAsia"/>
                <w:vertAlign w:val="baseline"/>
                <w:lang w:val="en-US" w:eastAsia="zh-CN"/>
              </w:rPr>
              <w:t>较重视</w:t>
            </w:r>
          </w:p>
        </w:tc>
        <w:tc>
          <w:tcPr>
            <w:tcW w:w="362" w:type="dxa"/>
          </w:tcPr>
          <w:p>
            <w:pPr>
              <w:rPr>
                <w:rFonts w:hint="eastAsia"/>
                <w:vertAlign w:val="baseline"/>
                <w:lang w:val="en-US" w:eastAsia="zh-CN"/>
              </w:rPr>
            </w:pPr>
            <w:r>
              <w:rPr>
                <w:rFonts w:hint="eastAsia"/>
                <w:vertAlign w:val="baseline"/>
                <w:lang w:val="en-US" w:eastAsia="zh-CN"/>
              </w:rPr>
              <w:t>不重视</w:t>
            </w:r>
          </w:p>
        </w:tc>
        <w:tc>
          <w:tcPr>
            <w:tcW w:w="298" w:type="dxa"/>
          </w:tcPr>
          <w:p>
            <w:pPr>
              <w:rPr>
                <w:rFonts w:hint="eastAsia"/>
                <w:vertAlign w:val="baseline"/>
                <w:lang w:val="en-US" w:eastAsia="zh-CN"/>
              </w:rPr>
            </w:pPr>
            <w:r>
              <w:rPr>
                <w:rFonts w:hint="eastAsia"/>
                <w:vertAlign w:val="baseline"/>
                <w:lang w:val="en-US" w:eastAsia="zh-CN"/>
              </w:rPr>
              <w:t>重视</w:t>
            </w:r>
          </w:p>
        </w:tc>
        <w:tc>
          <w:tcPr>
            <w:tcW w:w="330" w:type="dxa"/>
          </w:tcPr>
          <w:p>
            <w:pPr>
              <w:rPr>
                <w:rFonts w:hint="eastAsia"/>
                <w:vertAlign w:val="baseline"/>
                <w:lang w:val="en-US" w:eastAsia="zh-CN"/>
              </w:rPr>
            </w:pPr>
            <w:r>
              <w:rPr>
                <w:rFonts w:hint="eastAsia"/>
                <w:vertAlign w:val="baseline"/>
                <w:lang w:val="en-US" w:eastAsia="zh-CN"/>
              </w:rPr>
              <w:t>较重视</w:t>
            </w:r>
          </w:p>
        </w:tc>
        <w:tc>
          <w:tcPr>
            <w:tcW w:w="374" w:type="dxa"/>
          </w:tcPr>
          <w:p>
            <w:pPr>
              <w:rPr>
                <w:rFonts w:hint="eastAsia"/>
                <w:vertAlign w:val="baseline"/>
                <w:lang w:val="en-US" w:eastAsia="zh-CN"/>
              </w:rPr>
            </w:pPr>
            <w:r>
              <w:rPr>
                <w:rFonts w:hint="eastAsia"/>
                <w:vertAlign w:val="baseline"/>
                <w:lang w:val="en-US" w:eastAsia="zh-CN"/>
              </w:rPr>
              <w:t>不重视</w:t>
            </w:r>
          </w:p>
        </w:tc>
        <w:tc>
          <w:tcPr>
            <w:tcW w:w="316" w:type="dxa"/>
          </w:tcPr>
          <w:p>
            <w:pPr>
              <w:rPr>
                <w:rFonts w:hint="eastAsia"/>
                <w:vertAlign w:val="baseline"/>
                <w:lang w:val="en-US" w:eastAsia="zh-CN"/>
              </w:rPr>
            </w:pPr>
            <w:r>
              <w:rPr>
                <w:rFonts w:hint="eastAsia"/>
                <w:vertAlign w:val="baseline"/>
                <w:lang w:val="en-US" w:eastAsia="zh-CN"/>
              </w:rPr>
              <w:t>重视</w:t>
            </w:r>
          </w:p>
        </w:tc>
        <w:tc>
          <w:tcPr>
            <w:tcW w:w="360" w:type="dxa"/>
          </w:tcPr>
          <w:p>
            <w:pPr>
              <w:rPr>
                <w:rFonts w:hint="eastAsia"/>
                <w:vertAlign w:val="baseline"/>
                <w:lang w:val="en-US" w:eastAsia="zh-CN"/>
              </w:rPr>
            </w:pPr>
            <w:r>
              <w:rPr>
                <w:rFonts w:hint="eastAsia"/>
                <w:vertAlign w:val="baseline"/>
                <w:lang w:val="en-US" w:eastAsia="zh-CN"/>
              </w:rPr>
              <w:t>较重视</w:t>
            </w:r>
          </w:p>
        </w:tc>
        <w:tc>
          <w:tcPr>
            <w:tcW w:w="328" w:type="dxa"/>
          </w:tcPr>
          <w:p>
            <w:pPr>
              <w:rPr>
                <w:rFonts w:hint="eastAsia"/>
                <w:vertAlign w:val="baseline"/>
                <w:lang w:val="en-US" w:eastAsia="zh-CN"/>
              </w:rPr>
            </w:pPr>
            <w:r>
              <w:rPr>
                <w:rFonts w:hint="eastAsia"/>
                <w:vertAlign w:val="baseline"/>
                <w:lang w:val="en-US" w:eastAsia="zh-CN"/>
              </w:rPr>
              <w:t>不重视</w:t>
            </w:r>
          </w:p>
        </w:tc>
        <w:tc>
          <w:tcPr>
            <w:tcW w:w="332" w:type="dxa"/>
          </w:tcPr>
          <w:p>
            <w:pPr>
              <w:rPr>
                <w:rFonts w:hint="eastAsia"/>
                <w:vertAlign w:val="baseline"/>
                <w:lang w:val="en-US" w:eastAsia="zh-CN"/>
              </w:rPr>
            </w:pPr>
            <w:r>
              <w:rPr>
                <w:rFonts w:hint="eastAsia"/>
                <w:vertAlign w:val="baseline"/>
                <w:lang w:val="en-US" w:eastAsia="zh-CN"/>
              </w:rPr>
              <w:t>重视</w:t>
            </w:r>
          </w:p>
        </w:tc>
        <w:tc>
          <w:tcPr>
            <w:tcW w:w="315" w:type="dxa"/>
          </w:tcPr>
          <w:p>
            <w:pPr>
              <w:rPr>
                <w:rFonts w:hint="eastAsia"/>
                <w:vertAlign w:val="baseline"/>
                <w:lang w:val="en-US" w:eastAsia="zh-CN"/>
              </w:rPr>
            </w:pPr>
            <w:r>
              <w:rPr>
                <w:rFonts w:hint="eastAsia"/>
                <w:vertAlign w:val="baseline"/>
                <w:lang w:val="en-US" w:eastAsia="zh-CN"/>
              </w:rPr>
              <w:t>较重视</w:t>
            </w:r>
          </w:p>
        </w:tc>
        <w:tc>
          <w:tcPr>
            <w:tcW w:w="357" w:type="dxa"/>
          </w:tcPr>
          <w:p>
            <w:pPr>
              <w:rPr>
                <w:rFonts w:hint="eastAsia"/>
                <w:vertAlign w:val="baseline"/>
                <w:lang w:val="en-US" w:eastAsia="zh-CN"/>
              </w:rPr>
            </w:pPr>
            <w:r>
              <w:rPr>
                <w:rFonts w:hint="eastAsia"/>
                <w:vertAlign w:val="baseline"/>
                <w:lang w:val="en-US" w:eastAsia="zh-CN"/>
              </w:rPr>
              <w:t>不重视</w:t>
            </w:r>
          </w:p>
        </w:tc>
        <w:tc>
          <w:tcPr>
            <w:tcW w:w="348" w:type="dxa"/>
          </w:tcPr>
          <w:p>
            <w:pPr>
              <w:rPr>
                <w:rFonts w:hint="eastAsia"/>
                <w:vertAlign w:val="baseline"/>
                <w:lang w:val="en-US" w:eastAsia="zh-CN"/>
              </w:rPr>
            </w:pPr>
            <w:r>
              <w:rPr>
                <w:rFonts w:hint="eastAsia"/>
                <w:vertAlign w:val="baseline"/>
                <w:lang w:val="en-US" w:eastAsia="zh-CN"/>
              </w:rPr>
              <w:t>重视</w:t>
            </w:r>
          </w:p>
        </w:tc>
        <w:tc>
          <w:tcPr>
            <w:tcW w:w="330" w:type="dxa"/>
          </w:tcPr>
          <w:p>
            <w:pPr>
              <w:rPr>
                <w:rFonts w:hint="eastAsia"/>
                <w:vertAlign w:val="baseline"/>
                <w:lang w:val="en-US" w:eastAsia="zh-CN"/>
              </w:rPr>
            </w:pPr>
            <w:r>
              <w:rPr>
                <w:rFonts w:hint="eastAsia"/>
                <w:vertAlign w:val="baseline"/>
                <w:lang w:val="en-US" w:eastAsia="zh-CN"/>
              </w:rPr>
              <w:t>较重视</w:t>
            </w:r>
          </w:p>
        </w:tc>
        <w:tc>
          <w:tcPr>
            <w:tcW w:w="324" w:type="dxa"/>
          </w:tcPr>
          <w:p>
            <w:pPr>
              <w:rPr>
                <w:rFonts w:hint="eastAsia"/>
                <w:vertAlign w:val="baseline"/>
                <w:lang w:val="en-US" w:eastAsia="zh-CN"/>
              </w:rPr>
            </w:pPr>
            <w:r>
              <w:rPr>
                <w:rFonts w:hint="eastAsia"/>
                <w:vertAlign w:val="baseline"/>
                <w:lang w:val="en-US" w:eastAsia="zh-CN"/>
              </w:rPr>
              <w:t>不重视</w:t>
            </w:r>
          </w:p>
        </w:tc>
        <w:tc>
          <w:tcPr>
            <w:tcW w:w="500"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2" w:type="dxa"/>
          </w:tcPr>
          <w:p>
            <w:pPr>
              <w:rPr>
                <w:rFonts w:hint="eastAsia"/>
                <w:vertAlign w:val="baseline"/>
                <w:lang w:val="en-US" w:eastAsia="zh-CN"/>
              </w:rPr>
            </w:pPr>
            <w:r>
              <w:rPr>
                <w:rFonts w:hint="eastAsia"/>
                <w:vertAlign w:val="baseline"/>
                <w:lang w:val="en-US" w:eastAsia="zh-CN"/>
              </w:rPr>
              <w:t>60</w:t>
            </w:r>
          </w:p>
        </w:tc>
        <w:tc>
          <w:tcPr>
            <w:tcW w:w="289" w:type="dxa"/>
          </w:tcPr>
          <w:p>
            <w:pPr>
              <w:rPr>
                <w:rFonts w:hint="eastAsia"/>
                <w:vertAlign w:val="baseline"/>
                <w:lang w:val="en-US" w:eastAsia="zh-CN"/>
              </w:rPr>
            </w:pPr>
            <w:r>
              <w:rPr>
                <w:rFonts w:hint="eastAsia"/>
                <w:vertAlign w:val="baseline"/>
                <w:lang w:val="en-US" w:eastAsia="zh-CN"/>
              </w:rPr>
              <w:t>60</w:t>
            </w:r>
          </w:p>
        </w:tc>
        <w:tc>
          <w:tcPr>
            <w:tcW w:w="330" w:type="dxa"/>
          </w:tcPr>
          <w:p>
            <w:pPr>
              <w:rPr>
                <w:rFonts w:hint="eastAsia"/>
                <w:vertAlign w:val="baseline"/>
                <w:lang w:val="en-US" w:eastAsia="zh-CN"/>
              </w:rPr>
            </w:pPr>
            <w:r>
              <w:rPr>
                <w:rFonts w:hint="eastAsia"/>
                <w:vertAlign w:val="baseline"/>
                <w:lang w:val="en-US" w:eastAsia="zh-CN"/>
              </w:rPr>
              <w:t>0</w:t>
            </w:r>
          </w:p>
        </w:tc>
        <w:tc>
          <w:tcPr>
            <w:tcW w:w="383" w:type="dxa"/>
          </w:tcPr>
          <w:p>
            <w:pPr>
              <w:rPr>
                <w:rFonts w:hint="eastAsia"/>
                <w:vertAlign w:val="baseline"/>
                <w:lang w:val="en-US" w:eastAsia="zh-CN"/>
              </w:rPr>
            </w:pPr>
            <w:r>
              <w:rPr>
                <w:rFonts w:hint="eastAsia"/>
                <w:vertAlign w:val="baseline"/>
                <w:lang w:val="en-US" w:eastAsia="zh-CN"/>
              </w:rPr>
              <w:t>0</w:t>
            </w:r>
          </w:p>
        </w:tc>
        <w:tc>
          <w:tcPr>
            <w:tcW w:w="307" w:type="dxa"/>
          </w:tcPr>
          <w:p>
            <w:pPr>
              <w:rPr>
                <w:rFonts w:hint="eastAsia"/>
                <w:vertAlign w:val="baseline"/>
                <w:lang w:val="en-US" w:eastAsia="zh-CN"/>
              </w:rPr>
            </w:pPr>
            <w:r>
              <w:rPr>
                <w:rFonts w:hint="eastAsia"/>
                <w:vertAlign w:val="baseline"/>
                <w:lang w:val="en-US" w:eastAsia="zh-CN"/>
              </w:rPr>
              <w:t>51</w:t>
            </w:r>
          </w:p>
        </w:tc>
        <w:tc>
          <w:tcPr>
            <w:tcW w:w="300" w:type="dxa"/>
          </w:tcPr>
          <w:p>
            <w:pPr>
              <w:rPr>
                <w:rFonts w:hint="eastAsia"/>
                <w:vertAlign w:val="baseline"/>
                <w:lang w:val="en-US" w:eastAsia="zh-CN"/>
              </w:rPr>
            </w:pPr>
            <w:r>
              <w:rPr>
                <w:rFonts w:hint="eastAsia"/>
                <w:vertAlign w:val="baseline"/>
                <w:lang w:val="en-US" w:eastAsia="zh-CN"/>
              </w:rPr>
              <w:t>9</w:t>
            </w:r>
          </w:p>
        </w:tc>
        <w:tc>
          <w:tcPr>
            <w:tcW w:w="395" w:type="dxa"/>
          </w:tcPr>
          <w:p>
            <w:pPr>
              <w:rPr>
                <w:rFonts w:hint="eastAsia"/>
                <w:vertAlign w:val="baseline"/>
                <w:lang w:val="en-US" w:eastAsia="zh-CN"/>
              </w:rPr>
            </w:pPr>
            <w:r>
              <w:rPr>
                <w:rFonts w:hint="eastAsia"/>
                <w:vertAlign w:val="baseline"/>
                <w:lang w:val="en-US" w:eastAsia="zh-CN"/>
              </w:rPr>
              <w:t>0</w:t>
            </w:r>
          </w:p>
        </w:tc>
        <w:tc>
          <w:tcPr>
            <w:tcW w:w="310" w:type="dxa"/>
          </w:tcPr>
          <w:p>
            <w:pPr>
              <w:rPr>
                <w:rFonts w:hint="eastAsia"/>
                <w:vertAlign w:val="baseline"/>
                <w:lang w:val="en-US" w:eastAsia="zh-CN"/>
              </w:rPr>
            </w:pPr>
            <w:r>
              <w:rPr>
                <w:rFonts w:hint="eastAsia"/>
                <w:vertAlign w:val="baseline"/>
                <w:lang w:val="en-US" w:eastAsia="zh-CN"/>
              </w:rPr>
              <w:t>43</w:t>
            </w:r>
          </w:p>
        </w:tc>
        <w:tc>
          <w:tcPr>
            <w:tcW w:w="330" w:type="dxa"/>
          </w:tcPr>
          <w:p>
            <w:pPr>
              <w:rPr>
                <w:rFonts w:hint="eastAsia"/>
                <w:vertAlign w:val="baseline"/>
                <w:lang w:val="en-US" w:eastAsia="zh-CN"/>
              </w:rPr>
            </w:pPr>
            <w:r>
              <w:rPr>
                <w:rFonts w:hint="eastAsia"/>
                <w:vertAlign w:val="baseline"/>
                <w:lang w:val="en-US" w:eastAsia="zh-CN"/>
              </w:rPr>
              <w:t>17</w:t>
            </w:r>
          </w:p>
        </w:tc>
        <w:tc>
          <w:tcPr>
            <w:tcW w:w="362" w:type="dxa"/>
          </w:tcPr>
          <w:p>
            <w:pPr>
              <w:rPr>
                <w:rFonts w:hint="eastAsia"/>
                <w:vertAlign w:val="baseline"/>
                <w:lang w:val="en-US" w:eastAsia="zh-CN"/>
              </w:rPr>
            </w:pPr>
            <w:r>
              <w:rPr>
                <w:rFonts w:hint="eastAsia"/>
                <w:vertAlign w:val="baseline"/>
                <w:lang w:val="en-US" w:eastAsia="zh-CN"/>
              </w:rPr>
              <w:t>0</w:t>
            </w:r>
          </w:p>
        </w:tc>
        <w:tc>
          <w:tcPr>
            <w:tcW w:w="298" w:type="dxa"/>
          </w:tcPr>
          <w:p>
            <w:pPr>
              <w:rPr>
                <w:rFonts w:hint="eastAsia"/>
                <w:vertAlign w:val="baseline"/>
                <w:lang w:val="en-US" w:eastAsia="zh-CN"/>
              </w:rPr>
            </w:pPr>
            <w:r>
              <w:rPr>
                <w:rFonts w:hint="eastAsia"/>
                <w:vertAlign w:val="baseline"/>
                <w:lang w:val="en-US" w:eastAsia="zh-CN"/>
              </w:rPr>
              <w:t>38</w:t>
            </w:r>
          </w:p>
        </w:tc>
        <w:tc>
          <w:tcPr>
            <w:tcW w:w="330" w:type="dxa"/>
          </w:tcPr>
          <w:p>
            <w:pPr>
              <w:rPr>
                <w:rFonts w:hint="eastAsia"/>
                <w:vertAlign w:val="baseline"/>
                <w:lang w:val="en-US" w:eastAsia="zh-CN"/>
              </w:rPr>
            </w:pPr>
            <w:r>
              <w:rPr>
                <w:rFonts w:hint="eastAsia"/>
                <w:vertAlign w:val="baseline"/>
                <w:lang w:val="en-US" w:eastAsia="zh-CN"/>
              </w:rPr>
              <w:t>22</w:t>
            </w:r>
          </w:p>
        </w:tc>
        <w:tc>
          <w:tcPr>
            <w:tcW w:w="374" w:type="dxa"/>
          </w:tcPr>
          <w:p>
            <w:pPr>
              <w:rPr>
                <w:rFonts w:hint="eastAsia"/>
                <w:vertAlign w:val="baseline"/>
                <w:lang w:val="en-US" w:eastAsia="zh-CN"/>
              </w:rPr>
            </w:pPr>
            <w:r>
              <w:rPr>
                <w:rFonts w:hint="eastAsia"/>
                <w:vertAlign w:val="baseline"/>
                <w:lang w:val="en-US" w:eastAsia="zh-CN"/>
              </w:rPr>
              <w:t>0</w:t>
            </w:r>
          </w:p>
        </w:tc>
        <w:tc>
          <w:tcPr>
            <w:tcW w:w="316" w:type="dxa"/>
          </w:tcPr>
          <w:p>
            <w:pPr>
              <w:rPr>
                <w:rFonts w:hint="eastAsia"/>
                <w:vertAlign w:val="baseline"/>
                <w:lang w:val="en-US" w:eastAsia="zh-CN"/>
              </w:rPr>
            </w:pPr>
            <w:r>
              <w:rPr>
                <w:rFonts w:hint="eastAsia"/>
                <w:vertAlign w:val="baseline"/>
                <w:lang w:val="en-US" w:eastAsia="zh-CN"/>
              </w:rPr>
              <w:t>51</w:t>
            </w:r>
          </w:p>
        </w:tc>
        <w:tc>
          <w:tcPr>
            <w:tcW w:w="360" w:type="dxa"/>
          </w:tcPr>
          <w:p>
            <w:pPr>
              <w:rPr>
                <w:rFonts w:hint="eastAsia"/>
                <w:vertAlign w:val="baseline"/>
                <w:lang w:val="en-US" w:eastAsia="zh-CN"/>
              </w:rPr>
            </w:pPr>
            <w:r>
              <w:rPr>
                <w:rFonts w:hint="eastAsia"/>
                <w:vertAlign w:val="baseline"/>
                <w:lang w:val="en-US" w:eastAsia="zh-CN"/>
              </w:rPr>
              <w:t>9</w:t>
            </w:r>
          </w:p>
        </w:tc>
        <w:tc>
          <w:tcPr>
            <w:tcW w:w="328" w:type="dxa"/>
          </w:tcPr>
          <w:p>
            <w:pPr>
              <w:rPr>
                <w:rFonts w:hint="eastAsia"/>
                <w:vertAlign w:val="baseline"/>
                <w:lang w:val="en-US" w:eastAsia="zh-CN"/>
              </w:rPr>
            </w:pPr>
            <w:r>
              <w:rPr>
                <w:rFonts w:hint="eastAsia"/>
                <w:vertAlign w:val="baseline"/>
                <w:lang w:val="en-US" w:eastAsia="zh-CN"/>
              </w:rPr>
              <w:t>0</w:t>
            </w:r>
          </w:p>
        </w:tc>
        <w:tc>
          <w:tcPr>
            <w:tcW w:w="332" w:type="dxa"/>
          </w:tcPr>
          <w:p>
            <w:pPr>
              <w:rPr>
                <w:rFonts w:hint="eastAsia"/>
                <w:vertAlign w:val="baseline"/>
                <w:lang w:val="en-US" w:eastAsia="zh-CN"/>
              </w:rPr>
            </w:pPr>
            <w:r>
              <w:rPr>
                <w:rFonts w:hint="eastAsia"/>
                <w:vertAlign w:val="baseline"/>
                <w:lang w:val="en-US" w:eastAsia="zh-CN"/>
              </w:rPr>
              <w:t>43</w:t>
            </w:r>
          </w:p>
        </w:tc>
        <w:tc>
          <w:tcPr>
            <w:tcW w:w="315" w:type="dxa"/>
          </w:tcPr>
          <w:p>
            <w:pPr>
              <w:rPr>
                <w:rFonts w:hint="eastAsia"/>
                <w:vertAlign w:val="baseline"/>
                <w:lang w:val="en-US" w:eastAsia="zh-CN"/>
              </w:rPr>
            </w:pPr>
            <w:r>
              <w:rPr>
                <w:rFonts w:hint="eastAsia"/>
                <w:vertAlign w:val="baseline"/>
                <w:lang w:val="en-US" w:eastAsia="zh-CN"/>
              </w:rPr>
              <w:t>17</w:t>
            </w:r>
          </w:p>
        </w:tc>
        <w:tc>
          <w:tcPr>
            <w:tcW w:w="357" w:type="dxa"/>
          </w:tcPr>
          <w:p>
            <w:pPr>
              <w:rPr>
                <w:rFonts w:hint="eastAsia"/>
                <w:vertAlign w:val="baseline"/>
                <w:lang w:val="en-US" w:eastAsia="zh-CN"/>
              </w:rPr>
            </w:pPr>
            <w:r>
              <w:rPr>
                <w:rFonts w:hint="eastAsia"/>
                <w:vertAlign w:val="baseline"/>
                <w:lang w:val="en-US" w:eastAsia="zh-CN"/>
              </w:rPr>
              <w:t>0</w:t>
            </w:r>
          </w:p>
        </w:tc>
        <w:tc>
          <w:tcPr>
            <w:tcW w:w="348" w:type="dxa"/>
          </w:tcPr>
          <w:p>
            <w:pPr>
              <w:rPr>
                <w:rFonts w:hint="eastAsia"/>
                <w:vertAlign w:val="baseline"/>
                <w:lang w:val="en-US" w:eastAsia="zh-CN"/>
              </w:rPr>
            </w:pPr>
            <w:r>
              <w:rPr>
                <w:rFonts w:hint="eastAsia"/>
                <w:vertAlign w:val="baseline"/>
                <w:lang w:val="en-US" w:eastAsia="zh-CN"/>
              </w:rPr>
              <w:t>42</w:t>
            </w:r>
          </w:p>
        </w:tc>
        <w:tc>
          <w:tcPr>
            <w:tcW w:w="330" w:type="dxa"/>
          </w:tcPr>
          <w:p>
            <w:pPr>
              <w:rPr>
                <w:rFonts w:hint="eastAsia"/>
                <w:vertAlign w:val="baseline"/>
                <w:lang w:val="en-US" w:eastAsia="zh-CN"/>
              </w:rPr>
            </w:pPr>
            <w:r>
              <w:rPr>
                <w:rFonts w:hint="eastAsia"/>
                <w:vertAlign w:val="baseline"/>
                <w:lang w:val="en-US" w:eastAsia="zh-CN"/>
              </w:rPr>
              <w:t>18</w:t>
            </w:r>
          </w:p>
        </w:tc>
        <w:tc>
          <w:tcPr>
            <w:tcW w:w="324" w:type="dxa"/>
          </w:tcPr>
          <w:p>
            <w:pPr>
              <w:rPr>
                <w:rFonts w:hint="eastAsia"/>
                <w:vertAlign w:val="baseline"/>
                <w:lang w:val="en-US" w:eastAsia="zh-CN"/>
              </w:rPr>
            </w:pPr>
            <w:r>
              <w:rPr>
                <w:rFonts w:hint="eastAsia"/>
                <w:vertAlign w:val="baseline"/>
                <w:lang w:val="en-US" w:eastAsia="zh-CN"/>
              </w:rPr>
              <w:t>0</w:t>
            </w:r>
          </w:p>
        </w:tc>
        <w:tc>
          <w:tcPr>
            <w:tcW w:w="500" w:type="dxa"/>
          </w:tcPr>
          <w:p>
            <w:pPr>
              <w:rPr>
                <w:rFonts w:hint="eastAsia"/>
                <w:vertAlign w:val="baseline"/>
                <w:lang w:val="en-US" w:eastAsia="zh-CN"/>
              </w:rPr>
            </w:pPr>
          </w:p>
        </w:tc>
      </w:tr>
    </w:tbl>
    <w:p>
      <w:pPr>
        <w:numPr>
          <w:ilvl w:val="0"/>
          <w:numId w:val="0"/>
        </w:numPr>
        <w:ind w:firstLine="560" w:firstLineChars="200"/>
        <w:rPr>
          <w:rFonts w:hint="eastAsia"/>
          <w:sz w:val="28"/>
          <w:szCs w:val="28"/>
          <w:lang w:val="en-US" w:eastAsia="zh-CN"/>
        </w:rPr>
      </w:pPr>
    </w:p>
    <w:p>
      <w:pPr>
        <w:numPr>
          <w:ilvl w:val="0"/>
          <w:numId w:val="0"/>
        </w:numPr>
        <w:ind w:firstLine="560" w:firstLineChars="200"/>
        <w:rPr>
          <w:rFonts w:hint="eastAsia"/>
          <w:sz w:val="28"/>
          <w:szCs w:val="28"/>
          <w:lang w:val="en-US" w:eastAsia="zh-CN"/>
        </w:rPr>
      </w:pPr>
      <w:r>
        <w:rPr>
          <w:rFonts w:hint="eastAsia"/>
          <w:sz w:val="28"/>
          <w:szCs w:val="28"/>
          <w:lang w:val="en-US" w:eastAsia="zh-CN"/>
        </w:rPr>
        <w:t>结合问卷调查单页表及汇总表情况分析，当代中学生具有以下特点：</w:t>
      </w:r>
    </w:p>
    <w:p>
      <w:pPr>
        <w:numPr>
          <w:ilvl w:val="0"/>
          <w:numId w:val="3"/>
        </w:numPr>
        <w:ind w:firstLine="560" w:firstLineChars="200"/>
        <w:rPr>
          <w:rFonts w:hint="eastAsia"/>
          <w:sz w:val="28"/>
          <w:szCs w:val="28"/>
          <w:lang w:val="en-US" w:eastAsia="zh-CN"/>
        </w:rPr>
      </w:pPr>
      <w:r>
        <w:rPr>
          <w:rFonts w:hint="eastAsia"/>
          <w:sz w:val="28"/>
          <w:szCs w:val="28"/>
          <w:lang w:val="en-US" w:eastAsia="zh-CN"/>
        </w:rPr>
        <w:t>平时成绩优异的学生仅为少部分。从汇总表可计算出仅占学生总数的26.7%。</w:t>
      </w:r>
    </w:p>
    <w:p>
      <w:pPr>
        <w:numPr>
          <w:ilvl w:val="0"/>
          <w:numId w:val="3"/>
        </w:numPr>
        <w:ind w:firstLine="560" w:firstLineChars="200"/>
        <w:rPr>
          <w:rFonts w:hint="eastAsia"/>
          <w:sz w:val="28"/>
          <w:szCs w:val="28"/>
          <w:lang w:val="en-US" w:eastAsia="zh-CN"/>
        </w:rPr>
      </w:pPr>
      <w:r>
        <w:rPr>
          <w:rFonts w:hint="eastAsia"/>
          <w:sz w:val="28"/>
          <w:szCs w:val="28"/>
          <w:lang w:val="en-US" w:eastAsia="zh-CN"/>
        </w:rPr>
        <w:t>记忆力、逻辑思维能力、反向思维能力、应变力是决定成绩好坏的重要因素。平时成绩优秀的60名学生中记忆力、逻辑思维能力优秀的均57.5%，反向思维能力优秀的占55%，应变力优秀的占52.5%。</w:t>
      </w:r>
    </w:p>
    <w:p>
      <w:pPr>
        <w:numPr>
          <w:ilvl w:val="0"/>
          <w:numId w:val="0"/>
        </w:numPr>
        <w:rPr>
          <w:rFonts w:hint="eastAsia"/>
          <w:sz w:val="28"/>
          <w:szCs w:val="28"/>
          <w:lang w:val="en-US" w:eastAsia="zh-CN"/>
        </w:rPr>
      </w:pPr>
    </w:p>
    <w:p>
      <w:pPr>
        <w:numPr>
          <w:ilvl w:val="0"/>
          <w:numId w:val="3"/>
        </w:numPr>
        <w:ind w:firstLine="560" w:firstLineChars="200"/>
        <w:rPr>
          <w:rFonts w:hint="eastAsia"/>
          <w:sz w:val="28"/>
          <w:szCs w:val="28"/>
          <w:lang w:val="en-US" w:eastAsia="zh-CN"/>
        </w:rPr>
      </w:pPr>
      <w:r>
        <w:rPr>
          <w:rFonts w:hint="eastAsia"/>
          <w:sz w:val="28"/>
          <w:szCs w:val="28"/>
          <w:lang w:val="en-US" w:eastAsia="zh-CN"/>
        </w:rPr>
        <w:t>多种能力均优异的学生极少。学生中平时成绩优异的60名中仅有8人为各项能力优秀，仅占13.3%。</w:t>
      </w:r>
    </w:p>
    <w:p>
      <w:pPr>
        <w:numPr>
          <w:ilvl w:val="0"/>
          <w:numId w:val="3"/>
        </w:numPr>
        <w:ind w:firstLine="560" w:firstLineChars="200"/>
        <w:rPr>
          <w:rFonts w:hint="eastAsia"/>
          <w:sz w:val="28"/>
          <w:szCs w:val="28"/>
          <w:lang w:val="en-US" w:eastAsia="zh-CN"/>
        </w:rPr>
      </w:pPr>
      <w:r>
        <w:rPr>
          <w:rFonts w:hint="eastAsia"/>
          <w:sz w:val="28"/>
          <w:szCs w:val="28"/>
          <w:lang w:val="en-US" w:eastAsia="zh-CN"/>
        </w:rPr>
        <w:t>知识传播快捷的社会中学生应变能力，反向思维能力普遍增长。从汇总表可看出学生应变能力优良的达88.4%，反向思维能力优良的达86.7%。</w:t>
      </w:r>
    </w:p>
    <w:p>
      <w:pPr>
        <w:numPr>
          <w:ilvl w:val="0"/>
          <w:numId w:val="3"/>
        </w:numPr>
        <w:ind w:firstLine="560" w:firstLineChars="200"/>
        <w:rPr>
          <w:rFonts w:hint="eastAsia"/>
          <w:sz w:val="28"/>
          <w:szCs w:val="28"/>
          <w:lang w:val="en-US" w:eastAsia="zh-CN"/>
        </w:rPr>
      </w:pPr>
      <w:r>
        <w:rPr>
          <w:rFonts w:hint="eastAsia"/>
          <w:sz w:val="28"/>
          <w:szCs w:val="28"/>
          <w:lang w:val="en-US" w:eastAsia="zh-CN"/>
        </w:rPr>
        <w:t>教师对学生依然是重知识灌输少能力培养。从调查表二不难看出，对知识灌输是人人重视，但对学生能力培养却相对不足。</w:t>
      </w:r>
    </w:p>
    <w:p>
      <w:pPr>
        <w:numPr>
          <w:ilvl w:val="0"/>
          <w:numId w:val="2"/>
        </w:numPr>
        <w:ind w:left="560" w:leftChars="0" w:firstLine="0" w:firstLineChars="0"/>
        <w:rPr>
          <w:rFonts w:hint="eastAsia"/>
          <w:sz w:val="28"/>
          <w:szCs w:val="28"/>
          <w:lang w:val="en-US" w:eastAsia="zh-CN"/>
        </w:rPr>
      </w:pPr>
      <w:r>
        <w:rPr>
          <w:rFonts w:hint="eastAsia"/>
          <w:sz w:val="28"/>
          <w:szCs w:val="28"/>
          <w:lang w:val="en-US" w:eastAsia="zh-CN"/>
        </w:rPr>
        <w:t>高等教育的现状</w:t>
      </w:r>
    </w:p>
    <w:p>
      <w:pPr>
        <w:numPr>
          <w:ilvl w:val="0"/>
          <w:numId w:val="4"/>
        </w:numPr>
        <w:ind w:left="0" w:leftChars="0" w:firstLine="560" w:firstLineChars="200"/>
        <w:rPr>
          <w:rFonts w:hint="eastAsia"/>
          <w:sz w:val="28"/>
          <w:szCs w:val="28"/>
          <w:lang w:val="en-US" w:eastAsia="zh-CN"/>
        </w:rPr>
      </w:pPr>
      <w:r>
        <w:rPr>
          <w:rFonts w:hint="eastAsia"/>
          <w:sz w:val="28"/>
          <w:szCs w:val="28"/>
          <w:lang w:val="en-US" w:eastAsia="zh-CN"/>
        </w:rPr>
        <w:t>普通重点高校门庭若市职业学校门可罗雀。在传统的望子成龙的家长热宠下，社会价值认同偏离下，中学考核不正确指标的引导下，重点高校的上线率成了一所中学办学成功评判的唯一依据，老师为此在这上面挖空心思，满足各种身份人士的需求，学生也因上的高校“好坏”被分成了三六九等，随之出现了以上怪相。</w:t>
      </w:r>
    </w:p>
    <w:p>
      <w:pPr>
        <w:numPr>
          <w:ilvl w:val="0"/>
          <w:numId w:val="4"/>
        </w:numPr>
        <w:ind w:left="0" w:leftChars="0" w:firstLine="560" w:firstLineChars="200"/>
        <w:rPr>
          <w:rFonts w:hint="eastAsia"/>
          <w:sz w:val="28"/>
          <w:szCs w:val="28"/>
          <w:lang w:val="en-US" w:eastAsia="zh-CN"/>
        </w:rPr>
      </w:pPr>
      <w:r>
        <w:rPr>
          <w:rFonts w:hint="eastAsia"/>
          <w:sz w:val="28"/>
          <w:szCs w:val="28"/>
          <w:lang w:val="en-US" w:eastAsia="zh-CN"/>
        </w:rPr>
        <w:t>高等教育高大上。普通高等院校与职业学校特色定位偏离。我国的高等院校，追求的是大而全，大家都办成文理工专业门类齐全的大学。中等职业学校向学院看齐，学院向一般大学看齐，一般大学向一般重点大学看齐，一般重点大学向北大清华看齐，办学缺乏自己的优势和特点，不脚踏实地，根据自己优势办特色高校。在专业上搞假大空，导致学生水平低下，不能满足社会需求。</w:t>
      </w:r>
    </w:p>
    <w:p>
      <w:pPr>
        <w:numPr>
          <w:ilvl w:val="0"/>
          <w:numId w:val="1"/>
        </w:numPr>
        <w:ind w:firstLine="560" w:firstLineChars="200"/>
        <w:rPr>
          <w:rFonts w:hint="eastAsia"/>
          <w:sz w:val="28"/>
          <w:szCs w:val="28"/>
          <w:lang w:val="en-US" w:eastAsia="zh-CN"/>
        </w:rPr>
      </w:pPr>
      <w:r>
        <w:rPr>
          <w:rFonts w:hint="eastAsia"/>
          <w:sz w:val="28"/>
          <w:szCs w:val="28"/>
          <w:lang w:val="en-US" w:eastAsia="zh-CN"/>
        </w:rPr>
        <w:t>分析问题：以教育对接为维度</w:t>
      </w:r>
    </w:p>
    <w:p>
      <w:pPr>
        <w:numPr>
          <w:ilvl w:val="0"/>
          <w:numId w:val="0"/>
        </w:numPr>
        <w:rPr>
          <w:rFonts w:hint="eastAsia"/>
          <w:sz w:val="28"/>
          <w:szCs w:val="28"/>
          <w:lang w:val="en-US" w:eastAsia="zh-CN"/>
        </w:rPr>
      </w:pPr>
      <w:r>
        <w:rPr>
          <w:rFonts w:hint="eastAsia"/>
          <w:sz w:val="28"/>
          <w:szCs w:val="28"/>
          <w:lang w:val="en-US" w:eastAsia="zh-CN"/>
        </w:rPr>
        <w:t xml:space="preserve">    从以上问卷调查情况可以观察到，由于每一个学生的生活环境差异，智能的差异，身体情况的差异，其他因素的差异，学生的学习能力具有成绩的不同层次性，能力表现的差异性，因此应当差别教育，“要贴近学生的消费需求，满足学生的个性发展。”，</w:t>
      </w:r>
      <w:r>
        <w:rPr>
          <w:rStyle w:val="4"/>
          <w:rFonts w:hint="eastAsia"/>
          <w:sz w:val="28"/>
          <w:szCs w:val="28"/>
          <w:lang w:val="en-US" w:eastAsia="zh-CN"/>
        </w:rPr>
        <w:footnoteReference w:id="2"/>
      </w:r>
      <w:r>
        <w:rPr>
          <w:rFonts w:hint="eastAsia"/>
          <w:sz w:val="28"/>
          <w:szCs w:val="28"/>
          <w:lang w:val="en-US" w:eastAsia="zh-CN"/>
        </w:rPr>
        <w:t>分别进行差别的基础教育与不同层面的高等教育对接，然而现实的情况却并非如此，而是呈现出多种多样的问题。</w:t>
      </w:r>
    </w:p>
    <w:p>
      <w:pPr>
        <w:numPr>
          <w:ilvl w:val="0"/>
          <w:numId w:val="0"/>
        </w:numPr>
        <w:ind w:leftChars="0"/>
        <w:rPr>
          <w:rFonts w:hint="eastAsia"/>
          <w:sz w:val="28"/>
          <w:szCs w:val="28"/>
          <w:lang w:val="en-US" w:eastAsia="zh-CN"/>
        </w:rPr>
      </w:pPr>
      <w:r>
        <w:rPr>
          <w:rFonts w:hint="eastAsia"/>
          <w:sz w:val="28"/>
          <w:szCs w:val="28"/>
          <w:lang w:val="en-US" w:eastAsia="zh-CN"/>
        </w:rPr>
        <w:t xml:space="preserve">   （一）教育部门对基础教育定位不准。认真观察初等教育，可以发现，学校分为一般中学，重点中学。重点中学又分为县级、省（市）级、全国重点中学，不同级别的中学，以学生小学毕业成绩或者入学考试成绩或者初中毕业统考成绩为入学依据，或者根据人口户籍为入学依据，这种区分虽然初步考虑了成绩或者能力的差别，但是划分后，并非为了人才培养的未来做准备，仅仅是为在今后的高考中胜出做铺垫，后以重本上线人数排座次。不同层次的中学在教学方法，能力培养方式上并无多少差别，使用的教材都是教育部门统一规定的教材，这样的划分与教学，使人才分层次培养失去了分层次的该当意义。</w:t>
      </w:r>
    </w:p>
    <w:p>
      <w:pPr>
        <w:numPr>
          <w:ilvl w:val="0"/>
          <w:numId w:val="0"/>
        </w:numPr>
        <w:ind w:leftChars="0" w:firstLine="560"/>
        <w:rPr>
          <w:rFonts w:hint="eastAsia"/>
          <w:sz w:val="28"/>
          <w:szCs w:val="28"/>
          <w:lang w:val="en-US" w:eastAsia="zh-CN"/>
        </w:rPr>
      </w:pPr>
      <w:r>
        <w:rPr>
          <w:rFonts w:hint="eastAsia"/>
          <w:sz w:val="28"/>
          <w:szCs w:val="28"/>
          <w:lang w:val="en-US" w:eastAsia="zh-CN"/>
        </w:rPr>
        <w:t>（二）高等教育定位模糊。对于高等教育，其设置的目标是培养创新型及应用型人才为目标的，哪些领域需要什么样的人才，需要多少人才，未来十年，二十年……长远的目标是什么，这些不能仅靠高等学校自己去调查，而需要靠国家相关部门去进行研究，制定规划目标，研判人才需求，并将研究结果通报给各高等院校，高等院校再结合自己的情况，制定具体目标，通过上报国家教委，协调部署，形成一个统一协调的整体规划科学的目标体系。而现实的情况是，高等教育很多都存在各自为政，搞高大上的模式，人数以多为尚，很多大学扩大到数万人，根本不能与自己的教师人数相匹配，专业以门类齐全为高，文科大学办理工科专业，理科大学办文科专业，典型的专业如法学、汉语言文学、艺术、金融等，几乎绝大多数的大学设置了这样的专业，其结果是供大于求，培养出的学生良莠不齐，大量的毕业生毕业那天就是失业的那天，使整个社会就业形势变得越来越严峻，浪费了大量的教育人力资源。相反真正需求的工业、农业、林业、制造业、服务业等行业的创新型与应用型人才却供不应求。</w:t>
      </w:r>
    </w:p>
    <w:p>
      <w:pPr>
        <w:numPr>
          <w:ilvl w:val="0"/>
          <w:numId w:val="0"/>
        </w:numPr>
        <w:ind w:leftChars="0" w:firstLine="560"/>
        <w:rPr>
          <w:rFonts w:hint="eastAsia"/>
          <w:sz w:val="28"/>
          <w:szCs w:val="28"/>
          <w:lang w:val="en-US" w:eastAsia="zh-CN"/>
        </w:rPr>
      </w:pPr>
      <w:r>
        <w:rPr>
          <w:rFonts w:hint="eastAsia"/>
          <w:sz w:val="28"/>
          <w:szCs w:val="28"/>
          <w:lang w:val="en-US" w:eastAsia="zh-CN"/>
        </w:rPr>
        <w:t>（三）功利性价值导向使高尖端技术人才难脱颖而出。纵观我国的研究生教育，会发现其规模在全世界，毫不逊色于发达国家，然而其研究成果，却落后于发达国家，从自然科学领域的诺贝尔奖获得者，以及世界顶级的自然科学期刊发表的学术研究成果，高尖端技术专利成果就可见一斑，如2017年自然科学领域生理学与医学、物理学、化学三大诺贝尔奖获得者，美国7名，英国1名，瑞士1名。</w:t>
      </w:r>
      <w:r>
        <w:rPr>
          <w:rStyle w:val="4"/>
          <w:rFonts w:hint="eastAsia"/>
          <w:sz w:val="28"/>
          <w:szCs w:val="28"/>
          <w:lang w:val="en-US" w:eastAsia="zh-CN"/>
        </w:rPr>
        <w:footnoteReference w:id="3"/>
      </w:r>
      <w:r>
        <w:rPr>
          <w:rFonts w:hint="eastAsia"/>
          <w:sz w:val="28"/>
          <w:szCs w:val="28"/>
          <w:lang w:val="en-US" w:eastAsia="zh-CN"/>
        </w:rPr>
        <w:t>钱学森为此有个著名之问：“这么多年培养的学生，还没有哪一个的学术成就，能够跟民国时期培养的大师相比。”。</w:t>
      </w:r>
      <w:r>
        <w:rPr>
          <w:rStyle w:val="4"/>
          <w:rFonts w:hint="eastAsia"/>
          <w:sz w:val="28"/>
          <w:szCs w:val="28"/>
          <w:lang w:val="en-US" w:eastAsia="zh-CN"/>
        </w:rPr>
        <w:footnoteReference w:id="4"/>
      </w:r>
      <w:r>
        <w:rPr>
          <w:rFonts w:hint="eastAsia"/>
          <w:sz w:val="28"/>
          <w:szCs w:val="28"/>
          <w:lang w:val="en-US" w:eastAsia="zh-CN"/>
        </w:rPr>
        <w:t>出现以上问题的原因在，研究生的招生人数规模控制在教育行政部门，大学的教授学者或者研究院所的研究人员无权根据自己的研究情况，研究方向，能力水平决定拟招生人数，由此存在研究生招生人数年年递增，可具有相当研究水平，能够胜任培养研究生的导师，并非年年递增，在这样的情况下，导师由于带的研究生人数增加，精力不足，所带研究生质量自然难以保证，部分学校甚至出现了与本科生一样的培养模式——大课堂模式，很多毕业的研究生，名不副实，根本就不具有科研能力，如A县法院有12名研究生，全部为老牌的“五大”政法大学毕业研究生，可能够在规范的法学学术期刊上发表论文的仅有2人。</w:t>
      </w:r>
      <w:r>
        <w:rPr>
          <w:rStyle w:val="4"/>
          <w:rFonts w:hint="eastAsia"/>
          <w:sz w:val="28"/>
          <w:szCs w:val="28"/>
          <w:lang w:val="en-US" w:eastAsia="zh-CN"/>
        </w:rPr>
        <w:footnoteReference w:id="5"/>
      </w:r>
      <w:r>
        <w:rPr>
          <w:rFonts w:hint="eastAsia"/>
          <w:sz w:val="28"/>
          <w:szCs w:val="28"/>
          <w:lang w:val="en-US" w:eastAsia="zh-CN"/>
        </w:rPr>
        <w:t>另外一个原因是研究生毕业的出口较宽，也导致研究生质量降低。其次是很多考生考研的目的本身就是功利性的，考研的目的是为改变本科出生不好（非211、985、双一流）来，</w:t>
      </w:r>
      <w:r>
        <w:rPr>
          <w:rStyle w:val="4"/>
          <w:rFonts w:hint="eastAsia"/>
          <w:sz w:val="28"/>
          <w:szCs w:val="28"/>
          <w:lang w:val="en-US" w:eastAsia="zh-CN"/>
        </w:rPr>
        <w:footnoteReference w:id="6"/>
      </w:r>
      <w:r>
        <w:rPr>
          <w:rFonts w:hint="eastAsia"/>
          <w:sz w:val="28"/>
          <w:szCs w:val="28"/>
          <w:lang w:val="en-US" w:eastAsia="zh-CN"/>
        </w:rPr>
        <w:t>而不是为研究某一科学问题立志而来，相应一些导师也得过且过，不重视研究生研究能力、研究方法的训练，让学生镀金出校门，当然其他还有很多因素也影响了研究生的质量，如导师本身的能力，研究人员晋升评价的机制体制等问题，这里不一一列举。</w:t>
      </w:r>
    </w:p>
    <w:p>
      <w:pPr>
        <w:numPr>
          <w:ilvl w:val="0"/>
          <w:numId w:val="1"/>
        </w:numPr>
        <w:ind w:firstLine="560" w:firstLineChars="200"/>
        <w:rPr>
          <w:rFonts w:hint="eastAsia"/>
          <w:sz w:val="28"/>
          <w:szCs w:val="28"/>
          <w:lang w:val="en-US" w:eastAsia="zh-CN"/>
        </w:rPr>
      </w:pPr>
      <w:r>
        <w:rPr>
          <w:rFonts w:hint="eastAsia"/>
          <w:sz w:val="28"/>
          <w:szCs w:val="28"/>
          <w:lang w:val="en-US" w:eastAsia="zh-CN"/>
        </w:rPr>
        <w:t>路径选择：创新型与应用型人才培养分段连续</w:t>
      </w:r>
    </w:p>
    <w:p>
      <w:pPr>
        <w:numPr>
          <w:ilvl w:val="0"/>
          <w:numId w:val="0"/>
        </w:numPr>
        <w:ind w:firstLine="560"/>
        <w:rPr>
          <w:rFonts w:hint="eastAsia"/>
          <w:sz w:val="28"/>
          <w:szCs w:val="28"/>
          <w:lang w:val="en-US" w:eastAsia="zh-CN"/>
        </w:rPr>
      </w:pPr>
      <w:r>
        <w:rPr>
          <w:rFonts w:hint="eastAsia"/>
          <w:sz w:val="28"/>
          <w:szCs w:val="28"/>
          <w:lang w:val="en-US" w:eastAsia="zh-CN"/>
        </w:rPr>
        <w:t>高质量人才培养工程是一个系统的工程，基础教育与高等教育及研究生教育是系统工程的不同阶段，每一个阶段有其自身的特点，目标也各有千秋，因此应当找准目标，定位准确，形成一个不同阶段的对接体系才能培养出不同类型的人才，适应我国经济转型的发展中的人才需求，笔者建议从以下路径入手。</w:t>
      </w:r>
    </w:p>
    <w:p>
      <w:pPr>
        <w:numPr>
          <w:ilvl w:val="0"/>
          <w:numId w:val="0"/>
        </w:numPr>
        <w:ind w:firstLine="560"/>
        <w:rPr>
          <w:rFonts w:hint="eastAsia"/>
          <w:sz w:val="28"/>
          <w:szCs w:val="28"/>
          <w:lang w:val="en-US" w:eastAsia="zh-CN"/>
        </w:rPr>
      </w:pPr>
      <w:r>
        <w:rPr>
          <w:rFonts w:hint="eastAsia"/>
          <w:sz w:val="28"/>
          <w:szCs w:val="28"/>
          <w:lang w:val="en-US" w:eastAsia="zh-CN"/>
        </w:rPr>
        <w:t>（一）幼儿园及小学教育以教育资源公平分配为突破口。教育改革的一个重要问题就是教育资源的公平配置，教育资源有物质资源与人力资源之分，对于物质资源问题，经过多轮改革，城市与农村的教育物质资源分配，逐渐在缩小，如教学设备、实验器材、教室等农村学校基本上得到较大的改善，但是对于人力资源而言，教师的素质却存在较大差别，由于很多优质大学的师范类优质毕业生因为农村环境的艰苦，其他生活家庭等问题不好解决，导致农村的幼儿园及小学教师的基本来源都是靠二三流大学毕业生考进，由于这样的原因使得农村幼儿园及小学生在人力资源的获得上，就产生了不公平的问题，然而这个阶段恰恰又是一个人学习能力、学习习惯、人格形成的主要阶段，决定着一个人未来的健康发展，也影响着国家发展的整体人才培养战略，由此产生了农村学校的学生与城市学校学生整体上的差别，落后于城市学校，学生能力有了较大的差距。要解决这个问题，应当对农村教师进行待遇上的优厚，生活上的关心与照顾，才能吸引优秀的大学毕业生到农村学校工作，同时利用现代科技弥补一些不足，才能让农村教育在一个起跑线上公平运行，实现创新型及其他型人才培养整体上的大发展。</w:t>
      </w:r>
    </w:p>
    <w:p>
      <w:pPr>
        <w:numPr>
          <w:ilvl w:val="0"/>
          <w:numId w:val="0"/>
        </w:numPr>
        <w:ind w:firstLine="560"/>
        <w:rPr>
          <w:rFonts w:hint="eastAsia"/>
          <w:sz w:val="28"/>
          <w:szCs w:val="28"/>
          <w:lang w:val="en-US" w:eastAsia="zh-CN"/>
        </w:rPr>
      </w:pPr>
      <w:r>
        <w:rPr>
          <w:rFonts w:hint="eastAsia"/>
          <w:sz w:val="28"/>
          <w:szCs w:val="28"/>
          <w:lang w:val="en-US" w:eastAsia="zh-CN"/>
        </w:rPr>
        <w:t>（二）实事求是按照学生特点划分班别进行因材施教。经过幼儿园、小学教育，一个学生各种各样的能力、兴趣、爱好、人格开始初步养成，在初中入学时，应当实事求是承认学生之间在记忆力、逻辑思维能力、反向思维能力、应变力存在不同程度的差异，综合素质存在不同层次的差异，发展上的不平衡性，因此不宜为了所谓的“公平正义”，搞一刀切，任意进行编班入级。其实公平正义的真正体现是“平等自由和机会平等原则与差别原则的结合”</w:t>
      </w:r>
      <w:r>
        <w:rPr>
          <w:rStyle w:val="4"/>
          <w:rFonts w:hint="eastAsia"/>
          <w:sz w:val="28"/>
          <w:szCs w:val="28"/>
          <w:lang w:val="en-US" w:eastAsia="zh-CN"/>
        </w:rPr>
        <w:footnoteReference w:id="7"/>
      </w:r>
      <w:r>
        <w:rPr>
          <w:rFonts w:hint="eastAsia"/>
          <w:sz w:val="28"/>
          <w:szCs w:val="28"/>
          <w:lang w:val="en-US" w:eastAsia="zh-CN"/>
        </w:rPr>
        <w:t>，也就是机会均等与差别对待的结合才是真正的公平。编班的方式不是简单的一次入学考试定“三年”</w:t>
      </w:r>
      <w:r>
        <w:rPr>
          <w:rStyle w:val="4"/>
          <w:rFonts w:hint="eastAsia"/>
          <w:sz w:val="28"/>
          <w:szCs w:val="28"/>
          <w:lang w:val="en-US" w:eastAsia="zh-CN"/>
        </w:rPr>
        <w:footnoteReference w:id="8"/>
      </w:r>
      <w:r>
        <w:rPr>
          <w:rFonts w:hint="eastAsia"/>
          <w:sz w:val="28"/>
          <w:szCs w:val="28"/>
          <w:lang w:val="en-US" w:eastAsia="zh-CN"/>
        </w:rPr>
        <w:t>，根据考试分数高低，划分出班级，而是综合学生各方面的情况，既要考虑习惯的好坏，又要考虑学生的兴趣、志向，创新思维能力、反向思维能力、逻辑思维能力、形象思维能力等因素，以及基础知识掌握的情况，将情况基本相当的学生分类编班，编班前，可以用问卷调查与面试结合的方式来衡量学生的综合素质。编班后，根据学生各个班的特点，结合教师情况，搭配教学，对于习惯较差的学生班别，应当配备心理学知识、经验丰富，有耐心，道德高尚，综合素质好的老师进行教学，因此学校在考核教师德能勤绩时，不能简单根据学生期末考试成绩优生率来考核教师，而应当用学生整体发展的上升或下降的比率考核教师，让学生和教师都受到公平对待。通过一段时期的教学，对一些原综合素质较差的学生，经过发展，已达到其他素质较好学生程度的，或下降明显不宜在原班别的，适当进行同质化班别调整，对于相应教学跃升率高的老师，应当给予考核加分，这样一来，学生与教师就形成了一个良性互动，健康发展的共同体。高中教学以同样的方式进行。这样发展的结果是，创新型人才与应用型随着中学阶段的发展，就不同程度显现出来，为下一步高等教育的对接打下了良好的基础。</w:t>
      </w:r>
    </w:p>
    <w:p>
      <w:pPr>
        <w:numPr>
          <w:ilvl w:val="0"/>
          <w:numId w:val="0"/>
        </w:numPr>
        <w:ind w:firstLine="560"/>
        <w:rPr>
          <w:rFonts w:hint="eastAsia"/>
          <w:sz w:val="28"/>
          <w:szCs w:val="28"/>
          <w:lang w:val="en-US" w:eastAsia="zh-CN"/>
        </w:rPr>
      </w:pPr>
      <w:r>
        <w:rPr>
          <w:rFonts w:hint="eastAsia"/>
          <w:sz w:val="28"/>
          <w:szCs w:val="28"/>
          <w:lang w:val="en-US" w:eastAsia="zh-CN"/>
        </w:rPr>
        <w:t>（三）高等教育应区别创新人才与应用型人才的不同教育方式方法。由于学生素质的差异性，兴趣、爱好的差异性，高等教育应当分为，职业高等教育与研究型高等教育，前者是多数，是大众化教育，绝大多数人都是为谋求一个适合自己的职业，满足自己的生活与文化需要，服务于社会生活与发展需要的，另外科学研究的成果最后也需要通过这部分大众化的人才转化为应用才会造福于人类，因此国家对职业高等教育，应当积极重视，不能把职业高等教育仅交给目前功利性较强的民办教育来完成，而应当走社会福利化职业高等教育之路，目前世界上高度发达的一些国家，走的就是这样的路子，从基础教育到国民高等职业教育的学费，都是国家买单，我国目前恰恰相反，职业高等教育很多是社会办学，学费高达普通高等院校学费的几倍，有的达十几倍，这是不利于职业高等教育健康的发展的，也不利于职业高等教育大众化的需要。为了解决职业高等教育大众化的问题，我国应当对一些研究能力不强，研究设备落后的一些普通高等院校进行转化，由普通高等教育转变为职业高等学校，也可以将一些普通高等院校中的一些科研水平不高的部分学院转变成职业高等教育，保留部分研究能力强的院所。对于我国高水平或者世界一流的高校和学科一流的研究型高校，注重从具有较强创新思维能力、反向思维能力（批判</w:t>
      </w:r>
      <w:bookmarkStart w:id="0" w:name="_GoBack"/>
      <w:bookmarkEnd w:id="0"/>
      <w:r>
        <w:rPr>
          <w:rFonts w:hint="eastAsia"/>
          <w:sz w:val="28"/>
          <w:szCs w:val="28"/>
          <w:lang w:val="en-US" w:eastAsia="zh-CN"/>
        </w:rPr>
        <w:t>性思维是人类思想独立和观念创新的的重要前提）</w:t>
      </w:r>
      <w:r>
        <w:rPr>
          <w:rStyle w:val="4"/>
          <w:rFonts w:hint="eastAsia"/>
          <w:sz w:val="28"/>
          <w:szCs w:val="28"/>
          <w:lang w:val="en-US" w:eastAsia="zh-CN"/>
        </w:rPr>
        <w:footnoteReference w:id="9"/>
      </w:r>
      <w:r>
        <w:rPr>
          <w:rFonts w:hint="eastAsia"/>
          <w:sz w:val="28"/>
          <w:szCs w:val="28"/>
          <w:lang w:val="en-US" w:eastAsia="zh-CN"/>
        </w:rPr>
        <w:t>、逻辑思维能力等综合素质较好的中学生中，优中选优挑选学生，进行高尖端人才的分流培养。培养的数量应与我国人口状况，发展水平相当，这样我国才能保持一大批高尖端人才，在国际竞争中立于不败之地。从目前我国高尖端人才培养的现实来看，方式有本硕博连读的形式，考硕考博的形式，两种形式各有千秋，难以区分优劣，但从毕业的研究生研究能力与水平上看，整体上存在创新能力不足，功利性较为严重，一些学生考研的目的偏离轨道，不是为某个研究领域创新添彩，而是为了功名利禄。发生这样的问题，原因是多方面的，但是其主要原因在社会的用人制度上，一些较好的企事业单位，一个普通的岗位本科生就能够胜任的工作，偏偏要浪费人才招研究生，行政部门也有推波助澜之嫌，一个乡镇的普通公务员，偏偏也美其名曰招研究生，这种大材小用的招聘方式，无疑提高了就业门槛，将本来是培养高尖端技术人才科研院所变成了变相的职业培养机构，也导致一些在校研究生，无心学问，无心研究，偏离了研究生教学的应有目标。笔者认为解决的方法是，研究生招考应当宁缺不烂，把住入口关，毕业时应当有较高的毕业生水平标准，具有相应研究能力，能够独立完成某个问题研究才能毕业，以此把好出口关，同时在待遇上应当与其他毕业生有较大的差距，与其对社会和国家的贡献相当。岗位上应当有其合适的去处，相关部门应当进行适当合理的引导安排，不能任意凭借所谓的“市场”去摆布高尖端人才，出现研究生还为就业问题四处奔波，甚至出现研究生失业的尴尬情况，造成研究人才的浪费流失。</w:t>
      </w:r>
    </w:p>
    <w:p>
      <w:pPr>
        <w:numPr>
          <w:ilvl w:val="0"/>
          <w:numId w:val="0"/>
        </w:numPr>
        <w:ind w:firstLine="560"/>
        <w:rPr>
          <w:rFonts w:hint="eastAsia"/>
          <w:sz w:val="28"/>
          <w:szCs w:val="28"/>
          <w:lang w:val="en-US" w:eastAsia="zh-CN"/>
        </w:rPr>
      </w:pPr>
      <w:r>
        <w:rPr>
          <w:rFonts w:hint="eastAsia"/>
          <w:sz w:val="28"/>
          <w:szCs w:val="28"/>
          <w:lang w:val="en-US" w:eastAsia="zh-CN"/>
        </w:rPr>
        <w:t xml:space="preserve">          结语</w:t>
      </w:r>
    </w:p>
    <w:p>
      <w:pPr>
        <w:numPr>
          <w:ilvl w:val="0"/>
          <w:numId w:val="0"/>
        </w:numPr>
        <w:ind w:firstLine="560"/>
        <w:rPr>
          <w:rFonts w:hint="eastAsia"/>
          <w:sz w:val="28"/>
          <w:szCs w:val="28"/>
          <w:lang w:val="en-US" w:eastAsia="zh-CN"/>
        </w:rPr>
      </w:pPr>
      <w:r>
        <w:rPr>
          <w:rFonts w:hint="eastAsia"/>
          <w:sz w:val="28"/>
          <w:szCs w:val="28"/>
          <w:lang w:val="en-US" w:eastAsia="zh-CN"/>
        </w:rPr>
        <w:t>基础教育与高等教育对接是一个时代的课题，从实际出发看待，基础教育存在的平均化问题，人本身的差异性，才能找到解决问题的途径，高等教育存在高大上问题，应当客观考察问题，本文分别从问题两端入手，提出了一些建议，并且从对接视角提出了一些解决办法，但由于笔者水平有限，未必妥当，但却期盼能够抛砖引玉，引出学人们的真知灼见。</w:t>
      </w:r>
    </w:p>
    <w:p>
      <w:pPr>
        <w:numPr>
          <w:ilvl w:val="0"/>
          <w:numId w:val="0"/>
        </w:numPr>
        <w:rPr>
          <w:rFonts w:hint="eastAsia"/>
          <w:sz w:val="28"/>
          <w:szCs w:val="28"/>
          <w:lang w:val="en-US" w:eastAsia="zh-CN"/>
        </w:rPr>
      </w:pPr>
    </w:p>
    <w:p>
      <w:pPr>
        <w:numPr>
          <w:ilvl w:val="0"/>
          <w:numId w:val="0"/>
        </w:numPr>
        <w:ind w:firstLine="280" w:firstLineChars="100"/>
        <w:rPr>
          <w:rFonts w:hint="eastAsia"/>
          <w:sz w:val="28"/>
          <w:szCs w:val="28"/>
          <w:lang w:val="en-US" w:eastAsia="zh-CN"/>
        </w:rPr>
      </w:pPr>
      <w:r>
        <w:rPr>
          <w:rFonts w:hint="eastAsia"/>
          <w:sz w:val="28"/>
          <w:szCs w:val="28"/>
          <w:lang w:val="en-US" w:eastAsia="zh-CN"/>
        </w:rPr>
        <w:t xml:space="preserve">  标题：人才培养的战术考量：以基础教育与高端人才培养对接为视角的考察</w:t>
      </w:r>
    </w:p>
    <w:p>
      <w:pPr>
        <w:pStyle w:val="2"/>
        <w:snapToGrid w:val="0"/>
        <w:ind w:firstLine="560" w:firstLineChars="200"/>
        <w:rPr>
          <w:sz w:val="28"/>
          <w:szCs w:val="28"/>
        </w:rPr>
      </w:pPr>
      <w:r>
        <w:rPr>
          <w:rFonts w:hint="eastAsia"/>
          <w:sz w:val="28"/>
          <w:szCs w:val="28"/>
          <w:lang w:eastAsia="zh-CN"/>
        </w:rPr>
        <w:t>作者：陈晓蓉</w:t>
      </w:r>
      <w:r>
        <w:rPr>
          <w:rFonts w:hint="eastAsia"/>
          <w:sz w:val="28"/>
          <w:szCs w:val="28"/>
          <w:lang w:val="en-US" w:eastAsia="zh-CN"/>
        </w:rPr>
        <w:t xml:space="preserve"> 丰都县教育委员会装备站副站长 研究方向基础教育，邮政编码408200，联系电话18996781637。</w:t>
      </w:r>
    </w:p>
    <w:p>
      <w:pPr>
        <w:numPr>
          <w:ilvl w:val="0"/>
          <w:numId w:val="0"/>
        </w:numPr>
        <w:ind w:firstLine="560"/>
        <w:rPr>
          <w:rFonts w:hint="eastAsia"/>
          <w:sz w:val="28"/>
          <w:szCs w:val="28"/>
          <w:lang w:val="en-US" w:eastAsia="zh-CN"/>
        </w:rPr>
      </w:pPr>
    </w:p>
    <w:sectPr>
      <w:footnotePr>
        <w:numFmt w:val="decimal"/>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pPr>
      <w:r>
        <w:rPr>
          <w:rStyle w:val="4"/>
        </w:rPr>
        <w:footnoteRef/>
      </w:r>
      <w:r>
        <w:t xml:space="preserve"> </w:t>
      </w:r>
      <w:r>
        <w:rPr>
          <w:rFonts w:hint="eastAsia"/>
          <w:lang w:eastAsia="zh-CN"/>
        </w:rPr>
        <w:t>详见十九大报告。</w:t>
      </w:r>
    </w:p>
  </w:footnote>
  <w:footnote w:id="1">
    <w:p>
      <w:pPr>
        <w:pStyle w:val="2"/>
        <w:snapToGrid w:val="0"/>
      </w:pPr>
      <w:r>
        <w:rPr>
          <w:rStyle w:val="4"/>
        </w:rPr>
        <w:footnoteRef/>
      </w:r>
      <w:r>
        <w:t xml:space="preserve"> </w:t>
      </w:r>
      <w:r>
        <w:rPr>
          <w:rFonts w:hint="eastAsia"/>
          <w:lang w:eastAsia="zh-CN"/>
        </w:rPr>
        <w:t>参见“</w:t>
      </w:r>
      <w:r>
        <w:rPr>
          <w:rFonts w:hint="eastAsia"/>
          <w:lang w:val="en-US" w:eastAsia="zh-CN"/>
        </w:rPr>
        <w:t>2017年度中国教育研究前沿与热点问题年度报告”，《教育研究》2018年第2期。</w:t>
      </w:r>
    </w:p>
  </w:footnote>
  <w:footnote w:id="2">
    <w:p>
      <w:pPr>
        <w:pStyle w:val="2"/>
        <w:snapToGrid w:val="0"/>
      </w:pPr>
      <w:r>
        <w:rPr>
          <w:rStyle w:val="4"/>
        </w:rPr>
        <w:footnoteRef/>
      </w:r>
      <w:r>
        <w:t xml:space="preserve"> </w:t>
      </w:r>
      <w:r>
        <w:rPr>
          <w:rFonts w:hint="eastAsia"/>
          <w:lang w:eastAsia="zh-CN"/>
        </w:rPr>
        <w:t>同上</w:t>
      </w:r>
      <w:r>
        <w:rPr>
          <w:rFonts w:hint="eastAsia"/>
          <w:lang w:val="en-US" w:eastAsia="zh-CN"/>
        </w:rPr>
        <w:t>2</w:t>
      </w:r>
      <w:r>
        <w:rPr>
          <w:rFonts w:hint="eastAsia"/>
          <w:lang w:eastAsia="zh-CN"/>
        </w:rPr>
        <w:t>注。</w:t>
      </w:r>
    </w:p>
  </w:footnote>
  <w:footnote w:id="3">
    <w:p>
      <w:pPr>
        <w:pStyle w:val="2"/>
        <w:snapToGrid w:val="0"/>
      </w:pPr>
      <w:r>
        <w:rPr>
          <w:rStyle w:val="4"/>
        </w:rPr>
        <w:footnoteRef/>
      </w:r>
      <w:r>
        <w:t xml:space="preserve"> </w:t>
      </w:r>
      <w:r>
        <w:rPr>
          <w:rFonts w:hint="eastAsia"/>
          <w:lang w:eastAsia="zh-CN"/>
        </w:rPr>
        <w:t>在自然科学三大诺贝尔奖项中，多年来已有</w:t>
      </w:r>
      <w:r>
        <w:rPr>
          <w:rFonts w:hint="eastAsia"/>
          <w:lang w:val="en-US" w:eastAsia="zh-CN"/>
        </w:rPr>
        <w:t>300多人次获奖，中国大陆仅有屠呦呦先生一人。其他均为美国、英国、德国、法国、瑞士、日本等发达国家。</w:t>
      </w:r>
    </w:p>
  </w:footnote>
  <w:footnote w:id="4">
    <w:p>
      <w:pPr>
        <w:pStyle w:val="2"/>
        <w:snapToGrid w:val="0"/>
      </w:pPr>
      <w:r>
        <w:rPr>
          <w:rStyle w:val="4"/>
        </w:rPr>
        <w:footnoteRef/>
      </w:r>
      <w:r>
        <w:t xml:space="preserve"> 2005年，温家宝总理在看望钱学森的时候，钱老感慨说:"这么多年培养的学生，还没有哪一个的学术成就，能够跟民国时期培养的大师相比。"</w:t>
      </w:r>
    </w:p>
  </w:footnote>
  <w:footnote w:id="5">
    <w:p>
      <w:pPr>
        <w:pStyle w:val="2"/>
        <w:snapToGrid w:val="0"/>
      </w:pPr>
      <w:r>
        <w:rPr>
          <w:rStyle w:val="4"/>
        </w:rPr>
        <w:footnoteRef/>
      </w:r>
      <w:r>
        <w:t xml:space="preserve"> </w:t>
      </w:r>
      <w:r>
        <w:rPr>
          <w:rFonts w:hint="eastAsia"/>
          <w:lang w:eastAsia="zh-CN"/>
        </w:rPr>
        <w:t>见</w:t>
      </w:r>
      <w:r>
        <w:rPr>
          <w:rFonts w:hint="eastAsia"/>
          <w:lang w:val="en-US" w:eastAsia="zh-CN"/>
        </w:rPr>
        <w:t>A县法院研究室学术成果报表。五大政法大学是指，西南政法大学、中国政法大学、中南财经政法大学、华东政法大学、西北政法大学。在法学领域这五所大学为政法部门培养了大量的法学人才。</w:t>
      </w:r>
    </w:p>
  </w:footnote>
  <w:footnote w:id="6">
    <w:p>
      <w:pPr>
        <w:pStyle w:val="2"/>
        <w:snapToGrid w:val="0"/>
      </w:pPr>
      <w:r>
        <w:rPr>
          <w:rStyle w:val="4"/>
        </w:rPr>
        <w:footnoteRef/>
      </w:r>
      <w:r>
        <w:t xml:space="preserve"> </w:t>
      </w:r>
      <w:r>
        <w:rPr>
          <w:rFonts w:hint="eastAsia"/>
          <w:lang w:eastAsia="zh-CN"/>
        </w:rPr>
        <w:t>笔者在研究本问题时专门在</w:t>
      </w:r>
      <w:r>
        <w:rPr>
          <w:rFonts w:hint="eastAsia"/>
          <w:lang w:val="en-US" w:eastAsia="zh-CN"/>
        </w:rPr>
        <w:t>2018年3月1-5日期间</w:t>
      </w:r>
      <w:r>
        <w:rPr>
          <w:rFonts w:hint="eastAsia"/>
          <w:lang w:eastAsia="zh-CN"/>
        </w:rPr>
        <w:t>访问了“研究生考试贴吧”，认真分析了考生的考研目的，及在校研究生的学习动态及今后工作打算，发现</w:t>
      </w:r>
      <w:r>
        <w:rPr>
          <w:rFonts w:hint="eastAsia"/>
          <w:lang w:val="en-US" w:eastAsia="zh-CN"/>
        </w:rPr>
        <w:t>60%左右的考生与在校研究生，对问题意识根本就没有兴趣，只是对研究生毕业后的前途、工资福利待遇兴致勃勃。</w:t>
      </w:r>
    </w:p>
  </w:footnote>
  <w:footnote w:id="7">
    <w:p>
      <w:pPr>
        <w:pStyle w:val="2"/>
        <w:snapToGrid w:val="0"/>
      </w:pPr>
      <w:r>
        <w:rPr>
          <w:rStyle w:val="4"/>
        </w:rPr>
        <w:footnoteRef/>
      </w:r>
      <w:r>
        <w:t xml:space="preserve"> </w:t>
      </w:r>
      <w:r>
        <w:rPr>
          <w:rFonts w:hint="eastAsia"/>
          <w:lang w:eastAsia="zh-CN"/>
        </w:rPr>
        <w:t>参见</w:t>
      </w:r>
      <w:r>
        <w:rPr>
          <w:rFonts w:hint="default" w:ascii="Times New Roman" w:hAnsi="Times New Roman" w:cs="Times New Roman"/>
          <w:lang w:eastAsia="zh-CN"/>
        </w:rPr>
        <w:t>[</w:t>
      </w:r>
      <w:r>
        <w:rPr>
          <w:rFonts w:hint="eastAsia" w:ascii="Times New Roman" w:hAnsi="Times New Roman" w:cs="Times New Roman"/>
          <w:lang w:eastAsia="zh-CN"/>
        </w:rPr>
        <w:t>美</w:t>
      </w:r>
      <w:r>
        <w:rPr>
          <w:rFonts w:hint="default" w:ascii="Times New Roman" w:hAnsi="Times New Roman" w:cs="Times New Roman"/>
          <w:lang w:eastAsia="zh-CN"/>
        </w:rPr>
        <w:t>]</w:t>
      </w:r>
      <w:r>
        <w:rPr>
          <w:rFonts w:hint="eastAsia" w:ascii="Times New Roman" w:hAnsi="Times New Roman" w:cs="Times New Roman"/>
          <w:lang w:eastAsia="zh-CN"/>
        </w:rPr>
        <w:t>约翰</w:t>
      </w:r>
      <w:r>
        <w:rPr>
          <w:rFonts w:hint="eastAsia" w:asciiTheme="minorEastAsia" w:hAnsiTheme="minorEastAsia" w:cstheme="minorEastAsia"/>
          <w:lang w:val="en-US" w:eastAsia="zh-CN"/>
        </w:rPr>
        <w:t>.罗尔斯著；《正义论》，何怀宏 何包钢 廖申白译，中国社会科学出版社1988年版前言部分第6页。</w:t>
      </w:r>
    </w:p>
  </w:footnote>
  <w:footnote w:id="8">
    <w:p>
      <w:pPr>
        <w:pStyle w:val="2"/>
        <w:snapToGrid w:val="0"/>
      </w:pPr>
      <w:r>
        <w:rPr>
          <w:rStyle w:val="4"/>
        </w:rPr>
        <w:footnoteRef/>
      </w:r>
      <w:r>
        <w:t xml:space="preserve"> </w:t>
      </w:r>
      <w:r>
        <w:rPr>
          <w:rFonts w:hint="eastAsia"/>
          <w:lang w:eastAsia="zh-CN"/>
        </w:rPr>
        <w:t>我国的初中与高中教育均三年制，这里简称“三年”。</w:t>
      </w:r>
    </w:p>
  </w:footnote>
  <w:footnote w:id="9">
    <w:p>
      <w:pPr>
        <w:pStyle w:val="2"/>
        <w:snapToGrid w:val="0"/>
      </w:pPr>
      <w:r>
        <w:rPr>
          <w:rStyle w:val="4"/>
        </w:rPr>
        <w:footnoteRef/>
      </w:r>
      <w:r>
        <w:t xml:space="preserve"> </w:t>
      </w:r>
      <w:r>
        <w:rPr>
          <w:rFonts w:hint="eastAsia"/>
          <w:lang w:eastAsia="zh-CN"/>
        </w:rPr>
        <w:t>褚宏启：“学生创新能力发展的整体设计与策略组合”，《教育研究》</w:t>
      </w:r>
      <w:r>
        <w:rPr>
          <w:rFonts w:hint="eastAsia"/>
          <w:lang w:val="en-US" w:eastAsia="zh-CN"/>
        </w:rPr>
        <w:t>2017年第10期。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471E5A"/>
    <w:multiLevelType w:val="singleLevel"/>
    <w:tmpl w:val="B9471E5A"/>
    <w:lvl w:ilvl="0" w:tentative="0">
      <w:start w:val="1"/>
      <w:numFmt w:val="decimal"/>
      <w:suff w:val="nothing"/>
      <w:lvlText w:val="%1、"/>
      <w:lvlJc w:val="left"/>
    </w:lvl>
  </w:abstractNum>
  <w:abstractNum w:abstractNumId="1">
    <w:nsid w:val="0ADD4237"/>
    <w:multiLevelType w:val="singleLevel"/>
    <w:tmpl w:val="0ADD4237"/>
    <w:lvl w:ilvl="0" w:tentative="0">
      <w:start w:val="1"/>
      <w:numFmt w:val="decimal"/>
      <w:suff w:val="nothing"/>
      <w:lvlText w:val="%1、"/>
      <w:lvlJc w:val="left"/>
    </w:lvl>
  </w:abstractNum>
  <w:abstractNum w:abstractNumId="2">
    <w:nsid w:val="4A19DB84"/>
    <w:multiLevelType w:val="singleLevel"/>
    <w:tmpl w:val="4A19DB84"/>
    <w:lvl w:ilvl="0" w:tentative="0">
      <w:start w:val="1"/>
      <w:numFmt w:val="chineseCounting"/>
      <w:suff w:val="nothing"/>
      <w:lvlText w:val="%1、"/>
      <w:lvlJc w:val="left"/>
      <w:rPr>
        <w:rFonts w:hint="eastAsia"/>
      </w:rPr>
    </w:lvl>
  </w:abstractNum>
  <w:abstractNum w:abstractNumId="3">
    <w:nsid w:val="4EF2359C"/>
    <w:multiLevelType w:val="singleLevel"/>
    <w:tmpl w:val="4EF2359C"/>
    <w:lvl w:ilvl="0" w:tentative="0">
      <w:start w:val="1"/>
      <w:numFmt w:val="chineseCounting"/>
      <w:suff w:val="nothing"/>
      <w:lvlText w:val="（%1）"/>
      <w:lvlJc w:val="left"/>
      <w:pPr>
        <w:ind w:left="560" w:leftChars="0" w:firstLine="0" w:firstLineChars="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0268D4"/>
    <w:rsid w:val="02087B94"/>
    <w:rsid w:val="024718DB"/>
    <w:rsid w:val="03F60CEB"/>
    <w:rsid w:val="051F264B"/>
    <w:rsid w:val="066C4C37"/>
    <w:rsid w:val="072A0A44"/>
    <w:rsid w:val="074C179F"/>
    <w:rsid w:val="0DC321F7"/>
    <w:rsid w:val="0F987300"/>
    <w:rsid w:val="100E5673"/>
    <w:rsid w:val="13507799"/>
    <w:rsid w:val="138934AF"/>
    <w:rsid w:val="17E07BEE"/>
    <w:rsid w:val="193F5FD3"/>
    <w:rsid w:val="1FD8354D"/>
    <w:rsid w:val="1FDC1552"/>
    <w:rsid w:val="20893FB3"/>
    <w:rsid w:val="212504BC"/>
    <w:rsid w:val="233E79E0"/>
    <w:rsid w:val="26D54536"/>
    <w:rsid w:val="27E41E2E"/>
    <w:rsid w:val="29510F92"/>
    <w:rsid w:val="2A7B49E3"/>
    <w:rsid w:val="2B04214E"/>
    <w:rsid w:val="2F241B68"/>
    <w:rsid w:val="33A34CB5"/>
    <w:rsid w:val="340268D4"/>
    <w:rsid w:val="387A379A"/>
    <w:rsid w:val="38F16D95"/>
    <w:rsid w:val="40146DB7"/>
    <w:rsid w:val="41124160"/>
    <w:rsid w:val="43952B9E"/>
    <w:rsid w:val="4912146B"/>
    <w:rsid w:val="4C477E79"/>
    <w:rsid w:val="4E0F02ED"/>
    <w:rsid w:val="4FBD41D5"/>
    <w:rsid w:val="511F2E2F"/>
    <w:rsid w:val="5167359E"/>
    <w:rsid w:val="528B316B"/>
    <w:rsid w:val="53767267"/>
    <w:rsid w:val="53CF6649"/>
    <w:rsid w:val="54E964C8"/>
    <w:rsid w:val="59C00ECD"/>
    <w:rsid w:val="605611AA"/>
    <w:rsid w:val="6377161E"/>
    <w:rsid w:val="657F0F93"/>
    <w:rsid w:val="6A150D92"/>
    <w:rsid w:val="6A1D33E2"/>
    <w:rsid w:val="6A37579B"/>
    <w:rsid w:val="73DC6007"/>
    <w:rsid w:val="758F7387"/>
    <w:rsid w:val="761170AE"/>
    <w:rsid w:val="76414270"/>
    <w:rsid w:val="769C255B"/>
    <w:rsid w:val="7C027B81"/>
    <w:rsid w:val="7D0C3AE4"/>
    <w:rsid w:val="7DAB558F"/>
    <w:rsid w:val="7FE82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character" w:styleId="4">
    <w:name w:val="footnote reference"/>
    <w:basedOn w:val="3"/>
    <w:qFormat/>
    <w:uiPriority w:val="0"/>
    <w:rPr>
      <w:vertAlign w:val="superscript"/>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2018-04-10T12:02:00Z</dcterms:created>
  <dc:creator>Administrator</dc:creator>
  <cp:lastModifiedBy>Administrator</cp:lastModifiedBy>
  <dcterms:modified xsi:type="dcterms:W3CDTF">2018-04-21T02:15:15Z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KSORubyTemplateID" linkTarget="0">
    <vt:lpwstr>6</vt:lpwstr>
  </property>
</Properties>
</file>