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宋体" w:hAnsi="宋体" w:eastAsia="宋体"/>
          <w:sz w:val="32"/>
          <w:szCs w:val="32"/>
        </w:rPr>
      </w:pPr>
      <w:r>
        <w:rPr>
          <w:rFonts w:hint="eastAsia"/>
          <w:sz w:val="32"/>
          <w:szCs w:val="32"/>
          <w:lang w:val="en-US" w:eastAsia="zh-CN"/>
        </w:rPr>
        <w:t>与本案没有事实关联的其他类案判决书不属于证据法庭应不作为证据交付其他当事人质证——</w:t>
      </w:r>
      <w:r>
        <w:rPr>
          <w:rFonts w:hint="eastAsia" w:ascii="仿宋" w:hAnsi="仿宋" w:eastAsia="仿宋"/>
          <w:color w:val="000000"/>
          <w:sz w:val="32"/>
          <w:szCs w:val="32"/>
          <w:lang w:eastAsia="zh-CN"/>
        </w:rPr>
        <w:t>程正昊等诉</w:t>
      </w:r>
      <w:r>
        <w:rPr>
          <w:rFonts w:hint="eastAsia" w:ascii="仿宋" w:hAnsi="仿宋" w:eastAsia="仿宋" w:cs="E-BZ9-PK74888-Identity-H"/>
          <w:kern w:val="0"/>
          <w:sz w:val="32"/>
          <w:szCs w:val="32"/>
        </w:rPr>
        <w:t>国网重庆市电力公司丰都供电分公司</w:t>
      </w:r>
      <w:r>
        <w:rPr>
          <w:rFonts w:hint="eastAsia" w:ascii="仿宋" w:hAnsi="仿宋" w:eastAsia="仿宋" w:cs="H-SS9-PK74820000a48-Identity-H"/>
          <w:kern w:val="0"/>
          <w:sz w:val="32"/>
          <w:szCs w:val="32"/>
        </w:rPr>
        <w:t>生命权</w:t>
      </w:r>
      <w:r>
        <w:rPr>
          <w:rFonts w:hint="eastAsia" w:ascii="仿宋" w:hAnsi="仿宋" w:eastAsia="仿宋"/>
          <w:color w:val="000000"/>
          <w:sz w:val="32"/>
          <w:szCs w:val="32"/>
        </w:rPr>
        <w:t>案</w:t>
      </w:r>
    </w:p>
    <w:p>
      <w:pPr>
        <w:rPr>
          <w:rFonts w:hint="eastAsia"/>
          <w:sz w:val="32"/>
          <w:szCs w:val="32"/>
          <w:lang w:val="en-US" w:eastAsia="zh-CN"/>
        </w:rPr>
      </w:pPr>
    </w:p>
    <w:p>
      <w:pPr>
        <w:rPr>
          <w:rFonts w:ascii="Times New Roman" w:hAnsi="仿宋" w:eastAsia="仿宋" w:cs="Times New Roman"/>
          <w:sz w:val="32"/>
          <w:szCs w:val="32"/>
        </w:rPr>
      </w:pPr>
      <w:r>
        <w:rPr>
          <w:rFonts w:hint="eastAsia" w:asciiTheme="minorEastAsia" w:hAnsiTheme="minorEastAsia"/>
          <w:sz w:val="44"/>
          <w:szCs w:val="44"/>
        </w:rPr>
        <w:t xml:space="preserve">  </w:t>
      </w:r>
      <w:r>
        <w:rPr>
          <w:rFonts w:hint="eastAsia" w:asciiTheme="minorEastAsia" w:hAnsiTheme="minorEastAsia"/>
          <w:sz w:val="28"/>
          <w:szCs w:val="28"/>
        </w:rPr>
        <w:t xml:space="preserve"> </w:t>
      </w:r>
      <w:r>
        <w:rPr>
          <w:rFonts w:hint="default" w:ascii="Times New Roman" w:hAnsi="Times New Roman" w:cs="Times New Roman"/>
          <w:sz w:val="28"/>
          <w:szCs w:val="28"/>
        </w:rPr>
        <w:t>[</w:t>
      </w:r>
      <w:r>
        <w:rPr>
          <w:rFonts w:hint="eastAsia" w:ascii="Times New Roman" w:hAnsi="Times New Roman" w:cs="Times New Roman"/>
          <w:sz w:val="28"/>
          <w:szCs w:val="28"/>
          <w:lang w:eastAsia="zh-CN"/>
        </w:rPr>
        <w:t>案件基本信息</w:t>
      </w:r>
      <w:r>
        <w:rPr>
          <w:rFonts w:hint="default" w:ascii="Times New Roman" w:hAnsi="Times New Roman" w:cs="Times New Roman"/>
          <w:sz w:val="28"/>
          <w:szCs w:val="28"/>
        </w:rPr>
        <w:t>]</w:t>
      </w:r>
      <w:r>
        <w:rPr>
          <w:rFonts w:hint="eastAsia" w:asciiTheme="minorEastAsia" w:hAnsiTheme="minorEastAsia"/>
          <w:sz w:val="28"/>
          <w:szCs w:val="28"/>
        </w:rPr>
        <w:t xml:space="preserve">  </w:t>
      </w:r>
      <w:r>
        <w:rPr>
          <w:rFonts w:hint="eastAsia" w:asciiTheme="minorEastAsia" w:hAnsiTheme="minorEastAsia"/>
          <w:sz w:val="44"/>
          <w:szCs w:val="44"/>
        </w:rPr>
        <w:t xml:space="preserve">      </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ascii="Times New Roman" w:hAnsi="仿宋" w:eastAsia="仿宋" w:cs="Times New Roman"/>
          <w:sz w:val="28"/>
          <w:szCs w:val="28"/>
        </w:rPr>
        <w:t>、判决书字号</w:t>
      </w:r>
    </w:p>
    <w:p>
      <w:pPr>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eastAsia="zh-CN"/>
        </w:rPr>
        <w:t>重庆市第三中级人民法院（</w:t>
      </w:r>
      <w:r>
        <w:rPr>
          <w:rFonts w:hint="eastAsia" w:ascii="Times New Roman" w:hAnsi="Times New Roman" w:eastAsia="仿宋" w:cs="Times New Roman"/>
          <w:sz w:val="28"/>
          <w:szCs w:val="28"/>
          <w:lang w:val="en-US" w:eastAsia="zh-CN"/>
        </w:rPr>
        <w:t>2020</w:t>
      </w:r>
      <w:r>
        <w:rPr>
          <w:rFonts w:hint="eastAsia" w:ascii="Times New Roman" w:hAnsi="Times New Roman" w:eastAsia="仿宋" w:cs="Times New Roman"/>
          <w:sz w:val="28"/>
          <w:szCs w:val="28"/>
          <w:lang w:eastAsia="zh-CN"/>
        </w:rPr>
        <w:t>）渝</w:t>
      </w:r>
      <w:r>
        <w:rPr>
          <w:rFonts w:hint="eastAsia" w:ascii="Times New Roman" w:hAnsi="Times New Roman" w:eastAsia="仿宋" w:cs="Times New Roman"/>
          <w:sz w:val="28"/>
          <w:szCs w:val="28"/>
          <w:lang w:val="en-US" w:eastAsia="zh-CN"/>
        </w:rPr>
        <w:t>03民终32号</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ascii="Times New Roman" w:hAnsi="仿宋" w:eastAsia="仿宋" w:cs="Times New Roman"/>
          <w:sz w:val="28"/>
          <w:szCs w:val="28"/>
        </w:rPr>
        <w:t>、案由：</w:t>
      </w:r>
      <w:r>
        <w:rPr>
          <w:rFonts w:hint="eastAsia" w:ascii="仿宋" w:hAnsi="仿宋" w:eastAsia="仿宋" w:cs="H-SS9-PK74820000a48-Identity-H"/>
          <w:kern w:val="0"/>
          <w:sz w:val="32"/>
          <w:szCs w:val="32"/>
        </w:rPr>
        <w:t>生命权</w:t>
      </w:r>
      <w:r>
        <w:rPr>
          <w:rFonts w:hint="eastAsia" w:ascii="仿宋" w:hAnsi="仿宋" w:eastAsia="仿宋" w:cs="H-SS9-PK74820000a48-Identity-H"/>
          <w:kern w:val="0"/>
          <w:sz w:val="32"/>
          <w:szCs w:val="32"/>
          <w:lang w:eastAsia="zh-CN"/>
        </w:rPr>
        <w:t>纠纷</w:t>
      </w:r>
      <w:r>
        <w:rPr>
          <w:rFonts w:hint="eastAsia" w:ascii="仿宋" w:hAnsi="仿宋" w:eastAsia="仿宋"/>
          <w:color w:val="000000"/>
          <w:sz w:val="32"/>
          <w:szCs w:val="32"/>
        </w:rPr>
        <w:t>案</w:t>
      </w:r>
    </w:p>
    <w:p>
      <w:pPr>
        <w:ind w:firstLine="560" w:firstLineChars="200"/>
        <w:rPr>
          <w:rFonts w:hint="eastAsia" w:ascii="Times New Roman" w:hAnsi="Times New Roman" w:eastAsia="仿宋" w:cs="Times New Roman"/>
          <w:sz w:val="28"/>
          <w:szCs w:val="28"/>
          <w:lang w:eastAsia="zh-CN"/>
        </w:rPr>
      </w:pPr>
      <w:r>
        <w:rPr>
          <w:rFonts w:ascii="Times New Roman" w:hAnsi="Times New Roman" w:eastAsia="仿宋" w:cs="Times New Roman"/>
          <w:sz w:val="28"/>
          <w:szCs w:val="28"/>
        </w:rPr>
        <w:t>3</w:t>
      </w:r>
      <w:r>
        <w:rPr>
          <w:rFonts w:ascii="Times New Roman" w:hAnsi="仿宋" w:eastAsia="仿宋" w:cs="Times New Roman"/>
          <w:sz w:val="28"/>
          <w:szCs w:val="28"/>
        </w:rPr>
        <w:t>、</w:t>
      </w:r>
      <w:r>
        <w:rPr>
          <w:rFonts w:hint="eastAsia" w:ascii="Times New Roman" w:hAnsi="仿宋" w:eastAsia="仿宋" w:cs="Times New Roman"/>
          <w:sz w:val="28"/>
          <w:szCs w:val="28"/>
          <w:lang w:eastAsia="zh-CN"/>
        </w:rPr>
        <w:t>当事人</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（被上诉人）</w:t>
      </w:r>
      <w:r>
        <w:rPr>
          <w:rFonts w:hint="eastAsia" w:ascii="仿宋" w:hAnsi="仿宋" w:eastAsia="仿宋" w:cs="SSJ-PK74820000a3c-Identity-H"/>
          <w:kern w:val="0"/>
          <w:sz w:val="32"/>
          <w:szCs w:val="32"/>
        </w:rPr>
        <w:t>：程正昊。</w:t>
      </w:r>
      <w:r>
        <w:rPr>
          <w:rFonts w:ascii="仿宋" w:hAnsi="仿宋" w:eastAsia="仿宋" w:cs="SSJ-PK74820000a3c-Identity-H"/>
          <w:kern w:val="0"/>
          <w:sz w:val="32"/>
          <w:szCs w:val="32"/>
        </w:rPr>
        <w:cr/>
      </w:r>
      <w:r>
        <w:rPr>
          <w:rFonts w:ascii="仿宋" w:hAnsi="仿宋" w:eastAsia="仿宋" w:cs="SSJ-PK74820000a3c-Identity-H"/>
          <w:kern w:val="0"/>
          <w:sz w:val="32"/>
          <w:szCs w:val="32"/>
        </w:rPr>
        <w:t xml:space="preserve">    </w:t>
      </w: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（被上诉人）</w:t>
      </w:r>
      <w:r>
        <w:rPr>
          <w:rFonts w:hint="eastAsia" w:ascii="仿宋" w:hAnsi="仿宋" w:eastAsia="仿宋" w:cs="SSJ-PK74820000a3c-Identity-H"/>
          <w:kern w:val="0"/>
          <w:sz w:val="32"/>
          <w:szCs w:val="32"/>
        </w:rPr>
        <w:t>：程若溪。</w:t>
      </w:r>
      <w:r>
        <w:rPr>
          <w:rFonts w:ascii="仿宋" w:hAnsi="仿宋" w:eastAsia="仿宋" w:cs="SSJ-PK74820000a3c-Identity-H"/>
          <w:kern w:val="0"/>
          <w:sz w:val="32"/>
          <w:szCs w:val="32"/>
        </w:rPr>
        <w:cr/>
      </w:r>
      <w:r>
        <w:rPr>
          <w:rFonts w:ascii="仿宋" w:hAnsi="仿宋" w:eastAsia="仿宋" w:cs="SSJ-PK74820000a3c-Identity-H"/>
          <w:kern w:val="0"/>
          <w:sz w:val="32"/>
          <w:szCs w:val="32"/>
        </w:rPr>
        <w:t xml:space="preserve">    </w:t>
      </w: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（被上诉人）</w:t>
      </w:r>
      <w:r>
        <w:rPr>
          <w:rFonts w:hint="eastAsia" w:ascii="仿宋" w:hAnsi="仿宋" w:eastAsia="仿宋" w:cs="SSJ-PK74820000a3c-Identity-H"/>
          <w:kern w:val="0"/>
          <w:sz w:val="32"/>
          <w:szCs w:val="32"/>
        </w:rPr>
        <w:t>暨程正昊与程若溪的法定代理人（系程正昊与程若溪之母）：谢敏</w:t>
      </w:r>
      <w:r>
        <w:rPr>
          <w:rFonts w:hint="eastAsia" w:ascii="仿宋" w:hAnsi="仿宋" w:eastAsia="仿宋" w:cs="SSJ-PK74820000a3c-Identity-H"/>
          <w:kern w:val="0"/>
          <w:sz w:val="32"/>
          <w:szCs w:val="32"/>
          <w:lang w:eastAsia="zh-CN"/>
        </w:rPr>
        <w:t>。</w:t>
      </w:r>
      <w:r>
        <w:rPr>
          <w:rFonts w:ascii="仿宋" w:hAnsi="仿宋" w:eastAsia="仿宋" w:cs="SSJ-PK74820000a3c-Identity-H"/>
          <w:kern w:val="0"/>
          <w:sz w:val="32"/>
          <w:szCs w:val="32"/>
        </w:rPr>
        <w:cr/>
      </w:r>
      <w:r>
        <w:rPr>
          <w:rFonts w:ascii="仿宋" w:hAnsi="仿宋" w:eastAsia="仿宋" w:cs="SSJ-PK74820000a3c-Identity-H"/>
          <w:kern w:val="0"/>
          <w:sz w:val="32"/>
          <w:szCs w:val="32"/>
        </w:rPr>
        <w:t xml:space="preserve">    </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（被上诉人）</w:t>
      </w:r>
      <w:r>
        <w:rPr>
          <w:rFonts w:hint="eastAsia" w:ascii="仿宋" w:hAnsi="仿宋" w:eastAsia="仿宋" w:cs="SSJ-PK74820000a3c-Identity-H"/>
          <w:kern w:val="0"/>
          <w:sz w:val="32"/>
          <w:szCs w:val="32"/>
        </w:rPr>
        <w:t>：周素琼。</w:t>
      </w:r>
      <w:r>
        <w:rPr>
          <w:rFonts w:ascii="仿宋" w:hAnsi="仿宋" w:eastAsia="仿宋" w:cs="SSJ-PK74820000a3c-Identity-H"/>
          <w:kern w:val="0"/>
          <w:sz w:val="32"/>
          <w:szCs w:val="32"/>
        </w:rPr>
        <w:cr/>
      </w:r>
      <w:r>
        <w:rPr>
          <w:rFonts w:ascii="仿宋" w:hAnsi="仿宋" w:eastAsia="仿宋" w:cs="SSJ-PK74820000a3c-Identity-H"/>
          <w:kern w:val="0"/>
          <w:sz w:val="32"/>
          <w:szCs w:val="32"/>
        </w:rPr>
        <w:t xml:space="preserve">    </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（被上诉人）</w:t>
      </w:r>
      <w:r>
        <w:rPr>
          <w:rFonts w:hint="eastAsia" w:ascii="仿宋" w:hAnsi="仿宋" w:eastAsia="仿宋" w:cs="SSJ-PK74820000a3c-Identity-H"/>
          <w:kern w:val="0"/>
          <w:sz w:val="32"/>
          <w:szCs w:val="32"/>
        </w:rPr>
        <w:t>：程秀雄。</w:t>
      </w:r>
    </w:p>
    <w:p>
      <w:pPr>
        <w:autoSpaceDE w:val="0"/>
        <w:autoSpaceDN w:val="0"/>
        <w:adjustRightInd w:val="0"/>
        <w:ind w:firstLine="640" w:firstLineChars="200"/>
        <w:rPr>
          <w:rFonts w:hint="eastAsia" w:ascii="仿宋" w:hAnsi="仿宋" w:eastAsia="仿宋" w:cs="仿宋"/>
          <w:b w:val="0"/>
          <w:bCs w:val="0"/>
          <w:color w:val="000000"/>
          <w:sz w:val="32"/>
          <w:szCs w:val="32"/>
        </w:rPr>
      </w:pPr>
      <w:r>
        <w:rPr>
          <w:rFonts w:ascii="仿宋" w:hAnsi="仿宋" w:eastAsia="仿宋" w:cs="SSJ-PK74820000a3c-Identity-H"/>
          <w:kern w:val="0"/>
          <w:sz w:val="32"/>
          <w:szCs w:val="32"/>
        </w:rPr>
        <w:t xml:space="preserve"> </w:t>
      </w:r>
      <w:r>
        <w:rPr>
          <w:rFonts w:hint="eastAsia" w:ascii="仿宋" w:hAnsi="仿宋" w:eastAsia="仿宋" w:cs="SSJ-PK74820000a3c-Identity-H"/>
          <w:kern w:val="0"/>
          <w:sz w:val="32"/>
          <w:szCs w:val="32"/>
        </w:rPr>
        <w:t>被告</w:t>
      </w:r>
      <w:r>
        <w:rPr>
          <w:rFonts w:hint="eastAsia" w:ascii="仿宋" w:hAnsi="仿宋" w:eastAsia="仿宋" w:cs="SSJ-PK74820000a3c-Identity-H"/>
          <w:kern w:val="0"/>
          <w:sz w:val="32"/>
          <w:szCs w:val="32"/>
          <w:lang w:eastAsia="zh-CN"/>
        </w:rPr>
        <w:t>（被上诉人）</w:t>
      </w:r>
      <w:r>
        <w:rPr>
          <w:rFonts w:hint="eastAsia" w:ascii="仿宋" w:hAnsi="仿宋" w:eastAsia="仿宋" w:cs="SSJ-PK74820000a3c-Identity-H"/>
          <w:kern w:val="0"/>
          <w:sz w:val="32"/>
          <w:szCs w:val="32"/>
        </w:rPr>
        <w:t>：国网重庆市电力公司丰都供电分公司。</w:t>
      </w:r>
    </w:p>
    <w:p>
      <w:pPr>
        <w:spacing w:line="360" w:lineRule="auto"/>
        <w:ind w:firstLine="420" w:firstLineChars="150"/>
        <w:rPr>
          <w:rFonts w:ascii="Times New Roman" w:hAnsi="Times New Roman" w:eastAsia="仿宋" w:cs="Times New Roman"/>
          <w:sz w:val="28"/>
          <w:szCs w:val="28"/>
        </w:rPr>
      </w:pP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eastAsia="zh-CN"/>
        </w:rPr>
        <w:t>基本案情</w:t>
      </w:r>
      <w:r>
        <w:rPr>
          <w:rFonts w:hint="default" w:ascii="Times New Roman" w:hAnsi="Times New Roman" w:eastAsia="仿宋" w:cs="Times New Roman"/>
          <w:sz w:val="28"/>
          <w:szCs w:val="28"/>
        </w:rPr>
        <w:t>]</w:t>
      </w:r>
    </w:p>
    <w:p>
      <w:pPr>
        <w:autoSpaceDE w:val="0"/>
        <w:autoSpaceDN w:val="0"/>
        <w:adjustRightInd w:val="0"/>
        <w:ind w:firstLine="640" w:firstLineChars="200"/>
        <w:rPr>
          <w:rFonts w:ascii="仿宋" w:hAnsi="仿宋" w:eastAsia="仿宋" w:cs="仿宋"/>
          <w:kern w:val="0"/>
          <w:sz w:val="32"/>
          <w:szCs w:val="32"/>
        </w:rPr>
      </w:pPr>
      <w:r>
        <w:rPr>
          <w:rFonts w:ascii="仿宋" w:hAnsi="仿宋" w:eastAsia="仿宋" w:cs="H-SS9-PK74820000a48-Identity-H"/>
          <w:kern w:val="0"/>
          <w:sz w:val="32"/>
          <w:szCs w:val="32"/>
        </w:rPr>
        <w:t>2019</w:t>
      </w:r>
      <w:r>
        <w:rPr>
          <w:rFonts w:hint="eastAsia" w:ascii="仿宋" w:hAnsi="仿宋" w:eastAsia="仿宋" w:cs="H-SS9-PK74820000a48-Identity-H"/>
          <w:kern w:val="0"/>
          <w:sz w:val="32"/>
          <w:szCs w:val="32"/>
        </w:rPr>
        <w:t>年</w:t>
      </w:r>
      <w:r>
        <w:rPr>
          <w:rFonts w:ascii="仿宋" w:hAnsi="仿宋" w:eastAsia="仿宋" w:cs="H-SS9-PK74820000a48-Identity-H"/>
          <w:kern w:val="0"/>
          <w:sz w:val="32"/>
          <w:szCs w:val="32"/>
        </w:rPr>
        <w:t>6</w:t>
      </w:r>
      <w:r>
        <w:rPr>
          <w:rFonts w:hint="eastAsia" w:ascii="仿宋" w:hAnsi="仿宋" w:eastAsia="仿宋" w:cs="H-SS9-PK74820000a48-Identity-H"/>
          <w:kern w:val="0"/>
          <w:sz w:val="32"/>
          <w:szCs w:val="32"/>
        </w:rPr>
        <w:t>月</w:t>
      </w:r>
      <w:r>
        <w:rPr>
          <w:rFonts w:ascii="仿宋" w:hAnsi="仿宋" w:eastAsia="仿宋" w:cs="H-SS9-PK74820000a48-Identity-H"/>
          <w:kern w:val="0"/>
          <w:sz w:val="32"/>
          <w:szCs w:val="32"/>
        </w:rPr>
        <w:t>18</w:t>
      </w:r>
      <w:r>
        <w:rPr>
          <w:rFonts w:hint="eastAsia" w:ascii="仿宋" w:hAnsi="仿宋" w:eastAsia="仿宋" w:cs="H-SS9-PK74820000a48-Identity-H"/>
          <w:kern w:val="0"/>
          <w:sz w:val="32"/>
          <w:szCs w:val="32"/>
        </w:rPr>
        <w:t>日下午，</w:t>
      </w:r>
      <w:r>
        <w:rPr>
          <w:rFonts w:hint="eastAsia" w:ascii="仿宋" w:hAnsi="仿宋" w:eastAsia="仿宋" w:cs="E-BZ9-PK74888-Identity-H"/>
          <w:kern w:val="0"/>
          <w:sz w:val="32"/>
          <w:szCs w:val="32"/>
        </w:rPr>
        <w:t>程杰在丰都县社坛镇地坝嘴村</w:t>
      </w:r>
      <w:r>
        <w:rPr>
          <w:rFonts w:ascii="仿宋" w:hAnsi="仿宋" w:eastAsia="仿宋" w:cs="E-BZ9-PK74888-Identity-H"/>
          <w:kern w:val="0"/>
          <w:sz w:val="32"/>
          <w:szCs w:val="32"/>
        </w:rPr>
        <w:t>6</w:t>
      </w:r>
      <w:r>
        <w:rPr>
          <w:rFonts w:hint="eastAsia" w:ascii="仿宋" w:hAnsi="仿宋" w:eastAsia="仿宋" w:cs="E-BZ9-PK74888-Identity-H"/>
          <w:kern w:val="0"/>
          <w:sz w:val="32"/>
          <w:szCs w:val="32"/>
        </w:rPr>
        <w:t>组吴继华经营的池塘钓鱼，同日</w:t>
      </w:r>
      <w:r>
        <w:rPr>
          <w:rFonts w:ascii="仿宋" w:hAnsi="仿宋" w:eastAsia="仿宋" w:cs="E-BZ9-PK74888-Identity-H"/>
          <w:kern w:val="0"/>
          <w:sz w:val="32"/>
          <w:szCs w:val="32"/>
        </w:rPr>
        <w:t>3</w:t>
      </w:r>
      <w:r>
        <w:rPr>
          <w:rFonts w:hint="eastAsia" w:ascii="仿宋" w:hAnsi="仿宋" w:eastAsia="仿宋" w:cs="E-BZ9-PK74888-Identity-H"/>
          <w:kern w:val="0"/>
          <w:sz w:val="32"/>
          <w:szCs w:val="32"/>
        </w:rPr>
        <w:t>时</w:t>
      </w:r>
      <w:r>
        <w:rPr>
          <w:rFonts w:ascii="仿宋" w:hAnsi="仿宋" w:eastAsia="仿宋" w:cs="E-BZ9-PK74888-Identity-H"/>
          <w:kern w:val="0"/>
          <w:sz w:val="32"/>
          <w:szCs w:val="32"/>
        </w:rPr>
        <w:t>40</w:t>
      </w:r>
      <w:r>
        <w:rPr>
          <w:rFonts w:hint="eastAsia" w:ascii="仿宋" w:hAnsi="仿宋" w:eastAsia="仿宋" w:cs="E-BZ9-PK74888-Identity-H"/>
          <w:kern w:val="0"/>
          <w:sz w:val="32"/>
          <w:szCs w:val="32"/>
        </w:rPr>
        <w:t>分许，程杰手持鱼竿往外行走，当行到池塘栅栏外面的人行路段时，因鱼竿不慎与贯穿于道路上方的</w:t>
      </w:r>
      <w:r>
        <w:rPr>
          <w:rFonts w:ascii="仿宋" w:hAnsi="仿宋" w:eastAsia="仿宋" w:cs="E-BZ9-PK74888-Identity-H"/>
          <w:kern w:val="0"/>
          <w:sz w:val="32"/>
          <w:szCs w:val="32"/>
        </w:rPr>
        <w:t>10</w:t>
      </w:r>
      <w:r>
        <w:rPr>
          <w:rFonts w:hint="eastAsia" w:ascii="仿宋" w:hAnsi="仿宋" w:eastAsia="仿宋" w:cs="E-BZ9-PK74888-Identity-H"/>
          <w:kern w:val="0"/>
          <w:sz w:val="32"/>
          <w:szCs w:val="32"/>
        </w:rPr>
        <w:t>千伏高压线接触，导致程杰触电受伤，当日经抢救无效死亡，谢敏支付抢救治疗费等</w:t>
      </w:r>
      <w:r>
        <w:rPr>
          <w:rFonts w:ascii="仿宋" w:hAnsi="仿宋" w:eastAsia="仿宋" w:cs="E-BZ9-PK74888-Identity-H"/>
          <w:kern w:val="0"/>
          <w:sz w:val="32"/>
          <w:szCs w:val="32"/>
        </w:rPr>
        <w:t>293.83</w:t>
      </w:r>
      <w:r>
        <w:rPr>
          <w:rFonts w:hint="eastAsia" w:ascii="仿宋" w:hAnsi="仿宋" w:eastAsia="仿宋" w:cs="E-BZ9-PK74888-Identity-H"/>
          <w:kern w:val="0"/>
          <w:sz w:val="32"/>
          <w:szCs w:val="32"/>
        </w:rPr>
        <w:t>元。</w:t>
      </w:r>
      <w:r>
        <w:rPr>
          <w:rFonts w:ascii="仿宋" w:hAnsi="仿宋" w:eastAsia="仿宋" w:cs="E-BZ9-PK74888-Identity-H"/>
          <w:kern w:val="0"/>
          <w:sz w:val="32"/>
          <w:szCs w:val="32"/>
        </w:rPr>
        <w:t>2019</w:t>
      </w:r>
      <w:r>
        <w:rPr>
          <w:rFonts w:hint="eastAsia" w:ascii="仿宋" w:hAnsi="仿宋" w:eastAsia="仿宋" w:cs="E-BZ9-PK74888-Identity-H"/>
          <w:kern w:val="0"/>
          <w:sz w:val="32"/>
          <w:szCs w:val="32"/>
        </w:rPr>
        <w:t>年</w:t>
      </w:r>
      <w:r>
        <w:rPr>
          <w:rFonts w:ascii="仿宋" w:hAnsi="仿宋" w:eastAsia="仿宋" w:cs="E-BZ9-PK74888-Identity-H"/>
          <w:kern w:val="0"/>
          <w:sz w:val="32"/>
          <w:szCs w:val="32"/>
        </w:rPr>
        <w:t>6</w:t>
      </w:r>
      <w:r>
        <w:rPr>
          <w:rFonts w:hint="eastAsia" w:ascii="仿宋" w:hAnsi="仿宋" w:eastAsia="仿宋" w:cs="E-BZ9-PK74888-Identity-H"/>
          <w:kern w:val="0"/>
          <w:sz w:val="32"/>
          <w:szCs w:val="32"/>
        </w:rPr>
        <w:t>月</w:t>
      </w:r>
      <w:r>
        <w:rPr>
          <w:rFonts w:ascii="仿宋" w:hAnsi="仿宋" w:eastAsia="仿宋" w:cs="E-BZ9-PK74888-Identity-H"/>
          <w:kern w:val="0"/>
          <w:sz w:val="32"/>
          <w:szCs w:val="32"/>
        </w:rPr>
        <w:t>19</w:t>
      </w:r>
      <w:r>
        <w:rPr>
          <w:rFonts w:hint="eastAsia" w:ascii="仿宋" w:hAnsi="仿宋" w:eastAsia="仿宋" w:cs="E-BZ9-PK74888-Identity-H"/>
          <w:kern w:val="0"/>
          <w:sz w:val="32"/>
          <w:szCs w:val="32"/>
        </w:rPr>
        <w:t>日，原告谢敏委托重庆市法医学会司法鉴定所进行司法鉴定，同月</w:t>
      </w:r>
      <w:r>
        <w:rPr>
          <w:rFonts w:ascii="仿宋" w:hAnsi="仿宋" w:eastAsia="仿宋" w:cs="E-BZ9-PK74888-Identity-H"/>
          <w:kern w:val="0"/>
          <w:sz w:val="32"/>
          <w:szCs w:val="32"/>
        </w:rPr>
        <w:t>20</w:t>
      </w:r>
      <w:r>
        <w:rPr>
          <w:rFonts w:hint="eastAsia" w:ascii="仿宋" w:hAnsi="仿宋" w:eastAsia="仿宋" w:cs="E-BZ9-PK74888-Identity-H"/>
          <w:kern w:val="0"/>
          <w:sz w:val="32"/>
          <w:szCs w:val="32"/>
        </w:rPr>
        <w:t>日该所作出鉴定意见，意见为，程杰系触电死亡，谢敏支付鉴定费</w:t>
      </w:r>
      <w:r>
        <w:rPr>
          <w:rFonts w:ascii="仿宋" w:hAnsi="仿宋" w:eastAsia="仿宋" w:cs="E-BZ9-PK74888-Identity-H"/>
          <w:kern w:val="0"/>
          <w:sz w:val="32"/>
          <w:szCs w:val="32"/>
        </w:rPr>
        <w:t>16000</w:t>
      </w:r>
      <w:r>
        <w:rPr>
          <w:rFonts w:hint="eastAsia" w:ascii="仿宋" w:hAnsi="仿宋" w:eastAsia="仿宋" w:cs="E-BZ9-PK74888-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程杰触电现场，经丰都县经济和信息化委员会调查，结论为，国网重庆市电力公司丰都供电分公司的</w:t>
      </w:r>
      <w:r>
        <w:rPr>
          <w:rFonts w:ascii="仿宋" w:hAnsi="仿宋" w:eastAsia="仿宋" w:cs="E-BZ9-PK74888-Identity-H"/>
          <w:kern w:val="0"/>
          <w:sz w:val="32"/>
          <w:szCs w:val="32"/>
        </w:rPr>
        <w:t>10</w:t>
      </w:r>
      <w:r>
        <w:rPr>
          <w:rFonts w:hint="eastAsia" w:ascii="仿宋" w:hAnsi="仿宋" w:eastAsia="仿宋" w:cs="E-BZ9-PK74888-Identity-H"/>
          <w:kern w:val="0"/>
          <w:sz w:val="32"/>
          <w:szCs w:val="32"/>
        </w:rPr>
        <w:t>千伏“社永”高压线永冠支线</w:t>
      </w:r>
      <w:r>
        <w:rPr>
          <w:rFonts w:ascii="仿宋" w:hAnsi="仿宋" w:eastAsia="仿宋" w:cs="微软雅黑"/>
          <w:kern w:val="0"/>
          <w:sz w:val="32"/>
          <w:szCs w:val="32"/>
        </w:rPr>
        <w:t>#</w:t>
      </w:r>
      <w:r>
        <w:rPr>
          <w:rFonts w:ascii="仿宋" w:hAnsi="仿宋" w:eastAsia="仿宋" w:cs="仿宋"/>
          <w:kern w:val="0"/>
          <w:sz w:val="32"/>
          <w:szCs w:val="32"/>
        </w:rPr>
        <w:t>2</w:t>
      </w:r>
      <w:r>
        <w:rPr>
          <w:rFonts w:hint="eastAsia" w:ascii="仿宋" w:hAnsi="仿宋" w:eastAsia="仿宋" w:cs="仿宋"/>
          <w:kern w:val="0"/>
          <w:sz w:val="32"/>
          <w:szCs w:val="32"/>
        </w:rPr>
        <w:t>杆至</w:t>
      </w:r>
      <w:r>
        <w:rPr>
          <w:rFonts w:ascii="仿宋" w:hAnsi="仿宋" w:eastAsia="仿宋" w:cs="微软雅黑"/>
          <w:kern w:val="0"/>
          <w:sz w:val="32"/>
          <w:szCs w:val="32"/>
        </w:rPr>
        <w:t>#3</w:t>
      </w:r>
      <w:r>
        <w:rPr>
          <w:rFonts w:hint="eastAsia" w:ascii="仿宋" w:hAnsi="仿宋" w:eastAsia="仿宋" w:cs="仿宋"/>
          <w:kern w:val="0"/>
          <w:sz w:val="32"/>
          <w:szCs w:val="32"/>
        </w:rPr>
        <w:t>杆之间的导线对地垂直距离为</w:t>
      </w:r>
      <w:r>
        <w:rPr>
          <w:rFonts w:ascii="仿宋" w:hAnsi="仿宋" w:eastAsia="仿宋" w:cs="仿宋"/>
          <w:kern w:val="0"/>
          <w:sz w:val="32"/>
          <w:szCs w:val="32"/>
        </w:rPr>
        <w:t>5.6</w:t>
      </w:r>
      <w:r>
        <w:rPr>
          <w:rFonts w:hint="eastAsia" w:ascii="仿宋" w:hAnsi="仿宋" w:eastAsia="仿宋" w:cs="仿宋"/>
          <w:kern w:val="0"/>
          <w:sz w:val="32"/>
          <w:szCs w:val="32"/>
        </w:rPr>
        <w:t>米，水平距离</w:t>
      </w:r>
      <w:r>
        <w:rPr>
          <w:rFonts w:ascii="仿宋" w:hAnsi="仿宋" w:eastAsia="仿宋" w:cs="仿宋"/>
          <w:kern w:val="0"/>
          <w:sz w:val="32"/>
          <w:szCs w:val="32"/>
        </w:rPr>
        <w:t>9.3</w:t>
      </w:r>
      <w:r>
        <w:rPr>
          <w:rFonts w:hint="eastAsia" w:ascii="仿宋" w:hAnsi="仿宋" w:eastAsia="仿宋" w:cs="仿宋"/>
          <w:kern w:val="0"/>
          <w:sz w:val="32"/>
          <w:szCs w:val="32"/>
        </w:rPr>
        <w:t>米。</w:t>
      </w:r>
      <w:r>
        <w:rPr>
          <w:rFonts w:hint="eastAsia" w:ascii="仿宋" w:hAnsi="仿宋" w:eastAsia="仿宋" w:cs="E-BZ9-PK74888-Identity-H"/>
          <w:kern w:val="0"/>
          <w:sz w:val="32"/>
          <w:szCs w:val="32"/>
        </w:rPr>
        <w:t>程杰触电路段没有设置明显的警示标志，且远离该路段设置在电线杆上的警示标志已被禾苗遮挡。</w:t>
      </w:r>
    </w:p>
    <w:p>
      <w:pPr>
        <w:autoSpaceDE w:val="0"/>
        <w:autoSpaceDN w:val="0"/>
        <w:adjustRightInd w:val="0"/>
        <w:ind w:firstLine="640" w:firstLineChars="200"/>
        <w:rPr>
          <w:rFonts w:ascii="仿宋" w:hAnsi="仿宋" w:eastAsia="仿宋" w:cs="E-BZ9-PK74888-Identity-H"/>
          <w:kern w:val="0"/>
          <w:sz w:val="32"/>
          <w:szCs w:val="32"/>
        </w:rPr>
      </w:pPr>
      <w:r>
        <w:rPr>
          <w:rFonts w:hint="eastAsia" w:ascii="仿宋" w:hAnsi="仿宋" w:eastAsia="仿宋" w:cs="H-SS9-PK74820000a48-Identity-H"/>
          <w:kern w:val="0"/>
          <w:sz w:val="32"/>
          <w:szCs w:val="32"/>
        </w:rPr>
        <w:t>原告</w:t>
      </w:r>
      <w:r>
        <w:rPr>
          <w:rFonts w:hint="eastAsia" w:ascii="仿宋" w:hAnsi="仿宋" w:eastAsia="仿宋" w:cs="E-BZ9-PK74888-Identity-H"/>
          <w:kern w:val="0"/>
          <w:sz w:val="32"/>
          <w:szCs w:val="32"/>
        </w:rPr>
        <w:t>程秀雄与周素琼系受害人程杰父母，原告谢敏系受害人程杰之妻，原告程正</w:t>
      </w:r>
      <w:r>
        <w:rPr>
          <w:rFonts w:hint="eastAsia" w:ascii="仿宋" w:hAnsi="仿宋" w:eastAsia="仿宋" w:cs="SSJ-PK74820000a3c-Identity-H"/>
          <w:kern w:val="0"/>
          <w:sz w:val="32"/>
          <w:szCs w:val="32"/>
        </w:rPr>
        <w:t>昊与</w:t>
      </w:r>
      <w:r>
        <w:rPr>
          <w:rFonts w:hint="eastAsia" w:ascii="仿宋" w:hAnsi="仿宋" w:eastAsia="仿宋" w:cs="E-BZ9-PK74888-Identity-H"/>
          <w:kern w:val="0"/>
          <w:sz w:val="32"/>
          <w:szCs w:val="32"/>
        </w:rPr>
        <w:t>程若溪系受害人程杰之子女。</w:t>
      </w:r>
      <w:r>
        <w:rPr>
          <w:rFonts w:ascii="仿宋" w:hAnsi="仿宋" w:eastAsia="仿宋" w:cs="E-BZ9-PK74888-Identity-H"/>
          <w:kern w:val="0"/>
          <w:sz w:val="32"/>
          <w:szCs w:val="32"/>
        </w:rPr>
        <w:t>2014</w:t>
      </w:r>
      <w:r>
        <w:rPr>
          <w:rFonts w:hint="eastAsia" w:ascii="仿宋" w:hAnsi="仿宋" w:eastAsia="仿宋" w:cs="E-BZ9-PK74888-Identity-H"/>
          <w:kern w:val="0"/>
          <w:sz w:val="32"/>
          <w:szCs w:val="32"/>
        </w:rPr>
        <w:t>年程杰购买重庆市北部新区新溉路</w:t>
      </w:r>
      <w:r>
        <w:rPr>
          <w:rFonts w:ascii="仿宋" w:hAnsi="仿宋" w:eastAsia="仿宋" w:cs="E-BZ9-PK74888-Identity-H"/>
          <w:kern w:val="0"/>
          <w:sz w:val="32"/>
          <w:szCs w:val="32"/>
        </w:rPr>
        <w:t>867</w:t>
      </w:r>
      <w:r>
        <w:rPr>
          <w:rFonts w:hint="eastAsia" w:ascii="仿宋" w:hAnsi="仿宋" w:eastAsia="仿宋" w:cs="E-BZ9-PK74888-Identity-H"/>
          <w:kern w:val="0"/>
          <w:sz w:val="32"/>
          <w:szCs w:val="32"/>
        </w:rPr>
        <w:t>号</w:t>
      </w:r>
      <w:r>
        <w:rPr>
          <w:rFonts w:ascii="仿宋" w:hAnsi="仿宋" w:eastAsia="仿宋" w:cs="E-BZ9-PK74888-Identity-H"/>
          <w:kern w:val="0"/>
          <w:sz w:val="32"/>
          <w:szCs w:val="32"/>
        </w:rPr>
        <w:t>3</w:t>
      </w:r>
      <w:r>
        <w:rPr>
          <w:rFonts w:hint="eastAsia" w:ascii="仿宋" w:hAnsi="仿宋" w:eastAsia="仿宋" w:cs="E-BZ9-PK74888-Identity-H"/>
          <w:kern w:val="0"/>
          <w:sz w:val="32"/>
          <w:szCs w:val="32"/>
        </w:rPr>
        <w:t>幢</w:t>
      </w:r>
      <w:r>
        <w:rPr>
          <w:rFonts w:ascii="仿宋" w:hAnsi="仿宋" w:eastAsia="仿宋" w:cs="E-BZ9-PK74888-Identity-H"/>
          <w:kern w:val="0"/>
          <w:sz w:val="32"/>
          <w:szCs w:val="32"/>
        </w:rPr>
        <w:t>1-2</w:t>
      </w:r>
      <w:r>
        <w:rPr>
          <w:rFonts w:hint="eastAsia" w:ascii="仿宋" w:hAnsi="仿宋" w:eastAsia="仿宋" w:cs="E-BZ9-PK74888-Identity-H"/>
          <w:kern w:val="0"/>
          <w:sz w:val="32"/>
          <w:szCs w:val="32"/>
        </w:rPr>
        <w:t>住房一套，建筑面积</w:t>
      </w:r>
      <w:r>
        <w:rPr>
          <w:rFonts w:ascii="仿宋" w:hAnsi="仿宋" w:eastAsia="仿宋" w:cs="E-BZ9-PK74888-Identity-H"/>
          <w:kern w:val="0"/>
          <w:sz w:val="32"/>
          <w:szCs w:val="32"/>
        </w:rPr>
        <w:t>96.27</w:t>
      </w:r>
      <w:r>
        <w:rPr>
          <w:rFonts w:hint="eastAsia" w:ascii="仿宋" w:hAnsi="仿宋" w:eastAsia="仿宋" w:cs="宋体"/>
          <w:kern w:val="0"/>
          <w:sz w:val="32"/>
          <w:szCs w:val="32"/>
        </w:rPr>
        <w:t>㎡</w:t>
      </w:r>
      <w:r>
        <w:rPr>
          <w:rFonts w:hint="eastAsia" w:ascii="仿宋" w:hAnsi="仿宋" w:eastAsia="仿宋" w:cs="E-BZ9-PK74888-Identity-H"/>
          <w:kern w:val="0"/>
          <w:sz w:val="32"/>
          <w:szCs w:val="32"/>
        </w:rPr>
        <w:t>，房屋产权证号为，</w:t>
      </w:r>
      <w:r>
        <w:rPr>
          <w:rFonts w:ascii="仿宋" w:hAnsi="仿宋" w:eastAsia="仿宋" w:cs="E-BZ9-PK74888-Identity-H"/>
          <w:kern w:val="0"/>
          <w:sz w:val="32"/>
          <w:szCs w:val="32"/>
        </w:rPr>
        <w:t>115</w:t>
      </w:r>
      <w:r>
        <w:rPr>
          <w:rFonts w:hint="eastAsia" w:ascii="仿宋" w:hAnsi="仿宋" w:eastAsia="仿宋" w:cs="E-BZ9-PK74888-Identity-H"/>
          <w:kern w:val="0"/>
          <w:sz w:val="32"/>
          <w:szCs w:val="32"/>
        </w:rPr>
        <w:t>房地证</w:t>
      </w:r>
      <w:r>
        <w:rPr>
          <w:rFonts w:ascii="仿宋" w:hAnsi="仿宋" w:eastAsia="仿宋" w:cs="E-BZ9-PK74888-Identity-H"/>
          <w:kern w:val="0"/>
          <w:sz w:val="32"/>
          <w:szCs w:val="32"/>
        </w:rPr>
        <w:t>2014</w:t>
      </w:r>
      <w:r>
        <w:rPr>
          <w:rFonts w:hint="eastAsia" w:ascii="仿宋" w:hAnsi="仿宋" w:eastAsia="仿宋" w:cs="E-BZ9-PK74888-Identity-H"/>
          <w:kern w:val="0"/>
          <w:sz w:val="32"/>
          <w:szCs w:val="32"/>
        </w:rPr>
        <w:t>字第</w:t>
      </w:r>
      <w:r>
        <w:rPr>
          <w:rFonts w:ascii="仿宋" w:hAnsi="仿宋" w:eastAsia="仿宋" w:cs="E-BZ9-PK74888-Identity-H"/>
          <w:kern w:val="0"/>
          <w:sz w:val="32"/>
          <w:szCs w:val="32"/>
        </w:rPr>
        <w:t>36006</w:t>
      </w:r>
      <w:r>
        <w:rPr>
          <w:rFonts w:hint="eastAsia" w:ascii="仿宋" w:hAnsi="仿宋" w:eastAsia="仿宋" w:cs="E-BZ9-PK74888-Identity-H"/>
          <w:kern w:val="0"/>
          <w:sz w:val="32"/>
          <w:szCs w:val="32"/>
        </w:rPr>
        <w:t>，谢敏于</w:t>
      </w:r>
      <w:r>
        <w:rPr>
          <w:rFonts w:ascii="仿宋" w:hAnsi="仿宋" w:eastAsia="仿宋" w:cs="E-BZ9-PK74888-Identity-H"/>
          <w:kern w:val="0"/>
          <w:sz w:val="32"/>
          <w:szCs w:val="32"/>
        </w:rPr>
        <w:t>2017</w:t>
      </w:r>
      <w:r>
        <w:rPr>
          <w:rFonts w:hint="eastAsia" w:ascii="仿宋" w:hAnsi="仿宋" w:eastAsia="仿宋" w:cs="E-BZ9-PK74888-Identity-H"/>
          <w:kern w:val="0"/>
          <w:sz w:val="32"/>
          <w:szCs w:val="32"/>
        </w:rPr>
        <w:t>年</w:t>
      </w:r>
      <w:r>
        <w:rPr>
          <w:rFonts w:ascii="仿宋" w:hAnsi="仿宋" w:eastAsia="仿宋" w:cs="E-BZ9-PK74888-Identity-H"/>
          <w:kern w:val="0"/>
          <w:sz w:val="32"/>
          <w:szCs w:val="32"/>
        </w:rPr>
        <w:t>4</w:t>
      </w:r>
      <w:r>
        <w:rPr>
          <w:rFonts w:hint="eastAsia" w:ascii="仿宋" w:hAnsi="仿宋" w:eastAsia="仿宋" w:cs="E-BZ9-PK74888-Identity-H"/>
          <w:kern w:val="0"/>
          <w:sz w:val="32"/>
          <w:szCs w:val="32"/>
        </w:rPr>
        <w:t>月</w:t>
      </w:r>
      <w:r>
        <w:rPr>
          <w:rFonts w:ascii="仿宋" w:hAnsi="仿宋" w:eastAsia="仿宋" w:cs="E-BZ9-PK74888-Identity-H"/>
          <w:kern w:val="0"/>
          <w:sz w:val="32"/>
          <w:szCs w:val="32"/>
        </w:rPr>
        <w:t>6</w:t>
      </w:r>
      <w:r>
        <w:rPr>
          <w:rFonts w:hint="eastAsia" w:ascii="仿宋" w:hAnsi="仿宋" w:eastAsia="仿宋" w:cs="E-BZ9-PK74888-Identity-H"/>
          <w:kern w:val="0"/>
          <w:sz w:val="32"/>
          <w:szCs w:val="32"/>
        </w:rPr>
        <w:t>日在丰都县三合街道双桂路租房居住生活，程杰死亡前从事货物运输工作。</w:t>
      </w:r>
      <w:r>
        <w:rPr>
          <w:rFonts w:hint="eastAsia" w:ascii="仿宋" w:hAnsi="仿宋" w:eastAsia="仿宋" w:cs="H-SS9-PK74820000a48-Identity-H"/>
          <w:kern w:val="0"/>
          <w:sz w:val="32"/>
          <w:szCs w:val="32"/>
        </w:rPr>
        <w:t>原告</w:t>
      </w:r>
      <w:r>
        <w:rPr>
          <w:rFonts w:hint="eastAsia" w:ascii="仿宋" w:hAnsi="仿宋" w:eastAsia="仿宋" w:cs="E-BZ9-PK74888-Identity-H"/>
          <w:kern w:val="0"/>
          <w:sz w:val="32"/>
          <w:szCs w:val="32"/>
        </w:rPr>
        <w:t>程秀雄与周素琼属于从事粮食收购，饲料销售，日用百货零售的个体工商户。</w:t>
      </w:r>
    </w:p>
    <w:p>
      <w:pPr>
        <w:autoSpaceDE w:val="0"/>
        <w:autoSpaceDN w:val="0"/>
        <w:adjustRightInd w:val="0"/>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w:t>
      </w:r>
      <w:r>
        <w:rPr>
          <w:rFonts w:hint="eastAsia" w:ascii="黑体" w:hAnsi="黑体" w:eastAsia="黑体" w:cs="黑体"/>
          <w:kern w:val="0"/>
          <w:sz w:val="32"/>
          <w:szCs w:val="32"/>
          <w:lang w:eastAsia="zh-CN"/>
        </w:rPr>
        <w:t>案件焦点</w:t>
      </w:r>
      <w:r>
        <w:rPr>
          <w:rFonts w:hint="eastAsia" w:ascii="黑体" w:hAnsi="黑体" w:eastAsia="黑体" w:cs="黑体"/>
          <w:kern w:val="0"/>
          <w:sz w:val="32"/>
          <w:szCs w:val="32"/>
        </w:rPr>
        <w:t>]</w:t>
      </w:r>
    </w:p>
    <w:p>
      <w:pPr>
        <w:autoSpaceDE w:val="0"/>
        <w:autoSpaceDN w:val="0"/>
        <w:adjustRightInd w:val="0"/>
        <w:spacing w:line="560" w:lineRule="exact"/>
        <w:ind w:firstLine="640" w:firstLineChars="200"/>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高压线致人损害的归责任原则适用的是过错责任原则还是无过错责任原则。与本案事实无关联的判决书是否属于证据，是否需要进行质证。</w:t>
      </w:r>
    </w:p>
    <w:p>
      <w:pPr>
        <w:autoSpaceDE w:val="0"/>
        <w:autoSpaceDN w:val="0"/>
        <w:adjustRightInd w:val="0"/>
        <w:spacing w:line="560" w:lineRule="exact"/>
        <w:ind w:firstLine="640" w:firstLineChars="200"/>
        <w:rPr>
          <w:rFonts w:hint="eastAsia" w:asciiTheme="minorEastAsia" w:hAnsiTheme="minorEastAsia" w:cstheme="minorEastAsia"/>
          <w:kern w:val="0"/>
          <w:sz w:val="32"/>
          <w:szCs w:val="32"/>
          <w:lang w:eastAsia="zh-CN"/>
        </w:rPr>
      </w:pPr>
      <w:r>
        <w:rPr>
          <w:rFonts w:hint="eastAsia" w:ascii="黑体" w:hAnsi="黑体" w:eastAsia="黑体" w:cs="黑体"/>
          <w:kern w:val="0"/>
          <w:sz w:val="32"/>
          <w:szCs w:val="32"/>
        </w:rPr>
        <w:t>[</w:t>
      </w:r>
      <w:r>
        <w:rPr>
          <w:rFonts w:hint="eastAsia" w:ascii="黑体" w:hAnsi="黑体" w:eastAsia="黑体" w:cs="黑体"/>
          <w:kern w:val="0"/>
          <w:sz w:val="32"/>
          <w:szCs w:val="32"/>
          <w:lang w:eastAsia="zh-CN"/>
        </w:rPr>
        <w:t>法院裁判要旨</w:t>
      </w:r>
      <w:r>
        <w:rPr>
          <w:rFonts w:hint="eastAsia" w:ascii="黑体" w:hAnsi="黑体" w:eastAsia="黑体" w:cs="黑体"/>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重庆市丰都县人民法院审理</w:t>
      </w:r>
      <w:r>
        <w:rPr>
          <w:rFonts w:hint="eastAsia" w:ascii="仿宋" w:hAnsi="仿宋" w:eastAsia="仿宋" w:cs="SSJ-PK74820000a3c-Identity-H"/>
          <w:kern w:val="0"/>
          <w:sz w:val="32"/>
          <w:szCs w:val="32"/>
        </w:rPr>
        <w:t>认为</w:t>
      </w:r>
      <w:r>
        <w:rPr>
          <w:rFonts w:hint="eastAsia" w:ascii="仿宋" w:hAnsi="仿宋" w:eastAsia="仿宋" w:cs="H-SS9-PK74820000a48-Identity-H"/>
          <w:kern w:val="0"/>
          <w:sz w:val="32"/>
          <w:szCs w:val="32"/>
        </w:rPr>
        <w:t>，原被告争议的焦点是：一、责任主体及责任比例问题；二、损失金额的确定等问题。</w:t>
      </w:r>
    </w:p>
    <w:p>
      <w:pPr>
        <w:numPr>
          <w:ilvl w:val="0"/>
          <w:numId w:val="1"/>
        </w:numPr>
        <w:autoSpaceDE w:val="0"/>
        <w:autoSpaceDN w:val="0"/>
        <w:adjustRightInd w:val="0"/>
        <w:ind w:firstLine="640" w:firstLineChars="200"/>
        <w:rPr>
          <w:rFonts w:ascii="仿宋" w:hAnsi="仿宋" w:eastAsia="仿宋" w:cs="E-BZ9-PK74888-Identity-H"/>
          <w:kern w:val="0"/>
          <w:sz w:val="32"/>
          <w:szCs w:val="32"/>
        </w:rPr>
      </w:pPr>
      <w:r>
        <w:rPr>
          <w:rFonts w:hint="eastAsia" w:ascii="仿宋" w:hAnsi="仿宋" w:eastAsia="仿宋" w:cs="H-SS9-PK74820000a48-Identity-H"/>
          <w:kern w:val="0"/>
          <w:sz w:val="32"/>
          <w:szCs w:val="32"/>
        </w:rPr>
        <w:t>责任主体问题。根据《中华人民共和国侵权责任法》第七十三条规定“从事高空、高压、地下挖掘活动或者……造成他人损害的，经营者应当承担侵权责任，但能够证明损害是因受害人故意或者不可抗力造成的不承担责任。受害人对损害的发生有过失的，可以减轻经营者的责任。”，结合本案事实，</w:t>
      </w:r>
      <w:r>
        <w:rPr>
          <w:rFonts w:hint="eastAsia" w:ascii="仿宋" w:hAnsi="仿宋" w:eastAsia="仿宋" w:cs="E-BZ9-PK74888-Identity-H"/>
          <w:kern w:val="0"/>
          <w:sz w:val="32"/>
          <w:szCs w:val="32"/>
        </w:rPr>
        <w:t>程杰触电受伤，经抢救无效死亡，是因被告国网重庆市电力公司丰都供电分公司从事</w:t>
      </w:r>
      <w:r>
        <w:rPr>
          <w:rFonts w:ascii="仿宋" w:hAnsi="仿宋" w:eastAsia="仿宋" w:cs="E-BZ9-PK74888-Identity-H"/>
          <w:kern w:val="0"/>
          <w:sz w:val="32"/>
          <w:szCs w:val="32"/>
        </w:rPr>
        <w:t>10</w:t>
      </w:r>
      <w:r>
        <w:rPr>
          <w:rFonts w:hint="eastAsia" w:ascii="仿宋" w:hAnsi="仿宋" w:eastAsia="仿宋" w:cs="E-BZ9-PK74888-Identity-H"/>
          <w:kern w:val="0"/>
          <w:sz w:val="32"/>
          <w:szCs w:val="32"/>
        </w:rPr>
        <w:t>千伏高压线活动所致，且受害人程杰并非故意造成，也非不可抗力导致，为此被告国网重庆市电力公司丰都供电分公司应当承担赔偿责任，属于责任主体。程杰触电死亡，其自己也存在未尽收折鱼竿，谨小慎微在高压线下行走的注意义务，为此应减轻国网重庆市电力公司丰都供电分公司的赔偿责任。池塘的经营者已在池塘周围设置了栅栏，且程杰触电死亡发生在栅栏外的人行路上，对于池塘的经营者而言，已尽了对池塘的管理义务，不存在过错，不应承担民事责任，不属于责任主体。综上，结合程杰的过错程度，以国网重庆市电力公司丰都供电分公司承担损失金额</w:t>
      </w:r>
      <w:r>
        <w:rPr>
          <w:rFonts w:ascii="仿宋" w:hAnsi="仿宋" w:eastAsia="仿宋" w:cs="E-BZ9-PK74888-Identity-H"/>
          <w:kern w:val="0"/>
          <w:sz w:val="32"/>
          <w:szCs w:val="32"/>
        </w:rPr>
        <w:t>50%</w:t>
      </w:r>
      <w:r>
        <w:rPr>
          <w:rFonts w:hint="eastAsia" w:ascii="仿宋" w:hAnsi="仿宋" w:eastAsia="仿宋" w:cs="E-BZ9-PK74888-Identity-H"/>
          <w:kern w:val="0"/>
          <w:sz w:val="32"/>
          <w:szCs w:val="32"/>
        </w:rPr>
        <w:t>的赔偿责任为公平。</w:t>
      </w:r>
    </w:p>
    <w:p>
      <w:pPr>
        <w:numPr>
          <w:ilvl w:val="0"/>
          <w:numId w:val="1"/>
        </w:numPr>
        <w:autoSpaceDE w:val="0"/>
        <w:autoSpaceDN w:val="0"/>
        <w:adjustRightInd w:val="0"/>
        <w:ind w:firstLine="640" w:firstLineChars="200"/>
        <w:rPr>
          <w:rFonts w:ascii="仿宋" w:hAnsi="仿宋" w:eastAsia="仿宋" w:cs="E-BZ9-PK74888-Identity-H"/>
          <w:kern w:val="0"/>
          <w:sz w:val="32"/>
          <w:szCs w:val="32"/>
        </w:rPr>
      </w:pPr>
      <w:r>
        <w:rPr>
          <w:rFonts w:hint="eastAsia" w:ascii="仿宋" w:hAnsi="仿宋" w:eastAsia="仿宋" w:cs="H-SS9-PK74820000a48-Identity-H"/>
          <w:kern w:val="0"/>
          <w:sz w:val="32"/>
          <w:szCs w:val="32"/>
        </w:rPr>
        <w:t>损失金额的确定等问题。经济损失依法计算。</w:t>
      </w:r>
      <w:r>
        <w:rPr>
          <w:rFonts w:ascii="仿宋" w:hAnsi="仿宋" w:eastAsia="仿宋" w:cs="H-SS9-PK74820000a48-Identity-H"/>
          <w:kern w:val="0"/>
          <w:sz w:val="32"/>
          <w:szCs w:val="32"/>
        </w:rPr>
        <w:t>1.</w:t>
      </w:r>
      <w:r>
        <w:rPr>
          <w:rFonts w:hint="eastAsia" w:ascii="仿宋" w:hAnsi="仿宋" w:eastAsia="仿宋" w:cs="H-SS9-PK74820000a48-Identity-H"/>
          <w:kern w:val="0"/>
          <w:sz w:val="32"/>
          <w:szCs w:val="32"/>
        </w:rPr>
        <w:t>死亡赔偿金参照城镇居民计算，</w:t>
      </w:r>
      <w:r>
        <w:rPr>
          <w:rFonts w:ascii="仿宋" w:hAnsi="仿宋" w:eastAsia="仿宋" w:cs="H-SS9-PK74820000a48-Identity-H"/>
          <w:kern w:val="0"/>
          <w:sz w:val="32"/>
          <w:szCs w:val="32"/>
        </w:rPr>
        <w:t>34889</w:t>
      </w:r>
      <w:r>
        <w:rPr>
          <w:rFonts w:hint="eastAsia" w:ascii="仿宋" w:hAnsi="仿宋" w:eastAsia="仿宋" w:cs="H-SS9-PK74820000a48-Identity-H"/>
          <w:kern w:val="0"/>
          <w:sz w:val="32"/>
          <w:szCs w:val="32"/>
        </w:rPr>
        <w:t>元</w:t>
      </w:r>
      <w:r>
        <w:rPr>
          <w:rFonts w:ascii="仿宋" w:hAnsi="仿宋" w:eastAsia="仿宋" w:cs="H-SS9-PK74820000a48-Identity-H"/>
          <w:kern w:val="0"/>
          <w:sz w:val="32"/>
          <w:szCs w:val="32"/>
        </w:rPr>
        <w:t>/</w:t>
      </w:r>
      <w:r>
        <w:rPr>
          <w:rFonts w:hint="eastAsia" w:ascii="仿宋" w:hAnsi="仿宋" w:eastAsia="仿宋" w:cs="H-SS9-PK74820000a48-Identity-H"/>
          <w:kern w:val="0"/>
          <w:sz w:val="32"/>
          <w:szCs w:val="32"/>
        </w:rPr>
        <w:t>年</w:t>
      </w:r>
      <w:r>
        <w:rPr>
          <w:rFonts w:ascii="仿宋" w:hAnsi="仿宋" w:eastAsia="仿宋" w:cs="Arial"/>
          <w:kern w:val="0"/>
          <w:sz w:val="32"/>
          <w:szCs w:val="32"/>
        </w:rPr>
        <w:t>×</w:t>
      </w:r>
      <w:r>
        <w:rPr>
          <w:rFonts w:ascii="仿宋" w:hAnsi="仿宋" w:eastAsia="仿宋" w:cs="H-SS9-PK74820000a48-Identity-H"/>
          <w:kern w:val="0"/>
          <w:sz w:val="32"/>
          <w:szCs w:val="32"/>
        </w:rPr>
        <w:t>20</w:t>
      </w:r>
      <w:r>
        <w:rPr>
          <w:rFonts w:hint="eastAsia" w:ascii="仿宋" w:hAnsi="仿宋" w:eastAsia="仿宋" w:cs="H-SS9-PK74820000a48-Identity-H"/>
          <w:kern w:val="0"/>
          <w:sz w:val="32"/>
          <w:szCs w:val="32"/>
        </w:rPr>
        <w:t>年</w:t>
      </w:r>
      <w:r>
        <w:rPr>
          <w:rFonts w:ascii="仿宋" w:hAnsi="仿宋" w:eastAsia="仿宋" w:cs="H-SS9-PK74820000a48-Identity-H"/>
          <w:kern w:val="0"/>
          <w:sz w:val="32"/>
          <w:szCs w:val="32"/>
        </w:rPr>
        <w:t>=697780</w:t>
      </w:r>
      <w:r>
        <w:rPr>
          <w:rFonts w:hint="eastAsia" w:ascii="仿宋" w:hAnsi="仿宋" w:eastAsia="仿宋" w:cs="H-SS9-PK74820000a48-Identity-H"/>
          <w:kern w:val="0"/>
          <w:sz w:val="32"/>
          <w:szCs w:val="32"/>
        </w:rPr>
        <w:t>元；</w:t>
      </w:r>
      <w:r>
        <w:rPr>
          <w:rFonts w:ascii="仿宋" w:hAnsi="仿宋" w:eastAsia="仿宋" w:cs="H-SS9-PK74820000a48-Identity-H"/>
          <w:kern w:val="0"/>
          <w:sz w:val="32"/>
          <w:szCs w:val="32"/>
        </w:rPr>
        <w:t>2.</w:t>
      </w:r>
      <w:r>
        <w:rPr>
          <w:rFonts w:hint="eastAsia" w:ascii="仿宋" w:hAnsi="仿宋" w:eastAsia="仿宋" w:cs="H-SS9-PK74820000a48-Identity-H"/>
          <w:kern w:val="0"/>
          <w:sz w:val="32"/>
          <w:szCs w:val="32"/>
        </w:rPr>
        <w:t>丧葬费为</w:t>
      </w:r>
      <w:r>
        <w:rPr>
          <w:rFonts w:ascii="仿宋" w:hAnsi="仿宋" w:eastAsia="仿宋" w:cs="H-SS9-PK74820000a48-Identity-H"/>
          <w:kern w:val="0"/>
          <w:sz w:val="32"/>
          <w:szCs w:val="32"/>
        </w:rPr>
        <w:t>81764</w:t>
      </w:r>
      <w:r>
        <w:rPr>
          <w:rFonts w:hint="eastAsia" w:ascii="仿宋" w:hAnsi="仿宋" w:eastAsia="仿宋" w:cs="H-SS9-PK74820000a48-Identity-H"/>
          <w:kern w:val="0"/>
          <w:sz w:val="32"/>
          <w:szCs w:val="32"/>
        </w:rPr>
        <w:t>元</w:t>
      </w:r>
      <w:r>
        <w:rPr>
          <w:rFonts w:ascii="仿宋" w:hAnsi="仿宋" w:eastAsia="仿宋" w:cs="H-SS9-PK74820000a48-Identity-H"/>
          <w:kern w:val="0"/>
          <w:sz w:val="32"/>
          <w:szCs w:val="32"/>
        </w:rPr>
        <w:t>/</w:t>
      </w:r>
      <w:r>
        <w:rPr>
          <w:rFonts w:hint="eastAsia" w:ascii="仿宋" w:hAnsi="仿宋" w:eastAsia="仿宋" w:cs="H-SS9-PK74820000a48-Identity-H"/>
          <w:kern w:val="0"/>
          <w:sz w:val="32"/>
          <w:szCs w:val="32"/>
        </w:rPr>
        <w:t>年</w:t>
      </w:r>
      <w:r>
        <w:rPr>
          <w:rFonts w:ascii="仿宋" w:hAnsi="仿宋" w:eastAsia="仿宋" w:cs="Arial"/>
          <w:kern w:val="0"/>
          <w:sz w:val="32"/>
          <w:szCs w:val="32"/>
        </w:rPr>
        <w:t>÷2=</w:t>
      </w:r>
      <w:r>
        <w:rPr>
          <w:rFonts w:ascii="仿宋" w:hAnsi="仿宋" w:eastAsia="仿宋" w:cs="H-SS9-PK74820000a48-Identity-H"/>
          <w:kern w:val="0"/>
          <w:sz w:val="32"/>
          <w:szCs w:val="32"/>
        </w:rPr>
        <w:t>40882</w:t>
      </w:r>
      <w:r>
        <w:rPr>
          <w:rFonts w:hint="eastAsia" w:ascii="仿宋" w:hAnsi="仿宋" w:eastAsia="仿宋" w:cs="H-SS9-PK74820000a48-Identity-H"/>
          <w:kern w:val="0"/>
          <w:sz w:val="32"/>
          <w:szCs w:val="32"/>
        </w:rPr>
        <w:t>元；</w:t>
      </w:r>
      <w:r>
        <w:rPr>
          <w:rFonts w:ascii="仿宋" w:hAnsi="仿宋" w:eastAsia="仿宋" w:cs="H-SS9-PK74820000a48-Identity-H"/>
          <w:kern w:val="0"/>
          <w:sz w:val="32"/>
          <w:szCs w:val="32"/>
        </w:rPr>
        <w:t>3.</w:t>
      </w:r>
      <w:r>
        <w:rPr>
          <w:rFonts w:hint="eastAsia" w:ascii="仿宋" w:hAnsi="仿宋" w:eastAsia="仿宋" w:cs="H-SS9-PK74820000a48-Identity-H"/>
          <w:kern w:val="0"/>
          <w:sz w:val="32"/>
          <w:szCs w:val="32"/>
        </w:rPr>
        <w:t>被扶养人生活费，</w:t>
      </w:r>
      <w:r>
        <w:rPr>
          <w:rFonts w:hint="eastAsia" w:ascii="仿宋" w:hAnsi="仿宋" w:eastAsia="仿宋" w:cs="SSJ-PK74820000a3c-Identity-H"/>
          <w:kern w:val="0"/>
          <w:sz w:val="32"/>
          <w:szCs w:val="32"/>
        </w:rPr>
        <w:t>程正昊的生活费计算为</w:t>
      </w:r>
      <w:r>
        <w:rPr>
          <w:rFonts w:ascii="仿宋" w:hAnsi="仿宋" w:eastAsia="仿宋" w:cs="SSJ-PK74820000a3c-Identity-H"/>
          <w:kern w:val="0"/>
          <w:sz w:val="32"/>
          <w:szCs w:val="32"/>
        </w:rPr>
        <w:t>24154</w:t>
      </w:r>
      <w:r>
        <w:rPr>
          <w:rFonts w:hint="eastAsia" w:ascii="仿宋" w:hAnsi="仿宋" w:eastAsia="仿宋" w:cs="SSJ-PK74820000a3c-Identity-H"/>
          <w:kern w:val="0"/>
          <w:sz w:val="32"/>
          <w:szCs w:val="32"/>
        </w:rPr>
        <w:t>元</w:t>
      </w:r>
      <w:r>
        <w:rPr>
          <w:rFonts w:ascii="仿宋" w:hAnsi="仿宋" w:eastAsia="仿宋" w:cs="Arial"/>
          <w:kern w:val="0"/>
          <w:sz w:val="32"/>
          <w:szCs w:val="32"/>
        </w:rPr>
        <w:t>÷</w:t>
      </w:r>
      <w:r>
        <w:rPr>
          <w:rFonts w:ascii="仿宋" w:hAnsi="仿宋" w:eastAsia="仿宋" w:cs="SSJ-PK74820000a3c-Identity-H"/>
          <w:kern w:val="0"/>
          <w:sz w:val="32"/>
          <w:szCs w:val="32"/>
        </w:rPr>
        <w:t>12</w:t>
      </w:r>
      <w:r>
        <w:rPr>
          <w:rFonts w:hint="eastAsia" w:ascii="仿宋" w:hAnsi="仿宋" w:eastAsia="仿宋" w:cs="SSJ-PK74820000a3c-Identity-H"/>
          <w:kern w:val="0"/>
          <w:sz w:val="32"/>
          <w:szCs w:val="32"/>
        </w:rPr>
        <w:t>月</w:t>
      </w:r>
      <w:r>
        <w:rPr>
          <w:rFonts w:ascii="仿宋" w:hAnsi="仿宋" w:eastAsia="仿宋" w:cs="Arial"/>
          <w:kern w:val="0"/>
          <w:sz w:val="32"/>
          <w:szCs w:val="32"/>
        </w:rPr>
        <w:t>×128</w:t>
      </w:r>
      <w:r>
        <w:rPr>
          <w:rFonts w:hint="eastAsia" w:ascii="仿宋" w:hAnsi="仿宋" w:eastAsia="仿宋" w:cs="Arial"/>
          <w:kern w:val="0"/>
          <w:sz w:val="32"/>
          <w:szCs w:val="32"/>
        </w:rPr>
        <w:t>月</w:t>
      </w:r>
      <w:r>
        <w:rPr>
          <w:rFonts w:ascii="仿宋" w:hAnsi="仿宋" w:eastAsia="仿宋" w:cs="Arial"/>
          <w:kern w:val="0"/>
          <w:sz w:val="32"/>
          <w:szCs w:val="32"/>
        </w:rPr>
        <w:t>÷2=128821.3</w:t>
      </w:r>
      <w:r>
        <w:rPr>
          <w:rFonts w:hint="eastAsia" w:ascii="仿宋" w:hAnsi="仿宋" w:eastAsia="仿宋" w:cs="Arial"/>
          <w:kern w:val="0"/>
          <w:sz w:val="32"/>
          <w:szCs w:val="32"/>
        </w:rPr>
        <w:t>元；</w:t>
      </w:r>
      <w:r>
        <w:rPr>
          <w:rFonts w:hint="eastAsia" w:ascii="仿宋" w:hAnsi="仿宋" w:eastAsia="仿宋" w:cs="E-BZ9-PK74888-Identity-H"/>
          <w:kern w:val="0"/>
          <w:sz w:val="32"/>
          <w:szCs w:val="32"/>
        </w:rPr>
        <w:t>程若溪的生活费计算为</w:t>
      </w:r>
      <w:r>
        <w:rPr>
          <w:rFonts w:ascii="仿宋" w:hAnsi="仿宋" w:eastAsia="仿宋" w:cs="SSJ-PK74820000a3c-Identity-H"/>
          <w:kern w:val="0"/>
          <w:sz w:val="32"/>
          <w:szCs w:val="32"/>
        </w:rPr>
        <w:t>24154</w:t>
      </w:r>
      <w:r>
        <w:rPr>
          <w:rFonts w:hint="eastAsia" w:ascii="仿宋" w:hAnsi="仿宋" w:eastAsia="仿宋" w:cs="SSJ-PK74820000a3c-Identity-H"/>
          <w:kern w:val="0"/>
          <w:sz w:val="32"/>
          <w:szCs w:val="32"/>
        </w:rPr>
        <w:t>元</w:t>
      </w:r>
      <w:r>
        <w:rPr>
          <w:rFonts w:ascii="仿宋" w:hAnsi="仿宋" w:eastAsia="仿宋" w:cs="Arial"/>
          <w:kern w:val="0"/>
          <w:sz w:val="32"/>
          <w:szCs w:val="32"/>
        </w:rPr>
        <w:t>÷</w:t>
      </w:r>
      <w:r>
        <w:rPr>
          <w:rFonts w:ascii="仿宋" w:hAnsi="仿宋" w:eastAsia="仿宋" w:cs="SSJ-PK74820000a3c-Identity-H"/>
          <w:kern w:val="0"/>
          <w:sz w:val="32"/>
          <w:szCs w:val="32"/>
        </w:rPr>
        <w:t>12</w:t>
      </w:r>
      <w:r>
        <w:rPr>
          <w:rFonts w:hint="eastAsia" w:ascii="仿宋" w:hAnsi="仿宋" w:eastAsia="仿宋" w:cs="SSJ-PK74820000a3c-Identity-H"/>
          <w:kern w:val="0"/>
          <w:sz w:val="32"/>
          <w:szCs w:val="32"/>
        </w:rPr>
        <w:t>月</w:t>
      </w:r>
      <w:r>
        <w:rPr>
          <w:rFonts w:ascii="仿宋" w:hAnsi="仿宋" w:eastAsia="仿宋" w:cs="Arial"/>
          <w:kern w:val="0"/>
          <w:sz w:val="32"/>
          <w:szCs w:val="32"/>
        </w:rPr>
        <w:t>×195</w:t>
      </w:r>
      <w:r>
        <w:rPr>
          <w:rFonts w:hint="eastAsia" w:ascii="仿宋" w:hAnsi="仿宋" w:eastAsia="仿宋" w:cs="Arial"/>
          <w:kern w:val="0"/>
          <w:sz w:val="32"/>
          <w:szCs w:val="32"/>
        </w:rPr>
        <w:t>月</w:t>
      </w:r>
      <w:r>
        <w:rPr>
          <w:rFonts w:ascii="仿宋" w:hAnsi="仿宋" w:eastAsia="仿宋" w:cs="Arial"/>
          <w:kern w:val="0"/>
          <w:sz w:val="32"/>
          <w:szCs w:val="32"/>
        </w:rPr>
        <w:t>÷2=196251.2</w:t>
      </w:r>
      <w:r>
        <w:rPr>
          <w:rFonts w:hint="eastAsia" w:ascii="仿宋" w:hAnsi="仿宋" w:eastAsia="仿宋" w:cs="Arial"/>
          <w:kern w:val="0"/>
          <w:sz w:val="32"/>
          <w:szCs w:val="32"/>
        </w:rPr>
        <w:t>元，小计</w:t>
      </w:r>
      <w:r>
        <w:rPr>
          <w:rFonts w:ascii="仿宋" w:hAnsi="仿宋" w:eastAsia="仿宋" w:cs="Arial"/>
          <w:kern w:val="0"/>
          <w:sz w:val="32"/>
          <w:szCs w:val="32"/>
        </w:rPr>
        <w:t>325072.5</w:t>
      </w:r>
      <w:r>
        <w:rPr>
          <w:rFonts w:hint="eastAsia" w:ascii="仿宋" w:hAnsi="仿宋" w:eastAsia="仿宋" w:cs="Arial"/>
          <w:kern w:val="0"/>
          <w:sz w:val="32"/>
          <w:szCs w:val="32"/>
        </w:rPr>
        <w:t>元；</w:t>
      </w:r>
      <w:r>
        <w:rPr>
          <w:rFonts w:ascii="仿宋" w:hAnsi="仿宋" w:eastAsia="仿宋" w:cs="Arial"/>
          <w:kern w:val="0"/>
          <w:sz w:val="32"/>
          <w:szCs w:val="32"/>
        </w:rPr>
        <w:t>4.</w:t>
      </w:r>
      <w:r>
        <w:rPr>
          <w:rFonts w:hint="eastAsia" w:ascii="仿宋" w:hAnsi="仿宋" w:eastAsia="仿宋" w:cs="Arial"/>
          <w:kern w:val="0"/>
          <w:sz w:val="32"/>
          <w:szCs w:val="32"/>
        </w:rPr>
        <w:t>抢救费用据实为</w:t>
      </w:r>
      <w:r>
        <w:rPr>
          <w:rFonts w:ascii="仿宋" w:hAnsi="仿宋" w:eastAsia="仿宋" w:cs="E-BZ9-PK74888-Identity-H"/>
          <w:kern w:val="0"/>
          <w:sz w:val="32"/>
          <w:szCs w:val="32"/>
        </w:rPr>
        <w:t>293.83</w:t>
      </w:r>
      <w:r>
        <w:rPr>
          <w:rFonts w:hint="eastAsia" w:ascii="仿宋" w:hAnsi="仿宋" w:eastAsia="仿宋" w:cs="E-BZ9-PK74888-Identity-H"/>
          <w:kern w:val="0"/>
          <w:sz w:val="32"/>
          <w:szCs w:val="32"/>
        </w:rPr>
        <w:t>元；</w:t>
      </w:r>
      <w:r>
        <w:rPr>
          <w:rFonts w:ascii="仿宋" w:hAnsi="仿宋" w:eastAsia="仿宋" w:cs="E-BZ9-PK74888-Identity-H"/>
          <w:kern w:val="0"/>
          <w:sz w:val="32"/>
          <w:szCs w:val="32"/>
        </w:rPr>
        <w:t>5.</w:t>
      </w:r>
      <w:r>
        <w:rPr>
          <w:rFonts w:hint="eastAsia" w:ascii="仿宋" w:hAnsi="仿宋" w:eastAsia="仿宋" w:cs="E-BZ9-PK74888-Identity-H"/>
          <w:kern w:val="0"/>
          <w:sz w:val="32"/>
          <w:szCs w:val="32"/>
        </w:rPr>
        <w:t>交通费酌定为</w:t>
      </w:r>
      <w:r>
        <w:rPr>
          <w:rFonts w:ascii="仿宋" w:hAnsi="仿宋" w:eastAsia="仿宋" w:cs="E-BZ9-PK74888-Identity-H"/>
          <w:kern w:val="0"/>
          <w:sz w:val="32"/>
          <w:szCs w:val="32"/>
        </w:rPr>
        <w:t>500</w:t>
      </w:r>
      <w:r>
        <w:rPr>
          <w:rFonts w:hint="eastAsia" w:ascii="仿宋" w:hAnsi="仿宋" w:eastAsia="仿宋" w:cs="E-BZ9-PK74888-Identity-H"/>
          <w:kern w:val="0"/>
          <w:sz w:val="32"/>
          <w:szCs w:val="32"/>
        </w:rPr>
        <w:t>元；</w:t>
      </w:r>
      <w:r>
        <w:rPr>
          <w:rFonts w:ascii="仿宋" w:hAnsi="仿宋" w:eastAsia="仿宋" w:cs="E-BZ9-PK74888-Identity-H"/>
          <w:kern w:val="0"/>
          <w:sz w:val="32"/>
          <w:szCs w:val="32"/>
        </w:rPr>
        <w:t>6.</w:t>
      </w:r>
      <w:r>
        <w:rPr>
          <w:rFonts w:hint="eastAsia" w:ascii="仿宋" w:hAnsi="仿宋" w:eastAsia="仿宋" w:cs="E-BZ9-PK74888-Identity-H"/>
          <w:kern w:val="0"/>
          <w:sz w:val="32"/>
          <w:szCs w:val="32"/>
        </w:rPr>
        <w:t>精神损害抚慰金酌定</w:t>
      </w:r>
      <w:r>
        <w:rPr>
          <w:rFonts w:ascii="仿宋" w:hAnsi="仿宋" w:eastAsia="仿宋" w:cs="E-BZ9-PK74888-Identity-H"/>
          <w:kern w:val="0"/>
          <w:sz w:val="32"/>
          <w:szCs w:val="32"/>
        </w:rPr>
        <w:t>20000</w:t>
      </w:r>
      <w:r>
        <w:rPr>
          <w:rFonts w:hint="eastAsia" w:ascii="仿宋" w:hAnsi="仿宋" w:eastAsia="仿宋" w:cs="E-BZ9-PK74888-Identity-H"/>
          <w:kern w:val="0"/>
          <w:sz w:val="32"/>
          <w:szCs w:val="32"/>
        </w:rPr>
        <w:t>元；</w:t>
      </w:r>
      <w:r>
        <w:rPr>
          <w:rFonts w:ascii="仿宋" w:hAnsi="仿宋" w:eastAsia="仿宋" w:cs="E-BZ9-PK74888-Identity-H"/>
          <w:kern w:val="0"/>
          <w:sz w:val="32"/>
          <w:szCs w:val="32"/>
        </w:rPr>
        <w:t>7.</w:t>
      </w:r>
      <w:r>
        <w:rPr>
          <w:rFonts w:hint="eastAsia" w:ascii="仿宋" w:hAnsi="仿宋" w:eastAsia="仿宋" w:cs="E-BZ9-PK74888-Identity-H"/>
          <w:kern w:val="0"/>
          <w:sz w:val="32"/>
          <w:szCs w:val="32"/>
        </w:rPr>
        <w:t>鉴定费据实计算为</w:t>
      </w:r>
      <w:r>
        <w:rPr>
          <w:rFonts w:ascii="仿宋" w:hAnsi="仿宋" w:eastAsia="仿宋" w:cs="E-BZ9-PK74888-Identity-H"/>
          <w:kern w:val="0"/>
          <w:sz w:val="32"/>
          <w:szCs w:val="32"/>
        </w:rPr>
        <w:t>16000</w:t>
      </w:r>
      <w:r>
        <w:rPr>
          <w:rFonts w:hint="eastAsia" w:ascii="仿宋" w:hAnsi="仿宋" w:eastAsia="仿宋" w:cs="E-BZ9-PK74888-Identity-H"/>
          <w:kern w:val="0"/>
          <w:sz w:val="32"/>
          <w:szCs w:val="32"/>
        </w:rPr>
        <w:t>元；</w:t>
      </w:r>
      <w:r>
        <w:rPr>
          <w:rFonts w:ascii="仿宋" w:hAnsi="仿宋" w:eastAsia="仿宋" w:cs="E-BZ9-PK74888-Identity-H"/>
          <w:kern w:val="0"/>
          <w:sz w:val="32"/>
          <w:szCs w:val="32"/>
        </w:rPr>
        <w:t>8.</w:t>
      </w:r>
      <w:r>
        <w:rPr>
          <w:rFonts w:hint="eastAsia" w:ascii="仿宋" w:hAnsi="仿宋" w:eastAsia="仿宋" w:cs="E-BZ9-PK74888-Identity-H"/>
          <w:kern w:val="0"/>
          <w:sz w:val="32"/>
          <w:szCs w:val="32"/>
        </w:rPr>
        <w:t>办理丧事的误工费计算为</w:t>
      </w:r>
      <w:r>
        <w:rPr>
          <w:rFonts w:ascii="仿宋" w:hAnsi="仿宋" w:eastAsia="仿宋" w:cs="E-BZ9-PK74888-Identity-H"/>
          <w:kern w:val="0"/>
          <w:sz w:val="32"/>
          <w:szCs w:val="32"/>
        </w:rPr>
        <w:t>100</w:t>
      </w:r>
      <w:r>
        <w:rPr>
          <w:rFonts w:hint="eastAsia" w:ascii="仿宋" w:hAnsi="仿宋" w:eastAsia="仿宋" w:cs="E-BZ9-PK74888-Identity-H"/>
          <w:kern w:val="0"/>
          <w:sz w:val="32"/>
          <w:szCs w:val="32"/>
        </w:rPr>
        <w:t>元</w:t>
      </w:r>
      <w:r>
        <w:rPr>
          <w:rFonts w:ascii="仿宋" w:hAnsi="仿宋" w:eastAsia="仿宋" w:cs="E-BZ9-PK74888-Identity-H"/>
          <w:kern w:val="0"/>
          <w:sz w:val="32"/>
          <w:szCs w:val="32"/>
        </w:rPr>
        <w:t>/</w:t>
      </w:r>
      <w:r>
        <w:rPr>
          <w:rFonts w:hint="eastAsia" w:ascii="仿宋" w:hAnsi="仿宋" w:eastAsia="仿宋" w:cs="E-BZ9-PK74888-Identity-H"/>
          <w:kern w:val="0"/>
          <w:sz w:val="32"/>
          <w:szCs w:val="32"/>
        </w:rPr>
        <w:t>天</w:t>
      </w:r>
      <w:r>
        <w:rPr>
          <w:rFonts w:ascii="仿宋" w:hAnsi="仿宋" w:eastAsia="仿宋" w:cs="Arial"/>
          <w:kern w:val="0"/>
          <w:sz w:val="32"/>
          <w:szCs w:val="32"/>
        </w:rPr>
        <w:t>×</w:t>
      </w:r>
      <w:r>
        <w:rPr>
          <w:rFonts w:ascii="仿宋" w:hAnsi="仿宋" w:eastAsia="仿宋" w:cs="E-BZ9-PK74888-Identity-H"/>
          <w:kern w:val="0"/>
          <w:sz w:val="32"/>
          <w:szCs w:val="32"/>
        </w:rPr>
        <w:t>3</w:t>
      </w:r>
      <w:r>
        <w:rPr>
          <w:rFonts w:hint="eastAsia" w:ascii="仿宋" w:hAnsi="仿宋" w:eastAsia="仿宋" w:cs="E-BZ9-PK74888-Identity-H"/>
          <w:kern w:val="0"/>
          <w:sz w:val="32"/>
          <w:szCs w:val="32"/>
        </w:rPr>
        <w:t>天</w:t>
      </w:r>
      <w:r>
        <w:rPr>
          <w:rFonts w:ascii="仿宋" w:hAnsi="仿宋" w:eastAsia="仿宋" w:cs="Arial"/>
          <w:kern w:val="0"/>
          <w:sz w:val="32"/>
          <w:szCs w:val="32"/>
        </w:rPr>
        <w:t>×3=900</w:t>
      </w:r>
      <w:r>
        <w:rPr>
          <w:rFonts w:hint="eastAsia" w:ascii="仿宋" w:hAnsi="仿宋" w:eastAsia="仿宋" w:cs="Arial"/>
          <w:kern w:val="0"/>
          <w:sz w:val="32"/>
          <w:szCs w:val="32"/>
        </w:rPr>
        <w:t>元，其余原告未纳入请求不予计算，以上合计为</w:t>
      </w:r>
      <w:r>
        <w:rPr>
          <w:rFonts w:ascii="仿宋" w:hAnsi="仿宋" w:eastAsia="仿宋" w:cs="Arial"/>
          <w:kern w:val="0"/>
          <w:sz w:val="32"/>
          <w:szCs w:val="32"/>
        </w:rPr>
        <w:t>1101428.33</w:t>
      </w:r>
      <w:r>
        <w:rPr>
          <w:rFonts w:hint="eastAsia" w:ascii="仿宋" w:hAnsi="仿宋" w:eastAsia="仿宋" w:cs="Arial"/>
          <w:kern w:val="0"/>
          <w:sz w:val="32"/>
          <w:szCs w:val="32"/>
        </w:rPr>
        <w:t>元。按照比例</w:t>
      </w:r>
      <w:r>
        <w:rPr>
          <w:rFonts w:hint="eastAsia" w:ascii="仿宋" w:hAnsi="仿宋" w:eastAsia="仿宋" w:cs="E-BZ9-PK74888-Identity-H"/>
          <w:kern w:val="0"/>
          <w:sz w:val="32"/>
          <w:szCs w:val="32"/>
        </w:rPr>
        <w:t>国网重庆市电力公司丰都供电分公司应承担损失金额为，</w:t>
      </w:r>
      <w:r>
        <w:rPr>
          <w:rFonts w:ascii="仿宋" w:hAnsi="仿宋" w:eastAsia="仿宋" w:cs="Arial"/>
          <w:kern w:val="0"/>
          <w:sz w:val="32"/>
          <w:szCs w:val="32"/>
        </w:rPr>
        <w:t>1101428.33</w:t>
      </w:r>
      <w:r>
        <w:rPr>
          <w:rFonts w:hint="eastAsia" w:ascii="仿宋" w:hAnsi="仿宋" w:eastAsia="仿宋" w:cs="Arial"/>
          <w:kern w:val="0"/>
          <w:sz w:val="32"/>
          <w:szCs w:val="32"/>
        </w:rPr>
        <w:t>元</w:t>
      </w:r>
      <w:r>
        <w:rPr>
          <w:rFonts w:ascii="仿宋" w:hAnsi="仿宋" w:eastAsia="仿宋" w:cs="Arial"/>
          <w:kern w:val="0"/>
          <w:sz w:val="32"/>
          <w:szCs w:val="32"/>
        </w:rPr>
        <w:t>×50%=550714.17</w:t>
      </w:r>
      <w:r>
        <w:rPr>
          <w:rFonts w:hint="eastAsia" w:ascii="仿宋" w:hAnsi="仿宋" w:eastAsia="仿宋" w:cs="Arial"/>
          <w:kern w:val="0"/>
          <w:sz w:val="32"/>
          <w:szCs w:val="32"/>
        </w:rPr>
        <w:t>元。</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综上所述，</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中华人民共和国侵权责任法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第七条</w:t>
      </w:r>
      <w:r>
        <w:rPr>
          <w:rFonts w:hint="eastAsia" w:ascii="仿宋" w:hAnsi="仿宋" w:eastAsia="仿宋" w:cs="H-SS9-PK74820000a48-Identity-H"/>
          <w:kern w:val="0"/>
          <w:sz w:val="32"/>
          <w:szCs w:val="32"/>
        </w:rPr>
        <w:t>、第二十六条、第七十三条、《最高人民法院关于审理人身损害赔偿案件适用法律若干问题的解释》第十七条第一、三款、第十八条第一款、第十九条、第二十条第一、二款、第二十二条、第二十七条、第二十八条、第二十九条、第三十条、第三十一条、《最高人民法院关于确定民事侵权精神损害赔偿责任若干问题的解释》第十条第一款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ascii="仿宋" w:hAnsi="仿宋" w:eastAsia="仿宋" w:cs="Arial"/>
          <w:kern w:val="0"/>
          <w:sz w:val="32"/>
          <w:szCs w:val="32"/>
        </w:rPr>
      </w:pPr>
      <w:r>
        <w:rPr>
          <w:rFonts w:hint="eastAsia" w:ascii="仿宋" w:hAnsi="仿宋" w:eastAsia="仿宋" w:cs="H-SS9-PK74820000a48-Identity-H"/>
          <w:kern w:val="0"/>
          <w:sz w:val="32"/>
          <w:szCs w:val="32"/>
        </w:rPr>
        <w:t>被告</w:t>
      </w:r>
      <w:r>
        <w:rPr>
          <w:rFonts w:hint="eastAsia" w:ascii="仿宋" w:hAnsi="仿宋" w:eastAsia="仿宋" w:cs="E-BZ9-PK74888-Identity-H"/>
          <w:kern w:val="0"/>
          <w:sz w:val="32"/>
          <w:szCs w:val="32"/>
        </w:rPr>
        <w:t>国网重庆市电力公司丰都供电分公司在本判决发生法律效力后</w:t>
      </w:r>
      <w:r>
        <w:rPr>
          <w:rFonts w:ascii="仿宋" w:hAnsi="仿宋" w:eastAsia="仿宋" w:cs="E-BZ9-PK74888-Identity-H"/>
          <w:kern w:val="0"/>
          <w:sz w:val="32"/>
          <w:szCs w:val="32"/>
        </w:rPr>
        <w:t>15</w:t>
      </w:r>
      <w:r>
        <w:rPr>
          <w:rFonts w:hint="eastAsia" w:ascii="仿宋" w:hAnsi="仿宋" w:eastAsia="仿宋" w:cs="E-BZ9-PK74888-Identity-H"/>
          <w:kern w:val="0"/>
          <w:sz w:val="32"/>
          <w:szCs w:val="32"/>
        </w:rPr>
        <w:t>日内赔偿原告周素琼、程正</w:t>
      </w:r>
      <w:r>
        <w:rPr>
          <w:rFonts w:hint="eastAsia" w:ascii="仿宋" w:hAnsi="仿宋" w:eastAsia="仿宋" w:cs="SSJ-PK74820000a3c-Identity-H"/>
          <w:kern w:val="0"/>
          <w:sz w:val="32"/>
          <w:szCs w:val="32"/>
        </w:rPr>
        <w:t>昊、</w:t>
      </w:r>
      <w:r>
        <w:rPr>
          <w:rFonts w:hint="eastAsia" w:ascii="仿宋" w:hAnsi="仿宋" w:eastAsia="仿宋" w:cs="E-BZ9-PK74888-Identity-H"/>
          <w:kern w:val="0"/>
          <w:sz w:val="32"/>
          <w:szCs w:val="32"/>
        </w:rPr>
        <w:t>程秀雄、程若溪、谢敏经济损失</w:t>
      </w:r>
      <w:r>
        <w:rPr>
          <w:rFonts w:ascii="仿宋" w:hAnsi="仿宋" w:eastAsia="仿宋" w:cs="Arial"/>
          <w:kern w:val="0"/>
          <w:sz w:val="32"/>
          <w:szCs w:val="32"/>
        </w:rPr>
        <w:t>550714.17</w:t>
      </w:r>
      <w:r>
        <w:rPr>
          <w:rFonts w:hint="eastAsia" w:ascii="仿宋" w:hAnsi="仿宋" w:eastAsia="仿宋" w:cs="Arial"/>
          <w:kern w:val="0"/>
          <w:sz w:val="32"/>
          <w:szCs w:val="32"/>
        </w:rPr>
        <w:t>元；</w:t>
      </w:r>
    </w:p>
    <w:p>
      <w:pPr>
        <w:numPr>
          <w:ilvl w:val="0"/>
          <w:numId w:val="2"/>
        </w:numPr>
        <w:autoSpaceDE w:val="0"/>
        <w:autoSpaceDN w:val="0"/>
        <w:adjustRightInd w:val="0"/>
        <w:ind w:firstLine="640" w:firstLineChars="200"/>
        <w:rPr>
          <w:rFonts w:ascii="仿宋" w:hAnsi="仿宋" w:eastAsia="仿宋" w:cs="Arial"/>
          <w:kern w:val="0"/>
          <w:sz w:val="32"/>
          <w:szCs w:val="32"/>
        </w:rPr>
      </w:pPr>
      <w:r>
        <w:rPr>
          <w:rFonts w:hint="eastAsia" w:ascii="仿宋" w:hAnsi="仿宋" w:eastAsia="仿宋" w:cs="Arial"/>
          <w:kern w:val="0"/>
          <w:sz w:val="32"/>
          <w:szCs w:val="32"/>
        </w:rPr>
        <w:t>驳回原告</w:t>
      </w:r>
      <w:r>
        <w:rPr>
          <w:rFonts w:hint="eastAsia" w:ascii="仿宋" w:hAnsi="仿宋" w:eastAsia="仿宋" w:cs="E-BZ9-PK74888-Identity-H"/>
          <w:kern w:val="0"/>
          <w:sz w:val="32"/>
          <w:szCs w:val="32"/>
        </w:rPr>
        <w:t>周素琼、程正</w:t>
      </w:r>
      <w:r>
        <w:rPr>
          <w:rFonts w:hint="eastAsia" w:ascii="仿宋" w:hAnsi="仿宋" w:eastAsia="仿宋" w:cs="SSJ-PK74820000a3c-Identity-H"/>
          <w:kern w:val="0"/>
          <w:sz w:val="32"/>
          <w:szCs w:val="32"/>
        </w:rPr>
        <w:t>昊、</w:t>
      </w:r>
      <w:r>
        <w:rPr>
          <w:rFonts w:hint="eastAsia" w:ascii="仿宋" w:hAnsi="仿宋" w:eastAsia="仿宋" w:cs="E-BZ9-PK74888-Identity-H"/>
          <w:kern w:val="0"/>
          <w:sz w:val="32"/>
          <w:szCs w:val="32"/>
        </w:rPr>
        <w:t>程秀雄、程若溪、谢敏的其余诉讼请求。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ascii="仿宋" w:hAnsi="仿宋" w:eastAsia="仿宋" w:cs="SSJ-PK74820000a3c-Identity-H"/>
          <w:kern w:val="0"/>
          <w:sz w:val="32"/>
          <w:szCs w:val="32"/>
        </w:rPr>
        <w:t>12826</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，减半收取</w:t>
      </w:r>
      <w:r>
        <w:rPr>
          <w:rFonts w:ascii="仿宋" w:hAnsi="仿宋" w:eastAsia="仿宋" w:cs="H-SS9-PK74820000a48-Identity-H"/>
          <w:kern w:val="0"/>
          <w:sz w:val="32"/>
          <w:szCs w:val="32"/>
        </w:rPr>
        <w:t>6413</w:t>
      </w:r>
      <w:r>
        <w:rPr>
          <w:rFonts w:hint="eastAsia" w:ascii="仿宋" w:hAnsi="仿宋" w:eastAsia="仿宋" w:cs="H-SS9-PK74820000a48-Identity-H"/>
          <w:kern w:val="0"/>
          <w:sz w:val="32"/>
          <w:szCs w:val="32"/>
        </w:rPr>
        <w:t>元，</w:t>
      </w:r>
      <w:r>
        <w:rPr>
          <w:rFonts w:hint="eastAsia" w:ascii="仿宋" w:hAnsi="仿宋" w:eastAsia="仿宋" w:cs="SSJ-PK74820000a3c-Identity-H"/>
          <w:kern w:val="0"/>
          <w:sz w:val="32"/>
          <w:szCs w:val="32"/>
        </w:rPr>
        <w:t>由原告</w:t>
      </w:r>
      <w:r>
        <w:rPr>
          <w:rFonts w:hint="eastAsia" w:ascii="仿宋" w:hAnsi="仿宋" w:eastAsia="仿宋" w:cs="E-BZ9-PK74888-Identity-H"/>
          <w:kern w:val="0"/>
          <w:sz w:val="32"/>
          <w:szCs w:val="32"/>
        </w:rPr>
        <w:t>周素琼、程正</w:t>
      </w:r>
      <w:r>
        <w:rPr>
          <w:rFonts w:hint="eastAsia" w:ascii="仿宋" w:hAnsi="仿宋" w:eastAsia="仿宋" w:cs="SSJ-PK74820000a3c-Identity-H"/>
          <w:kern w:val="0"/>
          <w:sz w:val="32"/>
          <w:szCs w:val="32"/>
        </w:rPr>
        <w:t>昊、</w:t>
      </w:r>
      <w:r>
        <w:rPr>
          <w:rFonts w:hint="eastAsia" w:ascii="仿宋" w:hAnsi="仿宋" w:eastAsia="仿宋" w:cs="E-BZ9-PK74888-Identity-H"/>
          <w:kern w:val="0"/>
          <w:sz w:val="32"/>
          <w:szCs w:val="32"/>
        </w:rPr>
        <w:t>程秀雄、程若溪、谢敏</w:t>
      </w:r>
      <w:r>
        <w:rPr>
          <w:rFonts w:hint="eastAsia" w:ascii="仿宋" w:hAnsi="仿宋" w:eastAsia="仿宋" w:cs="SSJ-PK74820000a3c-Identity-H"/>
          <w:kern w:val="0"/>
          <w:sz w:val="32"/>
          <w:szCs w:val="32"/>
        </w:rPr>
        <w:t>负担</w:t>
      </w:r>
      <w:r>
        <w:rPr>
          <w:rFonts w:ascii="仿宋" w:hAnsi="仿宋" w:eastAsia="仿宋" w:cs="SSJ-PK74820000a3c-Identity-H"/>
          <w:kern w:val="0"/>
          <w:sz w:val="32"/>
          <w:szCs w:val="32"/>
        </w:rPr>
        <w:t>2565.2</w:t>
      </w:r>
      <w:r>
        <w:rPr>
          <w:rFonts w:hint="eastAsia" w:ascii="仿宋" w:hAnsi="仿宋" w:eastAsia="仿宋" w:cs="SSJ-PK74820000a3c-Identity-H"/>
          <w:kern w:val="0"/>
          <w:sz w:val="32"/>
          <w:szCs w:val="32"/>
        </w:rPr>
        <w:t>元，被告</w:t>
      </w:r>
      <w:r>
        <w:rPr>
          <w:rFonts w:hint="eastAsia" w:ascii="仿宋" w:hAnsi="仿宋" w:eastAsia="仿宋" w:cs="E-BZ9-PK74888-Identity-H"/>
          <w:kern w:val="0"/>
          <w:sz w:val="32"/>
          <w:szCs w:val="32"/>
        </w:rPr>
        <w:t>国网重庆市电力公司丰都供电分公司负担</w:t>
      </w:r>
      <w:r>
        <w:rPr>
          <w:rFonts w:ascii="仿宋" w:hAnsi="仿宋" w:eastAsia="仿宋" w:cs="SSJ-PK74820000a3c-Identity-H"/>
          <w:kern w:val="0"/>
          <w:sz w:val="32"/>
          <w:szCs w:val="32"/>
        </w:rPr>
        <w:t>3847.8</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p>
    <w:p>
      <w:pPr>
        <w:snapToGrid w:val="0"/>
        <w:spacing w:line="578" w:lineRule="exact"/>
        <w:ind w:firstLine="640" w:firstLineChars="200"/>
        <w:rPr>
          <w:rFonts w:hint="eastAsia" w:ascii="黑体" w:hAnsi="黑体" w:eastAsia="仿宋" w:cs="黑体"/>
          <w:sz w:val="28"/>
          <w:szCs w:val="28"/>
          <w:lang w:val="en-US" w:eastAsia="zh-CN"/>
        </w:rPr>
      </w:pP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不服一审判决提出</w:t>
      </w:r>
      <w:r>
        <w:rPr>
          <w:rFonts w:hint="eastAsia" w:ascii="仿宋" w:hAnsi="仿宋" w:eastAsia="仿宋" w:cs="仿宋"/>
          <w:color w:val="000000"/>
          <w:sz w:val="32"/>
          <w:szCs w:val="32"/>
        </w:rPr>
        <w:t>上诉</w:t>
      </w:r>
      <w:r>
        <w:rPr>
          <w:rFonts w:hint="eastAsia" w:ascii="仿宋" w:hAnsi="仿宋" w:eastAsia="仿宋" w:cs="仿宋"/>
          <w:color w:val="000000"/>
          <w:sz w:val="32"/>
          <w:szCs w:val="32"/>
          <w:lang w:eastAsia="zh-CN"/>
        </w:rPr>
        <w:t>。</w:t>
      </w:r>
      <w:bookmarkStart w:id="0" w:name="_GoBack"/>
      <w:bookmarkEnd w:id="0"/>
    </w:p>
    <w:p>
      <w:pPr>
        <w:spacing w:line="520" w:lineRule="exact"/>
        <w:ind w:firstLine="560" w:firstLineChars="200"/>
        <w:rPr>
          <w:rFonts w:hint="eastAsia" w:ascii="仿宋" w:hAnsi="仿宋" w:eastAsia="仿宋" w:cs="仿宋"/>
          <w:sz w:val="32"/>
          <w:szCs w:val="32"/>
          <w:lang w:eastAsia="zh-CN"/>
        </w:rPr>
      </w:pPr>
      <w:r>
        <w:rPr>
          <w:rFonts w:hint="eastAsia" w:ascii="黑体" w:hAnsi="黑体" w:eastAsia="黑体" w:cs="黑体"/>
          <w:sz w:val="28"/>
          <w:szCs w:val="28"/>
          <w:lang w:val="en-US" w:eastAsia="zh-CN"/>
        </w:rPr>
        <w:t xml:space="preserve">  重庆市第三中级人民法院审理</w:t>
      </w:r>
      <w:r>
        <w:rPr>
          <w:rFonts w:hint="eastAsia" w:ascii="仿宋" w:hAnsi="仿宋" w:eastAsia="仿宋" w:cs="仿宋"/>
          <w:color w:val="000000"/>
          <w:sz w:val="32"/>
          <w:szCs w:val="32"/>
        </w:rPr>
        <w:t>认为，本案二审的争议焦点是：</w:t>
      </w:r>
      <w:r>
        <w:rPr>
          <w:rFonts w:hint="eastAsia" w:ascii="仿宋" w:hAnsi="仿宋" w:eastAsia="仿宋" w:cs="仿宋"/>
          <w:sz w:val="32"/>
          <w:szCs w:val="32"/>
          <w:lang w:eastAsia="zh-CN"/>
        </w:rPr>
        <w:t>一审法院是否违反法定程序，是否漏列当事人；本案责任比例的划分是否恰当；本案应按农村居民标准还是城镇居民标准计算赔偿；应否支付精神抚慰金；本案法律适用是否正确。</w:t>
      </w:r>
    </w:p>
    <w:p>
      <w:pPr>
        <w:pStyle w:val="2"/>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关于一审法院是否违反法定程序，是否漏列当事人的问题。上诉人</w:t>
      </w: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主张应追加</w:t>
      </w:r>
      <w:r>
        <w:rPr>
          <w:rFonts w:hint="eastAsia" w:ascii="仿宋" w:hAnsi="仿宋" w:eastAsia="仿宋" w:cs="仿宋"/>
          <w:kern w:val="0"/>
          <w:sz w:val="32"/>
          <w:szCs w:val="32"/>
          <w:lang w:val="en-US" w:eastAsia="zh-CN"/>
        </w:rPr>
        <w:t>鱼</w:t>
      </w:r>
      <w:r>
        <w:rPr>
          <w:rFonts w:hint="eastAsia" w:ascii="仿宋" w:hAnsi="仿宋" w:eastAsia="仿宋" w:cs="仿宋"/>
          <w:sz w:val="32"/>
          <w:szCs w:val="32"/>
        </w:rPr>
        <w:t>塘经营人吴继华</w:t>
      </w:r>
      <w:r>
        <w:rPr>
          <w:rFonts w:hint="eastAsia" w:ascii="仿宋" w:hAnsi="仿宋" w:eastAsia="仿宋" w:cs="仿宋"/>
          <w:sz w:val="32"/>
          <w:szCs w:val="32"/>
          <w:lang w:eastAsia="zh-CN"/>
        </w:rPr>
        <w:t>及其</w:t>
      </w:r>
      <w:r>
        <w:rPr>
          <w:rFonts w:hint="eastAsia" w:ascii="仿宋" w:hAnsi="仿宋" w:eastAsia="仿宋" w:cs="仿宋"/>
          <w:sz w:val="32"/>
          <w:szCs w:val="32"/>
        </w:rPr>
        <w:t>外侄陈国佳</w:t>
      </w:r>
      <w:r>
        <w:rPr>
          <w:rFonts w:hint="eastAsia" w:ascii="仿宋" w:hAnsi="仿宋" w:eastAsia="仿宋" w:cs="仿宋"/>
          <w:sz w:val="32"/>
          <w:szCs w:val="32"/>
          <w:lang w:eastAsia="zh-CN"/>
        </w:rPr>
        <w:t>为被告。经查，本案中，程杰受陈国佳邀约前往吴继华鱼塘钓鱼，作为邀约人的陈国佳为善意且对程杰触电身亡并无过错，让其承担民事责任不利于鼓励人际交往，有违公序良俗。作为该鱼塘的管理者吴继华并未收取费用，其让程杰及陈国佳在其管理的鱼塘钓鱼亦为善意且对程杰触电身亡无过错，亦不应承担本案民事责任。一审法院不追加二人为本案被告并无不当。上诉人主张本案提交的判决未质证，违反法定程序。经查，上诉人及被上诉人在一审诉讼中，均提交了与本案相似事件处理的判决，但一审法院对本案的处理是独立作出判断，并非依赖任何一方提交的判决作出，故一审法院未予质证不违反法定程序。</w:t>
      </w:r>
    </w:p>
    <w:p>
      <w:pPr>
        <w:pStyle w:val="2"/>
        <w:spacing w:line="520" w:lineRule="exact"/>
        <w:ind w:firstLine="640" w:firstLineChars="200"/>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关于</w:t>
      </w:r>
      <w:r>
        <w:rPr>
          <w:rFonts w:hint="eastAsia" w:ascii="仿宋" w:hAnsi="仿宋" w:eastAsia="仿宋" w:cs="仿宋"/>
          <w:sz w:val="32"/>
          <w:szCs w:val="32"/>
          <w:lang w:eastAsia="zh-CN"/>
        </w:rPr>
        <w:t>本案责任比例的划分是否恰当</w:t>
      </w:r>
      <w:r>
        <w:rPr>
          <w:rFonts w:hint="eastAsia" w:ascii="仿宋" w:hAnsi="仿宋" w:eastAsia="仿宋" w:cs="仿宋"/>
          <w:kern w:val="0"/>
          <w:sz w:val="32"/>
          <w:szCs w:val="32"/>
          <w:shd w:val="clear" w:color="auto" w:fill="FFFFFF"/>
          <w:lang w:val="en-US" w:eastAsia="zh-CN" w:bidi="ar"/>
        </w:rPr>
        <w:t>的问题。经查，上诉人</w:t>
      </w: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作为涉案</w:t>
      </w:r>
      <w:r>
        <w:rPr>
          <w:rFonts w:hint="eastAsia" w:ascii="仿宋" w:hAnsi="仿宋" w:eastAsia="仿宋" w:cs="仿宋"/>
          <w:kern w:val="0"/>
          <w:sz w:val="32"/>
          <w:szCs w:val="32"/>
        </w:rPr>
        <w:t>10千伏“社永”高压线永冠支线#</w:t>
      </w:r>
      <w:r>
        <w:rPr>
          <w:rFonts w:ascii="仿宋" w:hAnsi="仿宋" w:eastAsia="仿宋" w:cs="仿宋"/>
          <w:kern w:val="0"/>
          <w:sz w:val="32"/>
          <w:szCs w:val="32"/>
        </w:rPr>
        <w:t>2</w:t>
      </w:r>
      <w:r>
        <w:rPr>
          <w:rFonts w:hint="eastAsia" w:ascii="仿宋" w:hAnsi="仿宋" w:eastAsia="仿宋" w:cs="仿宋"/>
          <w:kern w:val="0"/>
          <w:sz w:val="32"/>
          <w:szCs w:val="32"/>
        </w:rPr>
        <w:t>杆至#3杆之间的导线</w:t>
      </w:r>
      <w:r>
        <w:rPr>
          <w:rFonts w:hint="eastAsia" w:ascii="仿宋" w:hAnsi="仿宋" w:eastAsia="仿宋" w:cs="仿宋"/>
          <w:kern w:val="0"/>
          <w:sz w:val="32"/>
          <w:szCs w:val="32"/>
          <w:lang w:eastAsia="zh-CN"/>
        </w:rPr>
        <w:t>的管理人，对该导线属于高度危险应为明知，必须按照法律及相应的国家规范安装线路，并合理设置警示标志。本案中，虽然</w:t>
      </w: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架设的该高压线路经相关职能部门事发后调查确认，符合国家规范的距地高度。其在变压器上也设置了警示标志，但因该标志距离程杰触电地点较远，也较高，不足以起到警示危险的程度。其也在程杰触电的地点附近设置的警示标志，但因其设立在程杰触电地点附近的小路旁的警示标志被该小路旁种植的玉米等农作物遮当，不足以起到警示危险的程度，且本案中其未举示证据证明程杰有故意或其具有法定的免责事由，故应承担民事责任。</w:t>
      </w:r>
      <w:r>
        <w:rPr>
          <w:rFonts w:hint="eastAsia" w:ascii="仿宋" w:hAnsi="仿宋" w:eastAsia="仿宋" w:cs="仿宋"/>
          <w:kern w:val="0"/>
          <w:sz w:val="32"/>
          <w:szCs w:val="32"/>
          <w:shd w:val="clear" w:color="auto" w:fill="FFFFFF"/>
          <w:lang w:val="en-US" w:eastAsia="zh-CN" w:bidi="ar"/>
        </w:rPr>
        <w:t>程杰作为成年人，在钓鱼过程中，应充分观察周围环境，合理采取措施，注意人身安全，避免危险发生，但其却未尽到注意义务，手持未收折的鱼竿在鱼塘栅栏外的小路上行走，因触及上诉人管理的高圧线而导致身亡，自身存在过错。应减轻上诉人的赔偿责任。一审根据致害人的行为与损害结果之间的原因力比例确定上诉人与程杰各自承担50%的民事责任与其过错相适应，程杰应承担的责任依法应由被上诉人承担，本院予以确认。</w:t>
      </w:r>
    </w:p>
    <w:p>
      <w:pPr>
        <w:pStyle w:val="2"/>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kern w:val="0"/>
          <w:sz w:val="32"/>
          <w:szCs w:val="32"/>
          <w:shd w:val="clear" w:color="auto" w:fill="FFFFFF"/>
          <w:lang w:val="en-US" w:eastAsia="zh-CN" w:bidi="ar"/>
        </w:rPr>
        <w:t>关于</w:t>
      </w:r>
      <w:r>
        <w:rPr>
          <w:rFonts w:hint="eastAsia" w:ascii="仿宋" w:hAnsi="仿宋" w:eastAsia="仿宋" w:cs="仿宋"/>
          <w:sz w:val="32"/>
          <w:szCs w:val="32"/>
          <w:lang w:eastAsia="zh-CN"/>
        </w:rPr>
        <w:t>本案应按农村居民标准还是城镇居民标准计算赔偿</w:t>
      </w:r>
      <w:r>
        <w:rPr>
          <w:rFonts w:hint="eastAsia" w:ascii="仿宋" w:hAnsi="仿宋" w:eastAsia="仿宋" w:cs="仿宋"/>
          <w:kern w:val="0"/>
          <w:sz w:val="32"/>
          <w:szCs w:val="32"/>
          <w:shd w:val="clear" w:color="auto" w:fill="FFFFFF"/>
          <w:lang w:val="en-US" w:eastAsia="zh-CN" w:bidi="ar"/>
        </w:rPr>
        <w:t>的问题。经查，程杰虽然为农村居民，但事发时，其已在城镇居住生活达一年以上，并有相对稳定的入，并不依靠农业生产经营维持其居住生活需要，被上诉人在一审中已提交相应的居住及经营证据，上诉人并未提交相应的反驳证据，故一审参照城镇居民标准计算相关费用并无不当，本院予以确认。</w:t>
      </w:r>
    </w:p>
    <w:p>
      <w:pPr>
        <w:pStyle w:val="2"/>
        <w:spacing w:line="52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shd w:val="clear" w:color="auto" w:fill="FFFFFF"/>
          <w:lang w:val="en-US" w:eastAsia="zh-CN" w:bidi="ar"/>
        </w:rPr>
        <w:t>关于应否支持精神抚慰金的问题。本案中，程杰在钓鱼中不慎触电身亡。作为其近亲属的被上诉人而言，作为父母亲的</w:t>
      </w:r>
      <w:r>
        <w:rPr>
          <w:rFonts w:hint="eastAsia" w:ascii="仿宋" w:hAnsi="仿宋" w:eastAsia="仿宋" w:cs="仿宋"/>
          <w:kern w:val="0"/>
          <w:sz w:val="32"/>
          <w:szCs w:val="32"/>
        </w:rPr>
        <w:t>程秀雄与周素琼</w:t>
      </w:r>
      <w:r>
        <w:rPr>
          <w:rFonts w:hint="eastAsia" w:ascii="仿宋" w:hAnsi="仿宋" w:eastAsia="仿宋" w:cs="仿宋"/>
          <w:kern w:val="0"/>
          <w:sz w:val="32"/>
          <w:szCs w:val="32"/>
          <w:lang w:eastAsia="zh-CN"/>
        </w:rPr>
        <w:t>痛失儿子；作为妻子的</w:t>
      </w:r>
      <w:r>
        <w:rPr>
          <w:rFonts w:hint="eastAsia" w:ascii="仿宋" w:hAnsi="仿宋" w:eastAsia="仿宋" w:cs="仿宋"/>
          <w:kern w:val="0"/>
          <w:sz w:val="32"/>
          <w:szCs w:val="32"/>
        </w:rPr>
        <w:t>谢敏</w:t>
      </w:r>
      <w:r>
        <w:rPr>
          <w:rFonts w:hint="eastAsia" w:ascii="仿宋" w:hAnsi="仿宋" w:eastAsia="仿宋" w:cs="仿宋"/>
          <w:kern w:val="0"/>
          <w:sz w:val="32"/>
          <w:szCs w:val="32"/>
          <w:lang w:eastAsia="zh-CN"/>
        </w:rPr>
        <w:t>痛失丈夫；作为子女的</w:t>
      </w:r>
      <w:r>
        <w:rPr>
          <w:rFonts w:hint="eastAsia" w:ascii="仿宋" w:hAnsi="仿宋" w:eastAsia="仿宋" w:cs="仿宋"/>
          <w:kern w:val="0"/>
          <w:sz w:val="32"/>
          <w:szCs w:val="32"/>
        </w:rPr>
        <w:t>程正昊与程若溪</w:t>
      </w:r>
      <w:r>
        <w:rPr>
          <w:rFonts w:hint="eastAsia" w:ascii="仿宋" w:hAnsi="仿宋" w:eastAsia="仿宋" w:cs="仿宋"/>
          <w:kern w:val="0"/>
          <w:sz w:val="32"/>
          <w:szCs w:val="32"/>
          <w:lang w:eastAsia="zh-CN"/>
        </w:rPr>
        <w:t>痛失父亲；给其精神造成巨大创伤，应当给予抚慰。一审判决予以支持并无不当。</w:t>
      </w:r>
    </w:p>
    <w:p>
      <w:pPr>
        <w:pStyle w:val="2"/>
        <w:spacing w:line="520" w:lineRule="exact"/>
        <w:ind w:firstLine="640" w:firstLineChars="200"/>
        <w:rPr>
          <w:rFonts w:hint="eastAsia" w:ascii="仿宋" w:hAnsi="仿宋" w:eastAsia="仿宋" w:cs="仿宋"/>
          <w:color w:val="3E4A61"/>
          <w:sz w:val="32"/>
          <w:szCs w:val="32"/>
        </w:rPr>
      </w:pPr>
      <w:r>
        <w:rPr>
          <w:rFonts w:hint="eastAsia" w:ascii="仿宋" w:hAnsi="仿宋" w:eastAsia="仿宋" w:cs="仿宋"/>
          <w:kern w:val="0"/>
          <w:sz w:val="32"/>
          <w:szCs w:val="32"/>
          <w:lang w:eastAsia="zh-CN"/>
        </w:rPr>
        <w:t>关于本案法律适用的问题。上诉人认为，本案还应适用《</w:t>
      </w:r>
      <w:r>
        <w:rPr>
          <w:rFonts w:hint="eastAsia" w:ascii="仿宋" w:hAnsi="仿宋" w:eastAsia="仿宋" w:cs="仿宋"/>
          <w:color w:val="3E4A61"/>
          <w:kern w:val="0"/>
          <w:sz w:val="32"/>
          <w:szCs w:val="32"/>
          <w:shd w:val="clear" w:color="auto" w:fill="FFFFFF"/>
          <w:lang w:val="en-US" w:eastAsia="zh-CN" w:bidi="ar"/>
        </w:rPr>
        <w:t>最高人民法院关于审理触电人身损害赔偿案件若干问题的解释</w:t>
      </w:r>
      <w:r>
        <w:rPr>
          <w:rFonts w:hint="eastAsia" w:ascii="仿宋" w:hAnsi="仿宋" w:eastAsia="仿宋" w:cs="仿宋"/>
          <w:kern w:val="0"/>
          <w:sz w:val="32"/>
          <w:szCs w:val="32"/>
          <w:lang w:eastAsia="zh-CN"/>
        </w:rPr>
        <w:t>》，但因该司法解释已废止，故一审法院不予适用正确。本案系上诉人的高压输电线路致人损害，其范畴为高压作业致人损害，其应适用《中华人民共和国侵权责任法》第七十三条的规定予以处理。上诉人认为还应适用该法第七十六条的规定，因该条规定的适用情形是未经许可进入高度危险区域或者高度危险物存放区域受到损害，与本案并不吻合，且本案中作为管理人的上诉人并未尽到警示义务，避免损害的发生，故一审法院未适用该条规定处理亦无不当。</w:t>
      </w:r>
      <w:r>
        <w:rPr>
          <w:rFonts w:hint="eastAsia" w:ascii="仿宋" w:hAnsi="仿宋" w:eastAsia="仿宋" w:cs="仿宋"/>
          <w:vanish/>
          <w:color w:val="3E4A61"/>
          <w:kern w:val="0"/>
          <w:sz w:val="32"/>
          <w:szCs w:val="32"/>
          <w:u w:val="none"/>
          <w:shd w:val="clear" w:color="auto" w:fill="FFFFFF"/>
          <w:lang w:val="en-US" w:eastAsia="zh-CN" w:bidi="ar"/>
        </w:rPr>
        <w:drawing>
          <wp:inline distT="0" distB="0" distL="114300" distR="114300">
            <wp:extent cx="104775" cy="1428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04775" cy="142875"/>
                    </a:xfrm>
                    <a:prstGeom prst="rect">
                      <a:avLst/>
                    </a:prstGeom>
                    <a:noFill/>
                    <a:ln>
                      <a:noFill/>
                    </a:ln>
                  </pic:spPr>
                </pic:pic>
              </a:graphicData>
            </a:graphic>
          </wp:inline>
        </w:drawing>
      </w:r>
    </w:p>
    <w:p>
      <w:pPr>
        <w:pStyle w:val="6"/>
        <w:spacing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窗体底端</w:t>
      </w:r>
    </w:p>
    <w:p>
      <w:pPr>
        <w:snapToGrid w:val="0"/>
        <w:spacing w:line="578" w:lineRule="exact"/>
        <w:ind w:firstLine="640" w:firstLineChars="200"/>
        <w:rPr>
          <w:rFonts w:hint="eastAsia" w:asciiTheme="minorEastAsia" w:hAnsiTheme="minorEastAsia" w:eastAsiaTheme="minorEastAsia" w:cstheme="minorEastAsia"/>
          <w:color w:val="000000"/>
          <w:sz w:val="32"/>
          <w:szCs w:val="32"/>
        </w:rPr>
      </w:pPr>
      <w:r>
        <w:rPr>
          <w:rFonts w:hint="eastAsia" w:ascii="仿宋" w:hAnsi="仿宋" w:eastAsia="仿宋" w:cs="仿宋"/>
          <w:color w:val="000000"/>
          <w:sz w:val="32"/>
          <w:szCs w:val="32"/>
        </w:rPr>
        <w:t>综上所述，上诉人</w:t>
      </w: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的</w:t>
      </w:r>
      <w:r>
        <w:rPr>
          <w:rFonts w:hint="eastAsia" w:ascii="仿宋" w:hAnsi="仿宋" w:eastAsia="仿宋" w:cs="仿宋"/>
          <w:color w:val="000000"/>
          <w:sz w:val="32"/>
          <w:szCs w:val="32"/>
        </w:rPr>
        <w:t>上诉请求</w:t>
      </w:r>
      <w:r>
        <w:rPr>
          <w:rFonts w:hint="eastAsia" w:ascii="仿宋" w:hAnsi="仿宋" w:eastAsia="仿宋" w:cs="仿宋"/>
          <w:color w:val="000000"/>
          <w:sz w:val="32"/>
          <w:szCs w:val="32"/>
          <w:lang w:eastAsia="zh-CN"/>
        </w:rPr>
        <w:t>均</w:t>
      </w:r>
      <w:r>
        <w:rPr>
          <w:rFonts w:hint="eastAsia" w:ascii="仿宋" w:hAnsi="仿宋" w:eastAsia="仿宋" w:cs="仿宋"/>
          <w:color w:val="000000"/>
          <w:sz w:val="32"/>
          <w:szCs w:val="32"/>
        </w:rPr>
        <w:t>不能成立，应予驳回。一审判决认定事实</w:t>
      </w:r>
      <w:r>
        <w:rPr>
          <w:rFonts w:hint="eastAsia" w:ascii="仿宋" w:hAnsi="仿宋" w:eastAsia="仿宋" w:cs="仿宋"/>
          <w:color w:val="000000"/>
          <w:sz w:val="32"/>
          <w:szCs w:val="32"/>
          <w:lang w:val="en-US" w:eastAsia="zh-CN"/>
        </w:rPr>
        <w:t>清楚</w:t>
      </w:r>
      <w:r>
        <w:rPr>
          <w:rFonts w:hint="eastAsia" w:ascii="仿宋" w:hAnsi="仿宋" w:eastAsia="仿宋" w:cs="仿宋"/>
          <w:color w:val="000000"/>
          <w:sz w:val="32"/>
          <w:szCs w:val="32"/>
        </w:rPr>
        <w:t>，适用法律正确，</w:t>
      </w:r>
      <w:r>
        <w:rPr>
          <w:rFonts w:hint="eastAsia" w:ascii="仿宋" w:hAnsi="仿宋" w:eastAsia="仿宋" w:cs="仿宋"/>
          <w:color w:val="000000"/>
          <w:sz w:val="32"/>
          <w:szCs w:val="32"/>
          <w:lang w:eastAsia="zh-CN"/>
        </w:rPr>
        <w:t>程序合法，</w:t>
      </w:r>
      <w:r>
        <w:rPr>
          <w:rFonts w:hint="eastAsia" w:ascii="仿宋" w:hAnsi="仿宋" w:eastAsia="仿宋" w:cs="仿宋"/>
          <w:color w:val="000000"/>
          <w:sz w:val="32"/>
          <w:szCs w:val="32"/>
        </w:rPr>
        <w:t>应予维持。</w:t>
      </w:r>
      <w:r>
        <w:rPr>
          <w:rFonts w:hint="eastAsia" w:asciiTheme="minorEastAsia" w:hAnsiTheme="minorEastAsia" w:eastAsiaTheme="minorEastAsia" w:cstheme="minorEastAsia"/>
          <w:color w:val="000000"/>
          <w:sz w:val="32"/>
          <w:szCs w:val="32"/>
        </w:rPr>
        <w:t>依照《中华人民共和国民事诉讼法》第一百七十条第一款第一项之规定，判决如下：</w:t>
      </w:r>
    </w:p>
    <w:p>
      <w:pPr>
        <w:pStyle w:val="2"/>
        <w:spacing w:line="52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驳回上诉，维持原判。</w:t>
      </w:r>
    </w:p>
    <w:p>
      <w:pPr>
        <w:pStyle w:val="2"/>
        <w:spacing w:line="52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二审案件受理费</w:t>
      </w:r>
      <w:r>
        <w:rPr>
          <w:rFonts w:hint="eastAsia" w:ascii="仿宋" w:hAnsi="仿宋" w:eastAsia="仿宋" w:cs="仿宋"/>
          <w:color w:val="000000"/>
          <w:szCs w:val="32"/>
          <w:lang w:val="en-US" w:eastAsia="zh-CN"/>
        </w:rPr>
        <w:t>6560</w:t>
      </w:r>
      <w:r>
        <w:rPr>
          <w:rFonts w:hint="eastAsia" w:ascii="仿宋" w:hAnsi="仿宋" w:eastAsia="仿宋" w:cs="仿宋"/>
          <w:color w:val="000000"/>
          <w:szCs w:val="32"/>
        </w:rPr>
        <w:t>元，由上诉人</w:t>
      </w:r>
      <w:r>
        <w:rPr>
          <w:rFonts w:hint="eastAsia" w:ascii="仿宋" w:hAnsi="仿宋" w:eastAsia="仿宋" w:cs="仿宋"/>
          <w:kern w:val="0"/>
          <w:sz w:val="32"/>
          <w:szCs w:val="32"/>
        </w:rPr>
        <w:t>国网重庆市电力公司丰都供电分公司</w:t>
      </w:r>
      <w:r>
        <w:rPr>
          <w:rFonts w:hint="eastAsia" w:ascii="仿宋" w:hAnsi="仿宋" w:eastAsia="仿宋" w:cs="仿宋"/>
          <w:color w:val="000000"/>
          <w:szCs w:val="32"/>
          <w:lang w:val="en-US" w:eastAsia="zh-CN"/>
        </w:rPr>
        <w:t>负</w:t>
      </w:r>
      <w:r>
        <w:rPr>
          <w:rFonts w:hint="eastAsia" w:ascii="仿宋" w:hAnsi="仿宋" w:eastAsia="仿宋" w:cs="仿宋"/>
          <w:color w:val="000000"/>
          <w:szCs w:val="32"/>
        </w:rPr>
        <w:t>担。</w:t>
      </w:r>
    </w:p>
    <w:p>
      <w:pPr>
        <w:autoSpaceDE w:val="0"/>
        <w:autoSpaceDN w:val="0"/>
        <w:adjustRightInd w:val="0"/>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w:t>
      </w:r>
      <w:r>
        <w:rPr>
          <w:rFonts w:hint="eastAsia" w:ascii="黑体" w:hAnsi="黑体" w:eastAsia="黑体" w:cs="黑体"/>
          <w:kern w:val="0"/>
          <w:sz w:val="32"/>
          <w:szCs w:val="32"/>
          <w:lang w:eastAsia="zh-CN"/>
        </w:rPr>
        <w:t>法官后语</w:t>
      </w:r>
      <w:r>
        <w:rPr>
          <w:rFonts w:hint="eastAsia" w:ascii="黑体" w:hAnsi="黑体" w:eastAsia="黑体" w:cs="黑体"/>
          <w:kern w:val="0"/>
          <w:sz w:val="32"/>
          <w:szCs w:val="32"/>
        </w:rPr>
        <w:t>]</w:t>
      </w:r>
    </w:p>
    <w:p>
      <w:pPr>
        <w:numPr>
          <w:ilvl w:val="0"/>
          <w:numId w:val="0"/>
        </w:numPr>
        <w:snapToGrid w:val="0"/>
        <w:spacing w:line="578" w:lineRule="exact"/>
        <w:ind w:firstLine="640"/>
        <w:rPr>
          <w:rFonts w:hint="eastAsia" w:asciiTheme="minorEastAsia" w:hAnsi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从事</w:t>
      </w:r>
      <w:r>
        <w:rPr>
          <w:rFonts w:hint="eastAsia" w:asciiTheme="minorEastAsia" w:hAnsiTheme="minorEastAsia" w:cstheme="minorEastAsia"/>
          <w:color w:val="000000"/>
          <w:sz w:val="32"/>
          <w:szCs w:val="32"/>
          <w:lang w:val="en-US" w:eastAsia="zh-CN"/>
        </w:rPr>
        <w:t>“高空、高压……”等属于高危作业，承担的是无过错责任。所谓高危作业，是指导致严重损害的风险，并可能引发大规模损害的危险活动。该活动致人损害的构成要件有两个，一是实施了高度危险行为，发生了损害后果；二是行为与损害事实之间存在因果关系。由以上构成要件可以看出，行为人是否有过错不是责任成立的要件，为此高危作业损害赔偿适用的无过错责任归责原则。无过错责任的归责事由主要有两类，第一危险，此类无过错责任称为危险责任，在危险责任中，确定行为人赔偿责任的依据在于其从事的活动或者保有的物件具有内在的、特定的危险；第二控制力，即某人对于他人基于特定的关系具有控制力，因此承担损害赔偿责任，此类责任也称“替代责任”，如雇主替雇员承担的责任。危险责任的理论基础是危险开启理论、危险控制理论、报偿理论。危险开启理论也称危险来源理论，之所以危险物品的所有人或者危险活动的行为人要承担危险责任，是他们制造这些本不存在的危险，给他人的人身财产安全带来了巨大的风险，但虽然开启了危险，但这些活动它们整体上创造了社会利益，法律不能禁止，但造成损害行为人应当承担补偿责任，危险控制理论认为危险开启的行为人是有专业技术的人员，具有控制危险的能力与方法，发生损害是控制不力造成，如果用过错责任归责，受害人无法举证，不能获得赔偿，由此是不公平的，应由危险的控制人承担无过错责任，方能让控制人自觉消除或减少危险，报偿理论认为，既然危险活动的从业者从危险活动中获得了巨大的利益，自然就应当为此付出相应的代价。以上三种理论以达证明危险活动产生的损害赔偿，应当适用无过错责任归责原则。替代责任的理论基础这里不再进行讨论，因为文中案例不涉及。结合本案被告从事的是10千伏高压线输送活动，属于高度危险活动，依法应承担无过错赔偿责任，尽管被告举示证据证明线路安装符合要求，但不能成为责任大小与有无的抗辩理由。依法受害人的过错大小才是减轻责任的理由，受害人故意造成才是不赔偿的理由。</w:t>
      </w:r>
    </w:p>
    <w:p>
      <w:pPr>
        <w:numPr>
          <w:ilvl w:val="0"/>
          <w:numId w:val="0"/>
        </w:numPr>
        <w:snapToGrid w:val="0"/>
        <w:spacing w:line="578" w:lineRule="exact"/>
        <w:ind w:firstLine="640"/>
        <w:rPr>
          <w:rFonts w:hint="eastAsia" w:eastAsia="仿宋" w:asciiTheme="minorEastAsia" w:hAnsiTheme="minorEastAsia" w:cstheme="minorEastAsia"/>
          <w:color w:val="000000"/>
          <w:sz w:val="32"/>
          <w:szCs w:val="32"/>
          <w:lang w:val="en-US" w:eastAsia="zh-CN"/>
        </w:rPr>
      </w:pPr>
      <w:r>
        <w:rPr>
          <w:rFonts w:hint="eastAsia" w:asciiTheme="minorEastAsia" w:hAnsiTheme="minorEastAsia" w:cstheme="minorEastAsia"/>
          <w:color w:val="000000"/>
          <w:sz w:val="32"/>
          <w:szCs w:val="32"/>
          <w:lang w:val="en-US" w:eastAsia="zh-CN"/>
        </w:rPr>
        <w:t>与案件待证事实无关的裁判文书等不属于本案证据不应交付其他当事人质证。民事证据是指在民事诉讼中能够证明案件真实情况的各种资料。这些证据材料可以表现为物证、书证、视听资料、证人证言、当事人陈述、鉴定结论、勘验笔录、电子证据等类型，无论何种类型的证据都与当事人主张事实有证明关系，即通过已经确认的事实逻辑上推导出主张事实，当事人所举证据与主张事实存在关联关系，是否真存在证明关系，法庭需要经过举证，质证，核实，认证，让法官达到自由心证，内心确认才能将案件事实确认下来。如当事人举证不能，相应负有举证责任的当事人就应当承担不利的法律后果。但现实案件是十分复杂的，当事人交给法庭的资料，并非都是证据，如提供给法庭参考的案例，法律文件，判决书，论文等，当事人的目的不是出于案件事实的证明，而是有关这个案件的法律适用问题，这些资料只是当事人为案件该怎么适用法律辩护准备的论据材料，因此不是证据，为此法官不应当交其他当事人质证，但法官可在判决的说理中回应当事人诉辩意见。结合本案，</w:t>
      </w: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在二审中提出提交的与案件事实无关的其他案件判决书，一审法院没有质证违背法定程序的理由，依法不能成立，相反一审处理正确，符合民事诉讼法相关规定应予倡导。</w:t>
      </w:r>
    </w:p>
    <w:p>
      <w:pPr>
        <w:spacing w:line="360" w:lineRule="auto"/>
        <w:ind w:firstLine="640" w:firstLineChars="200"/>
        <w:rPr>
          <w:rFonts w:ascii="Times New Roman" w:hAnsi="仿宋" w:eastAsia="仿宋" w:cs="Times New Roman"/>
          <w:color w:val="000000"/>
          <w:sz w:val="32"/>
          <w:szCs w:val="32"/>
        </w:rPr>
      </w:pPr>
      <w:r>
        <w:rPr>
          <w:rFonts w:ascii="Times New Roman" w:hAnsi="仿宋" w:eastAsia="仿宋" w:cs="Times New Roman"/>
          <w:color w:val="000000"/>
          <w:sz w:val="32"/>
          <w:szCs w:val="32"/>
        </w:rPr>
        <w:t>案例撰写人</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重庆市丰都县人民法院</w:t>
      </w:r>
      <w:r>
        <w:rPr>
          <w:rFonts w:hint="eastAsia" w:ascii="Times New Roman" w:hAnsi="仿宋" w:eastAsia="仿宋" w:cs="Times New Roman"/>
          <w:color w:val="000000"/>
          <w:sz w:val="32"/>
          <w:szCs w:val="32"/>
          <w:lang w:eastAsia="zh-CN"/>
        </w:rPr>
        <w:t>主审</w:t>
      </w:r>
      <w:r>
        <w:rPr>
          <w:rFonts w:ascii="Times New Roman" w:hAnsi="仿宋" w:eastAsia="仿宋" w:cs="Times New Roman"/>
          <w:color w:val="000000"/>
          <w:sz w:val="32"/>
          <w:szCs w:val="32"/>
        </w:rPr>
        <w:t>法官</w:t>
      </w:r>
      <w:r>
        <w:rPr>
          <w:rFonts w:ascii="Times New Roman" w:hAnsi="Times New Roman" w:eastAsia="仿宋" w:cs="Times New Roman"/>
          <w:color w:val="000000"/>
          <w:sz w:val="32"/>
          <w:szCs w:val="32"/>
        </w:rPr>
        <w:t xml:space="preserve"> </w:t>
      </w:r>
      <w:r>
        <w:rPr>
          <w:rFonts w:hint="eastAsia"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余孝安</w:t>
      </w:r>
    </w:p>
    <w:p>
      <w:pPr>
        <w:spacing w:line="360" w:lineRule="auto"/>
        <w:ind w:firstLine="640" w:firstLineChars="200"/>
        <w:rPr>
          <w:rFonts w:hint="default"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eastAsia="zh-CN"/>
        </w:rPr>
        <w:t>作者</w:t>
      </w:r>
      <w:r>
        <w:rPr>
          <w:rFonts w:hint="eastAsia" w:ascii="Times New Roman" w:hAnsi="仿宋" w:eastAsia="仿宋" w:cs="Times New Roman"/>
          <w:color w:val="000000"/>
          <w:sz w:val="32"/>
          <w:szCs w:val="32"/>
          <w:lang w:val="en-US" w:eastAsia="zh-CN"/>
        </w:rPr>
        <w:t xml:space="preserve"> </w:t>
      </w:r>
      <w:r>
        <w:rPr>
          <w:rFonts w:hint="eastAsia" w:ascii="Times New Roman" w:hAnsi="仿宋" w:eastAsia="仿宋" w:cs="Times New Roman"/>
          <w:color w:val="000000"/>
          <w:sz w:val="32"/>
          <w:szCs w:val="32"/>
          <w:lang w:eastAsia="zh-CN"/>
        </w:rPr>
        <w:t>余孝安</w:t>
      </w:r>
      <w:r>
        <w:rPr>
          <w:rFonts w:hint="eastAsia" w:ascii="Times New Roman" w:hAnsi="仿宋" w:eastAsia="仿宋" w:cs="Times New Roman"/>
          <w:color w:val="000000"/>
          <w:sz w:val="32"/>
          <w:szCs w:val="32"/>
          <w:lang w:val="en-US" w:eastAsia="zh-CN"/>
        </w:rPr>
        <w:t xml:space="preserve"> 丰都县法院，联系电话13372770237 邮政编码408200.身份证号512324196508230437.</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E-BZ9-PK74888-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SSJ-PK74820000a3c-Identity-H">
    <w:altName w:val="宋体"/>
    <w:panose1 w:val="00000000000000000000"/>
    <w:charset w:val="86"/>
    <w:family w:val="auto"/>
    <w:pitch w:val="default"/>
    <w:sig w:usb0="00000000" w:usb1="00000000" w:usb2="0000001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953C"/>
    <w:multiLevelType w:val="singleLevel"/>
    <w:tmpl w:val="00B8953C"/>
    <w:lvl w:ilvl="0" w:tentative="0">
      <w:start w:val="1"/>
      <w:numFmt w:val="chineseCounting"/>
      <w:suff w:val="nothing"/>
      <w:lvlText w:val="%1、"/>
      <w:lvlJc w:val="left"/>
      <w:rPr>
        <w:rFonts w:hint="eastAsia"/>
      </w:rPr>
    </w:lvl>
  </w:abstractNum>
  <w:abstractNum w:abstractNumId="1">
    <w:nsid w:val="15A6CF54"/>
    <w:multiLevelType w:val="singleLevel"/>
    <w:tmpl w:val="15A6CF5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A6BC4"/>
    <w:rsid w:val="0B2A6BC4"/>
    <w:rsid w:val="126568CC"/>
    <w:rsid w:val="2C415629"/>
    <w:rsid w:val="37440F99"/>
    <w:rsid w:val="3C9B2466"/>
    <w:rsid w:val="630804E6"/>
    <w:rsid w:val="6E234820"/>
    <w:rsid w:val="6E3C6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19" w:firstLineChars="6"/>
    </w:pPr>
    <w:rPr>
      <w:rFonts w:ascii="仿宋_GB2312" w:hAnsi="Calibri" w:eastAsia="仿宋_GB2312" w:cs="Times New Roman"/>
      <w:sz w:val="32"/>
      <w:szCs w:val="24"/>
    </w:rPr>
  </w:style>
  <w:style w:type="paragraph" w:customStyle="1" w:styleId="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6">
    <w:name w:val="_Style 4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2020-05-08T13:21:00Z</dcterms:created>
  <dc:creator>Administrator</dc:creator>
  <cp:lastModifiedBy>Administrator</cp:lastModifiedBy>
  <dcterms:modified xsi:type="dcterms:W3CDTF">2020-05-08T14:59:50Z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